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78909C"/>
          <w:sz w:val="22"/>
        </w:rPr>
        <w:t>{{organization}}</w:t>
      </w:r>
    </w:p>
    <w:p>
      <w:pPr>
        <w:spacing w:before="240"/>
        <w:jc w:val="center"/>
        <w:shd w:val="clear" w:fill="1A237E"/>
      </w:pPr>
      <w:r>
        <w:rPr>
          <w:rFonts w:ascii="Arial" w:hAnsi="Arial" w:eastAsia="微软雅黑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78909C"/>
          <w:sz w:val="22"/>
        </w:rPr>
        <w:t>{{period}} · {{report_date}}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投资评级：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待定（首次覆盖时更新）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目标价：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现价：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报告日期：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{{report_date}}</w:t>
            </w:r>
          </w:p>
        </w:tc>
      </w:tr>
    </w:tbl>
    <w:p>
      <w:r>
        <w:br w:type="page"/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核心观点</w:t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事件回顾</w:t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盈利预测与估值</w:t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风险提示</w:t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免责声明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78909C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2626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hd w:val="clear" w:fill="1A237E"/>
    </w:pPr>
    <w:rPr>
      <w:rFonts w:asciiTheme="majorHAnsi" w:eastAsiaTheme="majorEastAsia" w:hAnsiTheme="majorHAnsi" w:cstheme="majorBidi" w:ascii="Arial" w:hAnsi="Arial" w:eastAsia="微软雅黑"/>
      <w:b/>
      <w:bCs/>
      <w:color w:val="FFFFF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