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8A9089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8A9089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公司概况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主要财务数据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经营层讨论与分析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风险因素</w:t>
      </w:r>
    </w:p>
    <w:p>
      <w:pPr>
        <w:pStyle w:val="Heading1"/>
        <w:pBdr>
          <w:bottom w:val="single" w:sz="6" w:color="8A9089" w:space="4"/>
        </w:pBdr>
      </w:pPr>
      <w:r>
        <w:rPr>
          <w:rFonts w:ascii="Arial" w:hAnsi="Arial" w:eastAsia="微软雅黑"/>
          <w:b/>
          <w:color w:val="8A9089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8A9089" w:space="4"/>
      </w:pBdr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