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Arial" w:hAnsi="Arial" w:eastAsia="宋体"/>
          <w:b w:val="0"/>
          <w:color w:val="6A706B"/>
          <w:sz w:val="22"/>
        </w:rPr>
        <w:t>{{organization}}</w:t>
      </w:r>
    </w:p>
    <w:p>
      <w:pPr>
        <w:spacing w:before="240"/>
        <w:jc w:val="center"/>
        <w:shd w:val="clear" w:fill="8A9089"/>
      </w:pPr>
      <w:r>
        <w:rPr>
          <w:rFonts w:ascii="Arial" w:hAnsi="Arial" w:eastAsia="微软雅黑"/>
          <w:b/>
          <w:color w:val="FFFFFF"/>
          <w:sz w:val="40"/>
        </w:rPr>
        <w:t>{{title}}</w:t>
      </w:r>
    </w:p>
    <w:p>
      <w:pPr>
        <w:spacing w:before="240"/>
        <w:jc w:val="center"/>
      </w:pPr>
      <w:r>
        <w:rPr>
          <w:rFonts w:ascii="Arial" w:hAnsi="Arial" w:eastAsia="宋体"/>
          <w:b w:val="0"/>
          <w:color w:val="6A706B"/>
          <w:sz w:val="22"/>
        </w:rPr>
        <w:t>{{period}} · {{report_date}}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投资评级：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待定（首次覆盖时更新）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目标价：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现价：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报告日期：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{{report_date}}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核心观点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事件回顾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盈利预测与估值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风险提示</w:t>
      </w:r>
    </w:p>
    <w:p>
      <w:pPr>
        <w:pStyle w:val="Heading1"/>
      </w:pPr>
      <w:r>
        <w:rPr>
          <w:rFonts w:ascii="Arial" w:hAnsi="Arial" w:eastAsia="微软雅黑"/>
          <w:b/>
          <w:color w:val="8A9089"/>
          <w:sz w:val="30"/>
        </w:rPr>
        <w:t>免责声明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shd w:val="clear" w:fill="EEF2F9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head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color="DEDFD8" w:space="4"/>
      </w:pBdr>
    </w:pPr>
    <w:r>
      <w:rPr>
        <w:rFonts w:eastAsia="宋体"/>
        <w:color w:val="6A706B"/>
        <w:sz w:val="16"/>
      </w:rPr>
      <w:t>{{title}}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/>
    </w:pPr>
    <w:rPr>
      <w:rFonts w:ascii="Arial" w:hAnsi="Arial" w:eastAsia="宋体"/>
      <w:b w:val="0"/>
      <w:color w:val="1E23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微软雅黑"/>
      <w:b/>
      <w:bCs/>
      <w:color w:val="8A908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微软雅黑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