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bCs/>
          <w:sz w:val="28"/>
          <w:szCs w:val="28"/>
        </w:rPr>
        <w:t xml:space="preserve">МИНИСТЕРСТВО НАУКИ И ВЫСШЕГО ОБРАЗОВАНИЯ РОССИЙСКОЙ ФЕДЕРАЦИИ</w:t>
      </w:r>
    </w:p>
    <w:p>
      <w:pPr>
        <w:spacing w:after="0" w:before="60" w:line="240" w:lineRule="auto"/>
        <w:jc w:val="center"/>
      </w:pPr>
      <w:r>
        <w:rPr>
          <w:rFonts w:ascii="Times New Roman" w:cs="Times New Roman" w:eastAsia="Times New Roman" w:hAnsi="Times New Roman"/>
          <w:sz w:val="28"/>
          <w:szCs w:val="28"/>
        </w:rPr>
        <w:t xml:space="preserve">Федеральное государственное автономное образовательное</w:t>
      </w:r>
    </w:p>
    <w:p>
      <w:pPr>
        <w:spacing w:after="0" w:before="0" w:line="240" w:lineRule="auto"/>
        <w:jc w:val="center"/>
      </w:pPr>
      <w:r>
        <w:rPr>
          <w:rFonts w:ascii="Times New Roman" w:cs="Times New Roman" w:eastAsia="Times New Roman" w:hAnsi="Times New Roman"/>
          <w:sz w:val="28"/>
          <w:szCs w:val="28"/>
        </w:rPr>
        <w:t xml:space="preserve">учреждение высшего образования</w:t>
      </w:r>
    </w:p>
    <w:p>
      <w:pPr>
        <w:spacing w:after="240" w:before="0" w:line="240" w:lineRule="auto"/>
        <w:jc w:val="center"/>
      </w:pPr>
      <w:r>
        <w:rPr>
          <w:rFonts w:ascii="Times New Roman" w:cs="Times New Roman" w:eastAsia="Times New Roman" w:hAnsi="Times New Roman"/>
          <w:b/>
          <w:bCs/>
          <w:sz w:val="28"/>
          <w:szCs w:val="28"/>
        </w:rPr>
        <w:t xml:space="preserve">«Казанский (Приволжский) федеральный университет»</w:t>
      </w:r>
    </w:p>
    <w:p>
      <w:pPr>
        <w:spacing w:after="0" w:before="0" w:line="240" w:lineRule="auto"/>
        <w:jc w:val="center"/>
      </w:pPr>
      <w:r>
        <w:rPr>
          <w:rFonts w:ascii="Times New Roman" w:cs="Times New Roman" w:eastAsia="Times New Roman" w:hAnsi="Times New Roman"/>
          <w:b/>
          <w:bCs/>
          <w:sz w:val="28"/>
          <w:szCs w:val="28"/>
        </w:rPr>
        <w:t xml:space="preserve">ИНСТИТУТ ВЫЧИСЛИТЕЛЬНОЙ МАТЕМАТИКИ И ИНФОРМАЦИОННЫХ ТЕХНОЛОГИЙ</w:t>
      </w:r>
    </w:p>
    <w:p>
      <w:pPr>
        <w:spacing w:after="480" w:before="60" w:line="240" w:lineRule="auto"/>
        <w:jc w:val="center"/>
      </w:pPr>
      <w:r>
        <w:rPr>
          <w:rFonts w:ascii="Times New Roman" w:cs="Times New Roman" w:eastAsia="Times New Roman" w:hAnsi="Times New Roman"/>
          <w:b/>
          <w:bCs/>
          <w:sz w:val="28"/>
          <w:szCs w:val="28"/>
        </w:rPr>
        <w:t xml:space="preserve">КАФЕДРА ТЕОРЕТИЧЕСКОЙ КИБЕРНЕТИКИ</w:t>
      </w:r>
    </w:p>
    <w:p>
      <w:pPr>
        <w:spacing w:after="480" w:before="0" w:line="360" w:lineRule="auto"/>
        <w:jc w:val="center"/>
      </w:pPr>
      <w:r>
        <w:rPr>
          <w:rFonts w:ascii="Times New Roman" w:cs="Times New Roman" w:eastAsia="Times New Roman" w:hAnsi="Times New Roman"/>
          <w:sz w:val="28"/>
          <w:szCs w:val="28"/>
        </w:rPr>
        <w:t xml:space="preserve">Специальность (направление): 01.03.02 — Прикладная математика и информатика</w:t>
      </w:r>
    </w:p>
    <w:p>
      <w:pPr>
        <w:spacing w:after="240" w:before="0" w:line="360" w:lineRule="auto"/>
        <w:jc w:val="center"/>
      </w:pPr>
      <w:r>
        <w:rPr>
          <w:rFonts w:ascii="Times New Roman" w:cs="Times New Roman" w:eastAsia="Times New Roman" w:hAnsi="Times New Roman"/>
          <w:b/>
          <w:bCs/>
          <w:sz w:val="32"/>
          <w:szCs w:val="32"/>
        </w:rPr>
        <w:t xml:space="preserve">КУРСОВАЯ РАБОТА</w:t>
      </w:r>
    </w:p>
    <w:p>
      <w:pPr>
        <w:spacing w:after="720" w:before="0" w:line="360" w:lineRule="auto"/>
        <w:jc w:val="center"/>
      </w:pPr>
      <w:r>
        <w:rPr>
          <w:rFonts w:ascii="Times New Roman" w:cs="Times New Roman" w:eastAsia="Times New Roman" w:hAnsi="Times New Roman"/>
          <w:b/>
          <w:bCs/>
          <w:sz w:val="28"/>
          <w:szCs w:val="28"/>
        </w:rPr>
        <w:t xml:space="preserve">Разработка веб-сервиса прогнозирования котировок золота и других финансовых инструментов на основе ансамбля методов машинного обучения</w:t>
      </w:r>
    </w:p>
    <w:p>
      <w:pPr>
        <w:spacing w:after="0" w:before="0" w:line="360" w:lineRule="auto"/>
      </w:pPr>
      <w:r>
        <w:rPr>
          <w:rFonts w:ascii="Times New Roman" w:cs="Times New Roman" w:eastAsia="Times New Roman" w:hAnsi="Times New Roman"/>
          <w:sz w:val="28"/>
          <w:szCs w:val="28"/>
        </w:rPr>
        <w:t xml:space="preserve">Работа завершена:</w:t>
      </w:r>
    </w:p>
    <w:p>
      <w:pPr>
        <w:spacing w:after="0" w:before="0" w:line="360" w:lineRule="auto"/>
      </w:pPr>
      <w:r>
        <w:rPr>
          <w:rFonts w:ascii="Times New Roman" w:cs="Times New Roman" w:eastAsia="Times New Roman" w:hAnsi="Times New Roman"/>
          <w:sz w:val="28"/>
          <w:szCs w:val="28"/>
        </w:rPr>
        <w:t xml:space="preserve">Студент гр. 09-313</w:t>
      </w:r>
    </w:p>
    <w:p>
      <w:pPr>
        <w:spacing w:after="240" w:before="0" w:line="360" w:lineRule="auto"/>
      </w:pPr>
      <w:r>
        <w:rPr>
          <w:rFonts w:ascii="Times New Roman" w:cs="Times New Roman" w:eastAsia="Times New Roman" w:hAnsi="Times New Roman"/>
          <w:sz w:val="28"/>
          <w:szCs w:val="28"/>
        </w:rPr>
        <w:t xml:space="preserve">«___»_________ 20__ г.   _______________   Н. С. Староверов</w:t>
      </w:r>
    </w:p>
    <w:p>
      <w:pPr>
        <w:spacing w:after="0" w:before="240" w:line="360" w:lineRule="auto"/>
      </w:pPr>
      <w:r>
        <w:rPr>
          <w:rFonts w:ascii="Times New Roman" w:cs="Times New Roman" w:eastAsia="Times New Roman" w:hAnsi="Times New Roman"/>
          <w:sz w:val="28"/>
          <w:szCs w:val="28"/>
        </w:rPr>
        <w:t xml:space="preserve">Работа допущена к защите:</w:t>
      </w:r>
    </w:p>
    <w:p>
      <w:pPr>
        <w:spacing w:after="0" w:before="0" w:line="360" w:lineRule="auto"/>
      </w:pPr>
      <w:r>
        <w:rPr>
          <w:rFonts w:ascii="Times New Roman" w:cs="Times New Roman" w:eastAsia="Times New Roman" w:hAnsi="Times New Roman"/>
          <w:sz w:val="28"/>
          <w:szCs w:val="28"/>
        </w:rPr>
        <w:t xml:space="preserve">Научный руководитель,</w:t>
      </w:r>
    </w:p>
    <w:p>
      <w:pPr>
        <w:spacing w:after="0" w:before="0" w:line="360" w:lineRule="auto"/>
      </w:pPr>
      <w:r>
        <w:rPr>
          <w:rFonts w:ascii="Times New Roman" w:cs="Times New Roman" w:eastAsia="Times New Roman" w:hAnsi="Times New Roman"/>
          <w:sz w:val="28"/>
          <w:szCs w:val="28"/>
        </w:rPr>
        <w:t xml:space="preserve">доцент кафедры теоретической кибернетики</w:t>
      </w:r>
    </w:p>
    <w:p>
      <w:pPr>
        <w:spacing w:after="240" w:before="0" w:line="360" w:lineRule="auto"/>
      </w:pPr>
      <w:r>
        <w:rPr>
          <w:rFonts w:ascii="Times New Roman" w:cs="Times New Roman" w:eastAsia="Times New Roman" w:hAnsi="Times New Roman"/>
          <w:sz w:val="28"/>
          <w:szCs w:val="28"/>
        </w:rPr>
        <w:t xml:space="preserve">«___»_________ 20__ г.   _______________   А. Ф. Гайнутдинова</w:t>
      </w:r>
    </w:p>
    <w:p>
      <w:pPr>
        <w:spacing w:after="0" w:before="720" w:line="360" w:lineRule="auto"/>
        <w:jc w:val="center"/>
      </w:pPr>
      <w:r>
        <w:rPr>
          <w:rFonts w:ascii="Times New Roman" w:cs="Times New Roman" w:eastAsia="Times New Roman" w:hAnsi="Times New Roman"/>
          <w:sz w:val="28"/>
          <w:szCs w:val="28"/>
        </w:rPr>
        <w:t xml:space="preserve">Казань — 2026</w:t>
      </w:r>
    </w:p>
    <w:p>
      <w:pPr>
        <w:sectPr>
          <w:pgSz w:w="11906" w:h="16838" w:orient="portrait"/>
          <w:pgMar w:top="1134" w:right="850" w:bottom="1134" w:left="1701" w:header="720" w:footer="720" w:gutter="0"/>
          <w:pgNumType/>
          <w:docGrid w:linePitch="360"/>
        </w:sectPr>
      </w:pPr>
    </w:p>
    <w:p>
      <w:pPr>
        <w:spacing w:after="240" w:before="0" w:line="360" w:lineRule="auto"/>
        <w:jc w:val="center"/>
      </w:pPr>
      <w:r>
        <w:rPr>
          <w:rFonts w:ascii="Times New Roman" w:cs="Times New Roman" w:eastAsia="Times New Roman" w:hAnsi="Times New Roman"/>
          <w:b/>
          <w:bCs/>
          <w:caps/>
          <w:sz w:val="28"/>
          <w:szCs w:val="28"/>
        </w:rPr>
        <w:t xml:space="preserve">ОГЛАВЛЕНИЕ</w:t>
      </w:r>
    </w:p>
    <w:p>
      <w:pPr>
        <w:spacing w:after="0" w:before="0" w:line="360" w:lineRule="auto"/>
        <w:ind w:left="0"/>
      </w:pPr>
      <w:r>
        <w:rPr>
          <w:rFonts w:ascii="Times New Roman" w:cs="Times New Roman" w:eastAsia="Times New Roman" w:hAnsi="Times New Roman"/>
          <w:b w:val="false"/>
          <w:bCs w:val="false"/>
          <w:sz w:val="28"/>
          <w:szCs w:val="28"/>
        </w:rPr>
        <w:t xml:space="preserve">ВВЕДЕНИЕ</w:t>
      </w:r>
      <w:r>
        <w:rPr>
          <w:rFonts w:ascii="Times New Roman" w:cs="Times New Roman" w:eastAsia="Times New Roman" w:hAnsi="Times New Roman"/>
          <w:b w:val="false"/>
          <w:bCs w:val="false"/>
          <w:sz w:val="28"/>
          <w:szCs w:val="28"/>
        </w:rPr>
        <w:ptab w:alignment="right" w:relativeTo="margin" w:leader="dot"/>
        <w:t xml:space="preserve">3</w:t>
      </w:r>
    </w:p>
    <w:p>
      <w:pPr>
        <w:spacing w:after="0" w:before="0" w:line="360" w:lineRule="auto"/>
        <w:ind w:left="0"/>
      </w:pPr>
      <w:r>
        <w:rPr>
          <w:rFonts w:ascii="Times New Roman" w:cs="Times New Roman" w:eastAsia="Times New Roman" w:hAnsi="Times New Roman"/>
          <w:b w:val="false"/>
          <w:bCs w:val="false"/>
          <w:sz w:val="28"/>
          <w:szCs w:val="28"/>
        </w:rPr>
        <w:t xml:space="preserve">ГЛАВА 1. ТЕОРЕТИЧЕСКИЕ ОСНОВЫ ПРОГНОЗИРОВАНИЯ ФИНАНСОВЫХ ВРЕМЕННЫХ РЯДОВ</w:t>
      </w:r>
      <w:r>
        <w:rPr>
          <w:rFonts w:ascii="Times New Roman" w:cs="Times New Roman" w:eastAsia="Times New Roman" w:hAnsi="Times New Roman"/>
          <w:b w:val="false"/>
          <w:bCs w:val="false"/>
          <w:sz w:val="28"/>
          <w:szCs w:val="28"/>
        </w:rPr>
        <w:ptab w:alignment="right" w:relativeTo="margin" w:leader="dot"/>
        <w:t xml:space="preserve">6</w:t>
      </w:r>
    </w:p>
    <w:p>
      <w:pPr>
        <w:spacing w:after="0" w:before="0" w:line="360" w:lineRule="auto"/>
        <w:ind w:left="360"/>
      </w:pPr>
      <w:r>
        <w:rPr>
          <w:rFonts w:ascii="Times New Roman" w:cs="Times New Roman" w:eastAsia="Times New Roman" w:hAnsi="Times New Roman"/>
          <w:b w:val="false"/>
          <w:bCs w:val="false"/>
          <w:sz w:val="28"/>
          <w:szCs w:val="28"/>
        </w:rPr>
        <w:t xml:space="preserve">1.1. Особенности финансовых временных рядов</w:t>
      </w:r>
      <w:r>
        <w:rPr>
          <w:rFonts w:ascii="Times New Roman" w:cs="Times New Roman" w:eastAsia="Times New Roman" w:hAnsi="Times New Roman"/>
          <w:b w:val="false"/>
          <w:bCs w:val="false"/>
          <w:sz w:val="28"/>
          <w:szCs w:val="28"/>
        </w:rPr>
        <w:ptab w:alignment="right" w:relativeTo="margin" w:leader="dot"/>
        <w:t xml:space="preserve">6</w:t>
      </w:r>
    </w:p>
    <w:p>
      <w:pPr>
        <w:spacing w:after="0" w:before="0" w:line="360" w:lineRule="auto"/>
        <w:ind w:left="360"/>
      </w:pPr>
      <w:r>
        <w:rPr>
          <w:rFonts w:ascii="Times New Roman" w:cs="Times New Roman" w:eastAsia="Times New Roman" w:hAnsi="Times New Roman"/>
          <w:b w:val="false"/>
          <w:bCs w:val="false"/>
          <w:sz w:val="28"/>
          <w:szCs w:val="28"/>
        </w:rPr>
        <w:t xml:space="preserve">1.2. Обзор методов прогнозирования</w:t>
      </w:r>
      <w:r>
        <w:rPr>
          <w:rFonts w:ascii="Times New Roman" w:cs="Times New Roman" w:eastAsia="Times New Roman" w:hAnsi="Times New Roman"/>
          <w:b w:val="false"/>
          <w:bCs w:val="false"/>
          <w:sz w:val="28"/>
          <w:szCs w:val="28"/>
        </w:rPr>
        <w:ptab w:alignment="right" w:relativeTo="margin" w:leader="dot"/>
        <w:t xml:space="preserve">7</w:t>
      </w:r>
    </w:p>
    <w:p>
      <w:pPr>
        <w:spacing w:after="0" w:before="0" w:line="360" w:lineRule="auto"/>
        <w:ind w:left="360"/>
      </w:pPr>
      <w:r>
        <w:rPr>
          <w:rFonts w:ascii="Times New Roman" w:cs="Times New Roman" w:eastAsia="Times New Roman" w:hAnsi="Times New Roman"/>
          <w:b w:val="false"/>
          <w:bCs w:val="false"/>
          <w:sz w:val="28"/>
          <w:szCs w:val="28"/>
        </w:rPr>
        <w:t xml:space="preserve">1.3. Метрики оценки качества прогнозов</w:t>
      </w:r>
      <w:r>
        <w:rPr>
          <w:rFonts w:ascii="Times New Roman" w:cs="Times New Roman" w:eastAsia="Times New Roman" w:hAnsi="Times New Roman"/>
          <w:b w:val="false"/>
          <w:bCs w:val="false"/>
          <w:sz w:val="28"/>
          <w:szCs w:val="28"/>
        </w:rPr>
        <w:ptab w:alignment="right" w:relativeTo="margin" w:leader="dot"/>
        <w:t xml:space="preserve">9</w:t>
      </w:r>
    </w:p>
    <w:p>
      <w:pPr>
        <w:spacing w:after="0" w:before="0" w:line="360" w:lineRule="auto"/>
        <w:ind w:left="360"/>
      </w:pPr>
      <w:r>
        <w:rPr>
          <w:rFonts w:ascii="Times New Roman" w:cs="Times New Roman" w:eastAsia="Times New Roman" w:hAnsi="Times New Roman"/>
          <w:b w:val="false"/>
          <w:bCs w:val="false"/>
          <w:sz w:val="28"/>
          <w:szCs w:val="28"/>
        </w:rPr>
        <w:t xml:space="preserve">1.4. Калибровка вероятностей и оценка неопределённости</w:t>
      </w:r>
      <w:r>
        <w:rPr>
          <w:rFonts w:ascii="Times New Roman" w:cs="Times New Roman" w:eastAsia="Times New Roman" w:hAnsi="Times New Roman"/>
          <w:b w:val="false"/>
          <w:bCs w:val="false"/>
          <w:sz w:val="28"/>
          <w:szCs w:val="28"/>
        </w:rPr>
        <w:ptab w:alignment="right" w:relativeTo="margin" w:leader="dot"/>
        <w:t xml:space="preserve">10</w:t>
      </w:r>
    </w:p>
    <w:p>
      <w:pPr>
        <w:spacing w:after="0" w:before="0" w:line="360" w:lineRule="auto"/>
        <w:ind w:left="360"/>
      </w:pPr>
      <w:r>
        <w:rPr>
          <w:rFonts w:ascii="Times New Roman" w:cs="Times New Roman" w:eastAsia="Times New Roman" w:hAnsi="Times New Roman"/>
          <w:b w:val="false"/>
          <w:bCs w:val="false"/>
          <w:sz w:val="28"/>
          <w:szCs w:val="28"/>
        </w:rPr>
        <w:t xml:space="preserve">1.5. Sentiment-анализ как дополнительный источник информации</w:t>
      </w:r>
      <w:r>
        <w:rPr>
          <w:rFonts w:ascii="Times New Roman" w:cs="Times New Roman" w:eastAsia="Times New Roman" w:hAnsi="Times New Roman"/>
          <w:b w:val="false"/>
          <w:bCs w:val="false"/>
          <w:sz w:val="28"/>
          <w:szCs w:val="28"/>
        </w:rPr>
        <w:ptab w:alignment="right" w:relativeTo="margin" w:leader="dot"/>
        <w:t xml:space="preserve">11</w:t>
      </w:r>
    </w:p>
    <w:p>
      <w:pPr>
        <w:spacing w:after="0" w:before="0" w:line="360" w:lineRule="auto"/>
        <w:ind w:left="0"/>
      </w:pPr>
      <w:r>
        <w:rPr>
          <w:rFonts w:ascii="Times New Roman" w:cs="Times New Roman" w:eastAsia="Times New Roman" w:hAnsi="Times New Roman"/>
          <w:b w:val="false"/>
          <w:bCs w:val="false"/>
          <w:sz w:val="28"/>
          <w:szCs w:val="28"/>
        </w:rPr>
        <w:t xml:space="preserve">ГЛАВА 2. АРХИТЕКТУРА ВЕБ-СЕРВИСА</w:t>
      </w:r>
      <w:r>
        <w:rPr>
          <w:rFonts w:ascii="Times New Roman" w:cs="Times New Roman" w:eastAsia="Times New Roman" w:hAnsi="Times New Roman"/>
          <w:b w:val="false"/>
          <w:bCs w:val="false"/>
          <w:sz w:val="28"/>
          <w:szCs w:val="28"/>
        </w:rPr>
        <w:ptab w:alignment="right" w:relativeTo="margin" w:leader="dot"/>
        <w:t xml:space="preserve">12</w:t>
      </w:r>
    </w:p>
    <w:p>
      <w:pPr>
        <w:spacing w:after="0" w:before="0" w:line="360" w:lineRule="auto"/>
        <w:ind w:left="360"/>
      </w:pPr>
      <w:r>
        <w:rPr>
          <w:rFonts w:ascii="Times New Roman" w:cs="Times New Roman" w:eastAsia="Times New Roman" w:hAnsi="Times New Roman"/>
          <w:b w:val="false"/>
          <w:bCs w:val="false"/>
          <w:sz w:val="28"/>
          <w:szCs w:val="28"/>
        </w:rPr>
        <w:t xml:space="preserve">2.1. Стек технологий</w:t>
      </w:r>
      <w:r>
        <w:rPr>
          <w:rFonts w:ascii="Times New Roman" w:cs="Times New Roman" w:eastAsia="Times New Roman" w:hAnsi="Times New Roman"/>
          <w:b w:val="false"/>
          <w:bCs w:val="false"/>
          <w:sz w:val="28"/>
          <w:szCs w:val="28"/>
        </w:rPr>
        <w:ptab w:alignment="right" w:relativeTo="margin" w:leader="dot"/>
        <w:t xml:space="preserve">12</w:t>
      </w:r>
    </w:p>
    <w:p>
      <w:pPr>
        <w:spacing w:after="0" w:before="0" w:line="360" w:lineRule="auto"/>
        <w:ind w:left="360"/>
      </w:pPr>
      <w:r>
        <w:rPr>
          <w:rFonts w:ascii="Times New Roman" w:cs="Times New Roman" w:eastAsia="Times New Roman" w:hAnsi="Times New Roman"/>
          <w:b w:val="false"/>
          <w:bCs w:val="false"/>
          <w:sz w:val="28"/>
          <w:szCs w:val="28"/>
        </w:rPr>
        <w:t xml:space="preserve">2.2. Архитектура backend-части</w:t>
      </w:r>
      <w:r>
        <w:rPr>
          <w:rFonts w:ascii="Times New Roman" w:cs="Times New Roman" w:eastAsia="Times New Roman" w:hAnsi="Times New Roman"/>
          <w:b w:val="false"/>
          <w:bCs w:val="false"/>
          <w:sz w:val="28"/>
          <w:szCs w:val="28"/>
        </w:rPr>
        <w:ptab w:alignment="right" w:relativeTo="margin" w:leader="dot"/>
        <w:t xml:space="preserve">13</w:t>
      </w:r>
    </w:p>
    <w:p>
      <w:pPr>
        <w:spacing w:after="0" w:before="0" w:line="360" w:lineRule="auto"/>
        <w:ind w:left="360"/>
      </w:pPr>
      <w:r>
        <w:rPr>
          <w:rFonts w:ascii="Times New Roman" w:cs="Times New Roman" w:eastAsia="Times New Roman" w:hAnsi="Times New Roman"/>
          <w:b w:val="false"/>
          <w:bCs w:val="false"/>
          <w:sz w:val="28"/>
          <w:szCs w:val="28"/>
        </w:rPr>
        <w:t xml:space="preserve">2.3. Модель данных</w:t>
      </w:r>
      <w:r>
        <w:rPr>
          <w:rFonts w:ascii="Times New Roman" w:cs="Times New Roman" w:eastAsia="Times New Roman" w:hAnsi="Times New Roman"/>
          <w:b w:val="false"/>
          <w:bCs w:val="false"/>
          <w:sz w:val="28"/>
          <w:szCs w:val="28"/>
        </w:rPr>
        <w:ptab w:alignment="right" w:relativeTo="margin" w:leader="dot"/>
        <w:t xml:space="preserve">14</w:t>
      </w:r>
    </w:p>
    <w:p>
      <w:pPr>
        <w:spacing w:after="0" w:before="0" w:line="360" w:lineRule="auto"/>
        <w:ind w:left="360"/>
      </w:pPr>
      <w:r>
        <w:rPr>
          <w:rFonts w:ascii="Times New Roman" w:cs="Times New Roman" w:eastAsia="Times New Roman" w:hAnsi="Times New Roman"/>
          <w:b w:val="false"/>
          <w:bCs w:val="false"/>
          <w:sz w:val="28"/>
          <w:szCs w:val="28"/>
        </w:rPr>
        <w:t xml:space="preserve">2.4. Архитектура frontend-части</w:t>
      </w:r>
      <w:r>
        <w:rPr>
          <w:rFonts w:ascii="Times New Roman" w:cs="Times New Roman" w:eastAsia="Times New Roman" w:hAnsi="Times New Roman"/>
          <w:b w:val="false"/>
          <w:bCs w:val="false"/>
          <w:sz w:val="28"/>
          <w:szCs w:val="28"/>
        </w:rPr>
        <w:ptab w:alignment="right" w:relativeTo="margin" w:leader="dot"/>
        <w:t xml:space="preserve">15</w:t>
      </w:r>
    </w:p>
    <w:p>
      <w:pPr>
        <w:spacing w:after="0" w:before="0" w:line="360" w:lineRule="auto"/>
        <w:ind w:left="360"/>
      </w:pPr>
      <w:r>
        <w:rPr>
          <w:rFonts w:ascii="Times New Roman" w:cs="Times New Roman" w:eastAsia="Times New Roman" w:hAnsi="Times New Roman"/>
          <w:b w:val="false"/>
          <w:bCs w:val="false"/>
          <w:sz w:val="28"/>
          <w:szCs w:val="28"/>
        </w:rPr>
        <w:t xml:space="preserve">2.5. Аутентификация и безопасность</w:t>
      </w:r>
      <w:r>
        <w:rPr>
          <w:rFonts w:ascii="Times New Roman" w:cs="Times New Roman" w:eastAsia="Times New Roman" w:hAnsi="Times New Roman"/>
          <w:b w:val="false"/>
          <w:bCs w:val="false"/>
          <w:sz w:val="28"/>
          <w:szCs w:val="28"/>
        </w:rPr>
        <w:ptab w:alignment="right" w:relativeTo="margin" w:leader="dot"/>
        <w:t xml:space="preserve">16</w:t>
      </w:r>
    </w:p>
    <w:p>
      <w:pPr>
        <w:spacing w:after="0" w:before="0" w:line="360" w:lineRule="auto"/>
        <w:ind w:left="360"/>
      </w:pPr>
      <w:r>
        <w:rPr>
          <w:rFonts w:ascii="Times New Roman" w:cs="Times New Roman" w:eastAsia="Times New Roman" w:hAnsi="Times New Roman"/>
          <w:b w:val="false"/>
          <w:bCs w:val="false"/>
          <w:sz w:val="28"/>
          <w:szCs w:val="28"/>
        </w:rPr>
        <w:t xml:space="preserve">2.6. Развёртывание</w:t>
      </w:r>
      <w:r>
        <w:rPr>
          <w:rFonts w:ascii="Times New Roman" w:cs="Times New Roman" w:eastAsia="Times New Roman" w:hAnsi="Times New Roman"/>
          <w:b w:val="false"/>
          <w:bCs w:val="false"/>
          <w:sz w:val="28"/>
          <w:szCs w:val="28"/>
        </w:rPr>
        <w:ptab w:alignment="right" w:relativeTo="margin" w:leader="dot"/>
        <w:t xml:space="preserve">17</w:t>
      </w:r>
    </w:p>
    <w:p>
      <w:pPr>
        <w:spacing w:after="0" w:before="0" w:line="360" w:lineRule="auto"/>
        <w:ind w:left="0"/>
      </w:pPr>
      <w:r>
        <w:rPr>
          <w:rFonts w:ascii="Times New Roman" w:cs="Times New Roman" w:eastAsia="Times New Roman" w:hAnsi="Times New Roman"/>
          <w:b w:val="false"/>
          <w:bCs w:val="false"/>
          <w:sz w:val="28"/>
          <w:szCs w:val="28"/>
        </w:rPr>
        <w:t xml:space="preserve">ГЛАВА 3. РЕАЛИЗАЦИЯ И ЭКСПЕРИМЕНТЫ</w:t>
      </w:r>
      <w:r>
        <w:rPr>
          <w:rFonts w:ascii="Times New Roman" w:cs="Times New Roman" w:eastAsia="Times New Roman" w:hAnsi="Times New Roman"/>
          <w:b w:val="false"/>
          <w:bCs w:val="false"/>
          <w:sz w:val="28"/>
          <w:szCs w:val="28"/>
        </w:rPr>
        <w:ptab w:alignment="right" w:relativeTo="margin" w:leader="dot"/>
        <w:t xml:space="preserve">18</w:t>
      </w:r>
    </w:p>
    <w:p>
      <w:pPr>
        <w:spacing w:after="0" w:before="0" w:line="360" w:lineRule="auto"/>
        <w:ind w:left="360"/>
      </w:pPr>
      <w:r>
        <w:rPr>
          <w:rFonts w:ascii="Times New Roman" w:cs="Times New Roman" w:eastAsia="Times New Roman" w:hAnsi="Times New Roman"/>
          <w:b w:val="false"/>
          <w:bCs w:val="false"/>
          <w:sz w:val="28"/>
          <w:szCs w:val="28"/>
        </w:rPr>
        <w:t xml:space="preserve">3.1. Сбор и предобработка данных</w:t>
      </w:r>
      <w:r>
        <w:rPr>
          <w:rFonts w:ascii="Times New Roman" w:cs="Times New Roman" w:eastAsia="Times New Roman" w:hAnsi="Times New Roman"/>
          <w:b w:val="false"/>
          <w:bCs w:val="false"/>
          <w:sz w:val="28"/>
          <w:szCs w:val="28"/>
        </w:rPr>
        <w:ptab w:alignment="right" w:relativeTo="margin" w:leader="dot"/>
        <w:t xml:space="preserve">18</w:t>
      </w:r>
    </w:p>
    <w:p>
      <w:pPr>
        <w:spacing w:after="0" w:before="0" w:line="360" w:lineRule="auto"/>
        <w:ind w:left="360"/>
      </w:pPr>
      <w:r>
        <w:rPr>
          <w:rFonts w:ascii="Times New Roman" w:cs="Times New Roman" w:eastAsia="Times New Roman" w:hAnsi="Times New Roman"/>
          <w:b w:val="false"/>
          <w:bCs w:val="false"/>
          <w:sz w:val="28"/>
          <w:szCs w:val="28"/>
        </w:rPr>
        <w:t xml:space="preserve">3.2. Реализация TCN-модели</w:t>
      </w:r>
      <w:r>
        <w:rPr>
          <w:rFonts w:ascii="Times New Roman" w:cs="Times New Roman" w:eastAsia="Times New Roman" w:hAnsi="Times New Roman"/>
          <w:b w:val="false"/>
          <w:bCs w:val="false"/>
          <w:sz w:val="28"/>
          <w:szCs w:val="28"/>
        </w:rPr>
        <w:ptab w:alignment="right" w:relativeTo="margin" w:leader="dot"/>
        <w:t xml:space="preserve">19</w:t>
      </w:r>
    </w:p>
    <w:p>
      <w:pPr>
        <w:spacing w:after="0" w:before="0" w:line="360" w:lineRule="auto"/>
        <w:ind w:left="360"/>
      </w:pPr>
      <w:r>
        <w:rPr>
          <w:rFonts w:ascii="Times New Roman" w:cs="Times New Roman" w:eastAsia="Times New Roman" w:hAnsi="Times New Roman"/>
          <w:b w:val="false"/>
          <w:bCs w:val="false"/>
          <w:sz w:val="28"/>
          <w:szCs w:val="28"/>
        </w:rPr>
        <w:t xml:space="preserve">3.3. Ансамблирование разнородных моделей</w:t>
      </w:r>
      <w:r>
        <w:rPr>
          <w:rFonts w:ascii="Times New Roman" w:cs="Times New Roman" w:eastAsia="Times New Roman" w:hAnsi="Times New Roman"/>
          <w:b w:val="false"/>
          <w:bCs w:val="false"/>
          <w:sz w:val="28"/>
          <w:szCs w:val="28"/>
        </w:rPr>
        <w:ptab w:alignment="right" w:relativeTo="margin" w:leader="dot"/>
        <w:t xml:space="preserve">20</w:t>
      </w:r>
    </w:p>
    <w:p>
      <w:pPr>
        <w:spacing w:after="0" w:before="0" w:line="360" w:lineRule="auto"/>
        <w:ind w:left="360"/>
      </w:pPr>
      <w:r>
        <w:rPr>
          <w:rFonts w:ascii="Times New Roman" w:cs="Times New Roman" w:eastAsia="Times New Roman" w:hAnsi="Times New Roman"/>
          <w:b w:val="false"/>
          <w:bCs w:val="false"/>
          <w:sz w:val="28"/>
          <w:szCs w:val="28"/>
        </w:rPr>
        <w:t xml:space="preserve">3.4. Sentiment-bias correction</w:t>
      </w:r>
      <w:r>
        <w:rPr>
          <w:rFonts w:ascii="Times New Roman" w:cs="Times New Roman" w:eastAsia="Times New Roman" w:hAnsi="Times New Roman"/>
          <w:b w:val="false"/>
          <w:bCs w:val="false"/>
          <w:sz w:val="28"/>
          <w:szCs w:val="28"/>
        </w:rPr>
        <w:ptab w:alignment="right" w:relativeTo="margin" w:leader="dot"/>
        <w:t xml:space="preserve">21</w:t>
      </w:r>
    </w:p>
    <w:p>
      <w:pPr>
        <w:spacing w:after="0" w:before="0" w:line="360" w:lineRule="auto"/>
        <w:ind w:left="360"/>
      </w:pPr>
      <w:r>
        <w:rPr>
          <w:rFonts w:ascii="Times New Roman" w:cs="Times New Roman" w:eastAsia="Times New Roman" w:hAnsi="Times New Roman"/>
          <w:b w:val="false"/>
          <w:bCs w:val="false"/>
          <w:sz w:val="28"/>
          <w:szCs w:val="28"/>
        </w:rPr>
        <w:t xml:space="preserve">3.5. Walk-forward валидация и калибровка</w:t>
      </w:r>
      <w:r>
        <w:rPr>
          <w:rFonts w:ascii="Times New Roman" w:cs="Times New Roman" w:eastAsia="Times New Roman" w:hAnsi="Times New Roman"/>
          <w:b w:val="false"/>
          <w:bCs w:val="false"/>
          <w:sz w:val="28"/>
          <w:szCs w:val="28"/>
        </w:rPr>
        <w:ptab w:alignment="right" w:relativeTo="margin" w:leader="dot"/>
        <w:t xml:space="preserve">22</w:t>
      </w:r>
    </w:p>
    <w:p>
      <w:pPr>
        <w:spacing w:after="0" w:before="0" w:line="360" w:lineRule="auto"/>
        <w:ind w:left="360"/>
      </w:pPr>
      <w:r>
        <w:rPr>
          <w:rFonts w:ascii="Times New Roman" w:cs="Times New Roman" w:eastAsia="Times New Roman" w:hAnsi="Times New Roman"/>
          <w:b w:val="false"/>
          <w:bCs w:val="false"/>
          <w:sz w:val="28"/>
          <w:szCs w:val="28"/>
        </w:rPr>
        <w:t xml:space="preserve">3.6. Эксперименты на различных активах</w:t>
      </w:r>
      <w:r>
        <w:rPr>
          <w:rFonts w:ascii="Times New Roman" w:cs="Times New Roman" w:eastAsia="Times New Roman" w:hAnsi="Times New Roman"/>
          <w:b w:val="false"/>
          <w:bCs w:val="false"/>
          <w:sz w:val="28"/>
          <w:szCs w:val="28"/>
        </w:rPr>
        <w:ptab w:alignment="right" w:relativeTo="margin" w:leader="dot"/>
        <w:t xml:space="preserve">23</w:t>
      </w:r>
    </w:p>
    <w:p>
      <w:pPr>
        <w:spacing w:after="0" w:before="0" w:line="360" w:lineRule="auto"/>
        <w:ind w:left="360"/>
      </w:pPr>
      <w:r>
        <w:rPr>
          <w:rFonts w:ascii="Times New Roman" w:cs="Times New Roman" w:eastAsia="Times New Roman" w:hAnsi="Times New Roman"/>
          <w:b w:val="false"/>
          <w:bCs w:val="false"/>
          <w:sz w:val="28"/>
          <w:szCs w:val="28"/>
        </w:rPr>
        <w:t xml:space="preserve">3.7. Интеграция в веб-сервис</w:t>
      </w:r>
      <w:r>
        <w:rPr>
          <w:rFonts w:ascii="Times New Roman" w:cs="Times New Roman" w:eastAsia="Times New Roman" w:hAnsi="Times New Roman"/>
          <w:b w:val="false"/>
          <w:bCs w:val="false"/>
          <w:sz w:val="28"/>
          <w:szCs w:val="28"/>
        </w:rPr>
        <w:ptab w:alignment="right" w:relativeTo="margin" w:leader="dot"/>
        <w:t xml:space="preserve">24</w:t>
      </w:r>
    </w:p>
    <w:p>
      <w:pPr>
        <w:spacing w:after="0" w:before="0" w:line="360" w:lineRule="auto"/>
        <w:ind w:left="360"/>
      </w:pPr>
      <w:r>
        <w:rPr>
          <w:rFonts w:ascii="Times New Roman" w:cs="Times New Roman" w:eastAsia="Times New Roman" w:hAnsi="Times New Roman"/>
          <w:b w:val="false"/>
          <w:bCs w:val="false"/>
          <w:sz w:val="28"/>
          <w:szCs w:val="28"/>
        </w:rPr>
        <w:t xml:space="preserve">3.8. Тестирование</w:t>
      </w:r>
      <w:r>
        <w:rPr>
          <w:rFonts w:ascii="Times New Roman" w:cs="Times New Roman" w:eastAsia="Times New Roman" w:hAnsi="Times New Roman"/>
          <w:b w:val="false"/>
          <w:bCs w:val="false"/>
          <w:sz w:val="28"/>
          <w:szCs w:val="28"/>
        </w:rPr>
        <w:ptab w:alignment="right" w:relativeTo="margin" w:leader="dot"/>
        <w:t xml:space="preserve">25</w:t>
      </w:r>
    </w:p>
    <w:p>
      <w:pPr>
        <w:spacing w:after="0" w:before="0" w:line="360" w:lineRule="auto"/>
        <w:ind w:left="0"/>
      </w:pPr>
      <w:r>
        <w:rPr>
          <w:rFonts w:ascii="Times New Roman" w:cs="Times New Roman" w:eastAsia="Times New Roman" w:hAnsi="Times New Roman"/>
          <w:b w:val="false"/>
          <w:bCs w:val="false"/>
          <w:sz w:val="28"/>
          <w:szCs w:val="28"/>
        </w:rPr>
        <w:t xml:space="preserve">ЗАКЛЮЧЕНИЕ</w:t>
      </w:r>
      <w:r>
        <w:rPr>
          <w:rFonts w:ascii="Times New Roman" w:cs="Times New Roman" w:eastAsia="Times New Roman" w:hAnsi="Times New Roman"/>
          <w:b w:val="false"/>
          <w:bCs w:val="false"/>
          <w:sz w:val="28"/>
          <w:szCs w:val="28"/>
        </w:rPr>
        <w:ptab w:alignment="right" w:relativeTo="margin" w:leader="dot"/>
        <w:t xml:space="preserve">26</w:t>
      </w:r>
    </w:p>
    <w:p>
      <w:pPr>
        <w:spacing w:after="0" w:before="0" w:line="360" w:lineRule="auto"/>
        <w:ind w:left="0"/>
      </w:pPr>
      <w:r>
        <w:rPr>
          <w:rFonts w:ascii="Times New Roman" w:cs="Times New Roman" w:eastAsia="Times New Roman" w:hAnsi="Times New Roman"/>
          <w:b w:val="false"/>
          <w:bCs w:val="false"/>
          <w:sz w:val="28"/>
          <w:szCs w:val="28"/>
        </w:rPr>
        <w:t xml:space="preserve">СПИСОК ИСПОЛЬЗОВАННЫХ ИСТОЧНИКОВ</w:t>
      </w:r>
      <w:r>
        <w:rPr>
          <w:rFonts w:ascii="Times New Roman" w:cs="Times New Roman" w:eastAsia="Times New Roman" w:hAnsi="Times New Roman"/>
          <w:b w:val="false"/>
          <w:bCs w:val="false"/>
          <w:sz w:val="28"/>
          <w:szCs w:val="28"/>
        </w:rPr>
        <w:ptab w:alignment="right" w:relativeTo="margin" w:leader="dot"/>
        <w:t xml:space="preserve">28</w:t>
      </w:r>
    </w:p>
    <w:p>
      <w:pPr>
        <w:spacing w:after="0" w:before="0" w:line="360" w:lineRule="auto"/>
        <w:ind w:left="0"/>
      </w:pPr>
      <w:r>
        <w:rPr>
          <w:rFonts w:ascii="Times New Roman" w:cs="Times New Roman" w:eastAsia="Times New Roman" w:hAnsi="Times New Roman"/>
          <w:b w:val="false"/>
          <w:bCs w:val="false"/>
          <w:sz w:val="28"/>
          <w:szCs w:val="28"/>
        </w:rPr>
        <w:t xml:space="preserve">ПРИЛОЖЕНИЕ А. Архитектура системы</w:t>
      </w:r>
      <w:r>
        <w:rPr>
          <w:rFonts w:ascii="Times New Roman" w:cs="Times New Roman" w:eastAsia="Times New Roman" w:hAnsi="Times New Roman"/>
          <w:b w:val="false"/>
          <w:bCs w:val="false"/>
          <w:sz w:val="28"/>
          <w:szCs w:val="28"/>
        </w:rPr>
        <w:ptab w:alignment="right" w:relativeTo="margin" w:leader="dot"/>
        <w:t xml:space="preserve">30</w:t>
      </w:r>
    </w:p>
    <w:p>
      <w:pPr>
        <w:spacing w:after="0" w:before="0" w:line="360" w:lineRule="auto"/>
        <w:ind w:left="0"/>
      </w:pPr>
      <w:r>
        <w:rPr>
          <w:rFonts w:ascii="Times New Roman" w:cs="Times New Roman" w:eastAsia="Times New Roman" w:hAnsi="Times New Roman"/>
          <w:b w:val="false"/>
          <w:bCs w:val="false"/>
          <w:sz w:val="28"/>
          <w:szCs w:val="28"/>
        </w:rPr>
        <w:t xml:space="preserve">ПРИЛОЖЕНИЕ Б. Программный код ключевых модулей</w:t>
      </w:r>
      <w:r>
        <w:rPr>
          <w:rFonts w:ascii="Times New Roman" w:cs="Times New Roman" w:eastAsia="Times New Roman" w:hAnsi="Times New Roman"/>
          <w:b w:val="false"/>
          <w:bCs w:val="false"/>
          <w:sz w:val="28"/>
          <w:szCs w:val="28"/>
        </w:rPr>
        <w:ptab w:alignment="right" w:relativeTo="margin" w:leader="dot"/>
        <w:t xml:space="preserve">31</w:t>
      </w:r>
    </w:p>
    <w:p>
      <w:pPr>
        <w:pageBreakBefore/>
        <w:spacing w:after="240" w:before="0" w:line="360" w:lineRule="auto"/>
        <w:jc w:val="center"/>
      </w:pPr>
      <w:r>
        <w:rPr>
          <w:rFonts w:ascii="Times New Roman" w:cs="Times New Roman" w:eastAsia="Times New Roman" w:hAnsi="Times New Roman"/>
          <w:b/>
          <w:bCs/>
          <w:caps/>
          <w:sz w:val="28"/>
          <w:szCs w:val="28"/>
        </w:rPr>
        <w:t xml:space="preserve">ВВЕДЕНИЕ</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Задача краткосрочного и среднесрочного прогнозирования цен на финансовые инструменты — драгоценные металлы, сырьё, акции, криптовалюты — на горизонте от нескольких дней до месяца находится на пересечении математической статистики, машинного обучения и инженерии данных. Полученный прогноз цены и направления её движения используется как при принятии инвестиционных решений частными трейдерами, так и при настройке параметров алгоритмических торговых систем. Но именно на этих горизонтах классические статистические подходы (ARIMA, GARCH, экспоненциальное сглаживание) показывают наименьшую устойчивость, поскольку статистические свойства финансовых рядов не остаются постоянными во времени, а меняются вместе с макроэкономическим режимом, действиями регуляторов и неожиданными событиями.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Прогресс в области нейросетевых методов последних лет — рекуррентных архитектур (LSTM, GRU), темпоральных свёрток (TCN), трансформеров и так называемых foundation-моделей — открыл практический путь к более устойчивым предсказаниям. Однако сама по себе ML-модель не превращается в продукт, которым может пользоваться человек: для этого требуется веб-сервис с авторизацией пользователей, управлением длительными расчётами в фоне, хранением истории прогнозов и интерактивным интерфейсом. Именно стыка двух задач — выбор и настройка ансамбля моделей с одной стороны, и проектирование надёжного веб-сервиса вокруг них с другой — посвящена данная работа.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Степень разработанности темы. Классические методы анализа временных рядов рассмотрены в фундаментальной работе Бокса и Дженкинса [1]. Современные подходы на основе глубокого обучения проанализированы в работе Бай и др. [2], предложивших архитектуру TCN, и в обзорной работе Хевамалаге и др. [3]. Foundation-модели для временных рядов представлены в работах Гарзы и Мергенталер-Кансеко [4] (TimesFM) и Ансари и др. [5] (Chronos). Вопросы калибровки вероятностей рассматриваются в работе Никулеску-Мизила и Каруаны [6], принципы конформного прогнозирования — в монографии Вовка и др. [7]. Несмотря на богатый теоретический материал, в открытом доступе мало работ, демонстрирующих применение комплексных ансамблей разнородных моделей в составе целостного веб-сервиса с асинхронной обработкой запросов, аутентификацией пользователей и обработкой sentiment-фона новостей.</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Цель работы: </w:t>
      </w:r>
      <w:r>
        <w:rPr>
          <w:rFonts w:ascii="Times New Roman" w:cs="Times New Roman" w:eastAsia="Times New Roman" w:hAnsi="Times New Roman"/>
          <w:b w:val="false"/>
          <w:bCs w:val="false"/>
          <w:i w:val="false"/>
          <w:iCs w:val="false"/>
          <w:sz w:val="28"/>
          <w:szCs w:val="28"/>
        </w:rPr>
        <w:t xml:space="preserve">разработка веб-сервиса прогнозирования котировок золота и других финансовых инструментов на основе ансамбля методов машинного обучения.</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Задачи работы:</w:t>
      </w:r>
    </w:p>
    <w:p>
      <w:pPr>
        <w:spacing w:after="0" w:before="0" w:line="360" w:lineRule="auto"/>
        <w:ind w:left="708" w:hanging="360"/>
        <w:jc w:val="both"/>
      </w:pPr>
      <w:r>
        <w:rPr>
          <w:rFonts w:ascii="Times New Roman" w:cs="Times New Roman" w:eastAsia="Times New Roman" w:hAnsi="Times New Roman"/>
          <w:sz w:val="28"/>
          <w:szCs w:val="28"/>
        </w:rPr>
        <w:t xml:space="preserve">1. Провести обзор методов анализа и прогнозирования финансовых временных рядов.</w:t>
      </w:r>
    </w:p>
    <w:p>
      <w:pPr>
        <w:spacing w:after="0" w:before="0" w:line="360" w:lineRule="auto"/>
        <w:ind w:left="708" w:hanging="360"/>
        <w:jc w:val="both"/>
      </w:pPr>
      <w:r>
        <w:rPr>
          <w:rFonts w:ascii="Times New Roman" w:cs="Times New Roman" w:eastAsia="Times New Roman" w:hAnsi="Times New Roman"/>
          <w:sz w:val="28"/>
          <w:szCs w:val="28"/>
        </w:rPr>
        <w:t xml:space="preserve">2. Изучить архитектуры моделей машинного обучения, применимых для задачи прогнозирования: TCN, CatBoost, foundation-модели.</w:t>
      </w:r>
    </w:p>
    <w:p>
      <w:pPr>
        <w:spacing w:after="0" w:before="0" w:line="360" w:lineRule="auto"/>
        <w:ind w:left="708" w:hanging="360"/>
        <w:jc w:val="both"/>
      </w:pPr>
      <w:r>
        <w:rPr>
          <w:rFonts w:ascii="Times New Roman" w:cs="Times New Roman" w:eastAsia="Times New Roman" w:hAnsi="Times New Roman"/>
          <w:sz w:val="28"/>
          <w:szCs w:val="28"/>
        </w:rPr>
        <w:t xml:space="preserve">3. Реализовать сбор и предобработку исторических данных финансовых инструментов через Yahoo Finance API.</w:t>
      </w:r>
    </w:p>
    <w:p>
      <w:pPr>
        <w:spacing w:after="0" w:before="0" w:line="360" w:lineRule="auto"/>
        <w:ind w:left="708" w:hanging="360"/>
        <w:jc w:val="both"/>
      </w:pPr>
      <w:r>
        <w:rPr>
          <w:rFonts w:ascii="Times New Roman" w:cs="Times New Roman" w:eastAsia="Times New Roman" w:hAnsi="Times New Roman"/>
          <w:sz w:val="28"/>
          <w:szCs w:val="28"/>
        </w:rPr>
        <w:t xml:space="preserve">4. Разработать и обучить ансамбль моделей с применением walk-forward валидации и калибровки вероятностей.</w:t>
      </w:r>
    </w:p>
    <w:p>
      <w:pPr>
        <w:spacing w:after="0" w:before="0" w:line="360" w:lineRule="auto"/>
        <w:ind w:left="708" w:hanging="360"/>
        <w:jc w:val="both"/>
      </w:pPr>
      <w:r>
        <w:rPr>
          <w:rFonts w:ascii="Times New Roman" w:cs="Times New Roman" w:eastAsia="Times New Roman" w:hAnsi="Times New Roman"/>
          <w:sz w:val="28"/>
          <w:szCs w:val="28"/>
        </w:rPr>
        <w:t xml:space="preserve">5. Оценить точность прогнозирования с использованием метрик MAE, RMSE, MAPE, R², directional accuracy.</w:t>
      </w:r>
    </w:p>
    <w:p>
      <w:pPr>
        <w:spacing w:after="0" w:before="0" w:line="360" w:lineRule="auto"/>
        <w:ind w:left="708" w:hanging="360"/>
        <w:jc w:val="both"/>
      </w:pPr>
      <w:r>
        <w:rPr>
          <w:rFonts w:ascii="Times New Roman" w:cs="Times New Roman" w:eastAsia="Times New Roman" w:hAnsi="Times New Roman"/>
          <w:sz w:val="28"/>
          <w:szCs w:val="28"/>
        </w:rPr>
        <w:t xml:space="preserve">6. Реализовать sentiment-анализ новостей и его интеграцию в прогноз через bias-correction.</w:t>
      </w:r>
    </w:p>
    <w:p>
      <w:pPr>
        <w:spacing w:after="0" w:before="0" w:line="360" w:lineRule="auto"/>
        <w:ind w:left="708" w:hanging="360"/>
        <w:jc w:val="both"/>
      </w:pPr>
      <w:r>
        <w:rPr>
          <w:rFonts w:ascii="Times New Roman" w:cs="Times New Roman" w:eastAsia="Times New Roman" w:hAnsi="Times New Roman"/>
          <w:sz w:val="28"/>
          <w:szCs w:val="28"/>
        </w:rPr>
        <w:t xml:space="preserve">7. Разработать веб-интерфейс с авторизацией пользователей, асинхронной обработкой запросов и сохранением истории прогнозов.</w:t>
      </w:r>
    </w:p>
    <w:p>
      <w:pPr>
        <w:spacing w:after="0" w:before="0" w:line="360" w:lineRule="auto"/>
        <w:ind w:left="708" w:hanging="360"/>
        <w:jc w:val="both"/>
      </w:pPr>
      <w:r>
        <w:rPr>
          <w:rFonts w:ascii="Times New Roman" w:cs="Times New Roman" w:eastAsia="Times New Roman" w:hAnsi="Times New Roman"/>
          <w:sz w:val="28"/>
          <w:szCs w:val="28"/>
        </w:rPr>
        <w:t xml:space="preserve">8. Провести тестирование разработанной системы на реальных данных.</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Объект исследования</w:t>
      </w:r>
      <w:r>
        <w:rPr>
          <w:rFonts w:ascii="Times New Roman" w:cs="Times New Roman" w:eastAsia="Times New Roman" w:hAnsi="Times New Roman"/>
          <w:b w:val="false"/>
          <w:bCs w:val="false"/>
          <w:i w:val="false"/>
          <w:iCs w:val="false"/>
          <w:sz w:val="28"/>
          <w:szCs w:val="28"/>
        </w:rPr>
        <w:t xml:space="preserve"> — процесс прогнозирования цен финансовых инструментов.</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Предмет исследования</w:t>
      </w:r>
      <w:r>
        <w:rPr>
          <w:rFonts w:ascii="Times New Roman" w:cs="Times New Roman" w:eastAsia="Times New Roman" w:hAnsi="Times New Roman"/>
          <w:b w:val="false"/>
          <w:bCs w:val="false"/>
          <w:i w:val="false"/>
          <w:iCs w:val="false"/>
          <w:sz w:val="28"/>
          <w:szCs w:val="28"/>
        </w:rPr>
        <w:t xml:space="preserve"> — ансамблевые методы машинного обучения для краткосрочного и среднесрочного прогнозирования котировок.</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Методы исследования</w:t>
      </w:r>
      <w:r>
        <w:rPr>
          <w:rFonts w:ascii="Times New Roman" w:cs="Times New Roman" w:eastAsia="Times New Roman" w:hAnsi="Times New Roman"/>
          <w:b w:val="false"/>
          <w:bCs w:val="false"/>
          <w:i w:val="false"/>
          <w:iCs w:val="false"/>
          <w:sz w:val="28"/>
          <w:szCs w:val="28"/>
        </w:rPr>
        <w:t xml:space="preserve"> включают: методы статистического анализа временных рядов; методы машинного обучения (градиентный бустинг, темпоральные свёрточные сети, foundation-модели); методы walk-forward валидации; методы калибровки вероятностей; методы оценки точности прогнозов на основе метрик MAE, RMSE, MAPE, R² и directional accuracy.</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Практическая значимость работы</w:t>
      </w:r>
      <w:r>
        <w:rPr>
          <w:rFonts w:ascii="Times New Roman" w:cs="Times New Roman" w:eastAsia="Times New Roman" w:hAnsi="Times New Roman"/>
          <w:b w:val="false"/>
          <w:bCs w:val="false"/>
          <w:i w:val="false"/>
          <w:iCs w:val="false"/>
          <w:sz w:val="28"/>
          <w:szCs w:val="28"/>
        </w:rPr>
        <w:t xml:space="preserve"> заключается в реализации работающего веб-сервиса, доступного по сети Интернет, который может быть использован для получения прогнозов котировок широкого круга финансовых инструментов. Архитектурные и методологические решения, описанные в работе, могут быть использованы при разработке аналогичных систем поддержки принятия инвестиционных решений.</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Курсовая работа состоит из введения, трёх глав, заключения, списка использованных источников и двух приложений. Общий объём работы составляет 31 страницу. Список использованных источников включает 18 наименований.</w:t>
      </w:r>
    </w:p>
    <w:p>
      <w:pPr>
        <w:pageBreakBefore/>
        <w:spacing w:after="240" w:before="0" w:line="360" w:lineRule="auto"/>
        <w:jc w:val="center"/>
      </w:pPr>
      <w:r>
        <w:rPr>
          <w:rFonts w:ascii="Times New Roman" w:cs="Times New Roman" w:eastAsia="Times New Roman" w:hAnsi="Times New Roman"/>
          <w:b/>
          <w:bCs/>
          <w:caps/>
          <w:sz w:val="28"/>
          <w:szCs w:val="28"/>
        </w:rPr>
        <w:t xml:space="preserve">Глава 1. Теоретические основы прогнозирования финансовых временных рядов</w:t>
      </w:r>
    </w:p>
    <w:p>
      <w:pPr>
        <w:spacing w:after="120" w:before="240" w:line="360" w:lineRule="auto"/>
        <w:ind w:firstLine="708"/>
      </w:pPr>
      <w:r>
        <w:rPr>
          <w:rFonts w:ascii="Times New Roman" w:cs="Times New Roman" w:eastAsia="Times New Roman" w:hAnsi="Times New Roman"/>
          <w:b/>
          <w:bCs/>
          <w:sz w:val="28"/>
          <w:szCs w:val="28"/>
        </w:rPr>
        <w:t xml:space="preserve">1.1. Особенности финансовых временных рядов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Прежде чем выбирать модель, имеет смысл явно проговорить, чем финансовый временной ряд отличается от «обычного» — например, ряда дневных температур в городе. Эти отличия определяют, какие модели работают хорошо, какие плохо, и почему ансамбль из нескольких моделей часто оказывается лучше любой одной модели в отдельности. Из работы [1] и собственных наблюдений на пяти исследованных в Главе 3 активах можно перечислить следующие свойства:</w:t>
      </w:r>
    </w:p>
    <w:p>
      <w:pPr>
        <w:spacing w:after="0" w:before="0" w:line="360" w:lineRule="auto"/>
        <w:ind w:left="708" w:hanging="284"/>
        <w:jc w:val="both"/>
      </w:pPr>
      <w:r>
        <w:rPr>
          <w:rFonts w:ascii="Times New Roman" w:cs="Times New Roman" w:eastAsia="Times New Roman" w:hAnsi="Times New Roman"/>
          <w:sz w:val="28"/>
          <w:szCs w:val="28"/>
        </w:rPr>
        <w:t xml:space="preserve">— статистические характеристики ряда (среднее, дисперсия, корреляционная структура) не остаются постоянными — они меняются вместе со сменой макроэкономического режима, что эмпирически выражается в смещении распределения дневных доходностей в течение года;</w:t>
      </w:r>
    </w:p>
    <w:p>
      <w:pPr>
        <w:spacing w:after="0" w:before="0" w:line="360" w:lineRule="auto"/>
        <w:ind w:left="708" w:hanging="284"/>
        <w:jc w:val="both"/>
      </w:pPr>
      <w:r>
        <w:rPr>
          <w:rFonts w:ascii="Times New Roman" w:cs="Times New Roman" w:eastAsia="Times New Roman" w:hAnsi="Times New Roman"/>
          <w:sz w:val="28"/>
          <w:szCs w:val="28"/>
        </w:rPr>
        <w:t xml:space="preserve">— волатильность ряда сама по себе изменчива и группируется в кластеры — после большого однодневного движения с заметной вероятностью следует ещё одно крупное движение, в любую сторону;</w:t>
      </w:r>
    </w:p>
    <w:p>
      <w:pPr>
        <w:spacing w:after="0" w:before="0" w:line="360" w:lineRule="auto"/>
        <w:ind w:left="708" w:hanging="284"/>
        <w:jc w:val="both"/>
      </w:pPr>
      <w:r>
        <w:rPr>
          <w:rFonts w:ascii="Times New Roman" w:cs="Times New Roman" w:eastAsia="Times New Roman" w:hAnsi="Times New Roman"/>
          <w:sz w:val="28"/>
          <w:szCs w:val="28"/>
        </w:rPr>
        <w:t xml:space="preserve">— распределение дневных доходностей имеет тяжёлые хвосты — экстремальные движения происходят чаще, чем предсказывает нормальное распределение с той же дисперсией;</w:t>
      </w:r>
    </w:p>
    <w:p>
      <w:pPr>
        <w:spacing w:after="0" w:before="0" w:line="360" w:lineRule="auto"/>
        <w:ind w:left="708" w:hanging="284"/>
        <w:jc w:val="both"/>
      </w:pPr>
      <w:r>
        <w:rPr>
          <w:rFonts w:ascii="Times New Roman" w:cs="Times New Roman" w:eastAsia="Times New Roman" w:hAnsi="Times New Roman"/>
          <w:sz w:val="28"/>
          <w:szCs w:val="28"/>
        </w:rPr>
        <w:t xml:space="preserve">— сами доходности имеют слабую автокорреляцию (рынок «не помнит» направление вчерашнего дня), но квадраты доходностей коррелируют сильно — это и есть формальное описание кластеризации волатильности;</w:t>
      </w:r>
    </w:p>
    <w:p>
      <w:pPr>
        <w:spacing w:after="0" w:before="0" w:line="360" w:lineRule="auto"/>
        <w:ind w:left="708" w:hanging="284"/>
        <w:jc w:val="both"/>
      </w:pPr>
      <w:r>
        <w:rPr>
          <w:rFonts w:ascii="Times New Roman" w:cs="Times New Roman" w:eastAsia="Times New Roman" w:hAnsi="Times New Roman"/>
          <w:sz w:val="28"/>
          <w:szCs w:val="28"/>
        </w:rPr>
        <w:t xml:space="preserve">— крупные новостные события (решения регуляторов, геополитические потрясения, корпоративные отчёты) приводят к скачкообразным изменениям свойств ряда, не описываемым гладкими стохастическими моделями.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По этой причине в работе моделируются не сами цены P_t, а логарифмические доходности r_t = ln(P_t / P_{t − 1}). Доходности ближе к стационарной величине, и их распределение после стандартизации более симметрично, чем у цен. Тем не менее, даже логарифмические доходности на исследованных активах демонстрируют заметный эксцесс (например, для BTC-USD за период 2020–2025 годов выборочный эксцесс составил приблизительно 7.8 при значении 3 для нормального распределения) и слабую отрицательную асимметрию, особенно выраженную на акциях.</w:t>
      </w:r>
    </w:p>
    <w:p>
      <w:pPr>
        <w:spacing w:after="120" w:before="240" w:line="360" w:lineRule="auto"/>
        <w:ind w:firstLine="708"/>
      </w:pPr>
      <w:r>
        <w:rPr>
          <w:rFonts w:ascii="Times New Roman" w:cs="Times New Roman" w:eastAsia="Times New Roman" w:hAnsi="Times New Roman"/>
          <w:b/>
          <w:bCs/>
          <w:sz w:val="28"/>
          <w:szCs w:val="28"/>
        </w:rPr>
        <w:t xml:space="preserve">1.2. Обзор методов прогнозирования</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Класс ARIMA. </w:t>
      </w:r>
      <w:r>
        <w:rPr>
          <w:rFonts w:ascii="Times New Roman" w:cs="Times New Roman" w:eastAsia="Times New Roman" w:hAnsi="Times New Roman"/>
          <w:b w:val="false"/>
          <w:bCs w:val="false"/>
          <w:i w:val="false"/>
          <w:iCs w:val="false"/>
          <w:sz w:val="28"/>
          <w:szCs w:val="28"/>
        </w:rPr>
        <w:t xml:space="preserve">Семейство моделей ARIMA, описанное в [1], в рамках данной работы рассматривалось как baseline. Для золота на горизонте 30 дней оно даёт MAPE порядка 1.6–1.9 %, что заметно уступает машинному обучению; основная причина — невозможность учесть структурные сдвиги (например, реакцию рынка на изменения учётной ставки ФРС или геополитические события), которые на сырьевых рынках происходят регулярно и не вписываются в стационарную модель. Параметры (p, d, q) подбирались автоматически по информационному критерию AIC, что давало неустойчивые результаты при изменении окна обучения.</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Сети LSTM. </w:t>
      </w:r>
      <w:r>
        <w:rPr>
          <w:rFonts w:ascii="Times New Roman" w:cs="Times New Roman" w:eastAsia="Times New Roman" w:hAnsi="Times New Roman"/>
          <w:b w:val="false"/>
          <w:bCs w:val="false"/>
          <w:i w:val="false"/>
          <w:iCs w:val="false"/>
          <w:sz w:val="28"/>
          <w:szCs w:val="28"/>
        </w:rPr>
        <w:t xml:space="preserve">Сеть LSTM [8] на ранних этапах рассматривалась как основная архитектура — её упомянутая в работе Староверова [13] версия для XAU/USD служит непосредственным предшественником данного проекта. Однако в ходе экспериментов выяснилось два узких места. Во-первых, обучение каждой модели на ноутбуке без GPU занимало около 90–120 секунд для одного актива, что неприемлемо в режиме онлайн-сервиса. Во-вторых, при работе на длинных окнах (более 90 дней) LSTM нередко «забывала» начало последовательности — эффект, который теоретически объясняется в [3] и который мне удалось наблюдать в собственных запусках через визуализацию активаций промежуточных слоёв.</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Сети TCN. </w:t>
      </w:r>
      <w:r>
        <w:rPr>
          <w:rFonts w:ascii="Times New Roman" w:cs="Times New Roman" w:eastAsia="Times New Roman" w:hAnsi="Times New Roman"/>
          <w:b w:val="false"/>
          <w:bCs w:val="false"/>
          <w:i w:val="false"/>
          <w:iCs w:val="false"/>
          <w:sz w:val="28"/>
          <w:szCs w:val="28"/>
        </w:rPr>
        <w:t xml:space="preserve">В качестве альтернативы LSTM была выбрана архитектура TCN из работы [2]. Ключевая для меня причина выбора — возможность распараллелить обучение по временной оси: за счёт этого тренировка одного актива на CPU занимает около 25–30 секунд против 90–120 у LSTM. Кроме того, расширяющиеся (dilated) свёртки дают предсказуемое рецептивное поле — для четырёх блоков с dilation rates 1, 2, 4, 8 и размером ядра 3 рецептивное поле составляет 2 ⋅ ((3 − 1) ⋅ (1 + 2 + 4 + 8)) + 1 = 61 шаг, что точно перекрывает выбранную длину окна SEQ_LEN = 60. Эта арифметика приведена прямо в комментариях к архитектуре в файле app/prediction.py.</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Градиентный бустинг. </w:t>
      </w:r>
      <w:r>
        <w:rPr>
          <w:rFonts w:ascii="Times New Roman" w:cs="Times New Roman" w:eastAsia="Times New Roman" w:hAnsi="Times New Roman"/>
          <w:b w:val="false"/>
          <w:bCs w:val="false"/>
          <w:i w:val="false"/>
          <w:iCs w:val="false"/>
          <w:sz w:val="28"/>
          <w:szCs w:val="28"/>
        </w:rPr>
        <w:t xml:space="preserve">Алгоритм CatBoost из работы [9] был добавлен в проект как «второе мнение» к нейросетевому прогнозу, а не как основной метод. Мотивация была эмпирической: при предварительном тестировании на тикере GC=F отдельно работавший CatBoost давал MAPE 1.4 %, что хуже TCN (≈1.0 %), но ошибки двух моделей оказались слабо коррелированы (коэффициент Пирсона ≈ 0.35 на out-of-fold предсказаниях). Это означает, что взвешенная комбинация двух моделей даёт меньшую дисперсию ошибок — что и подтвердилось далее в Главе 3. Признаки для CatBoost формируются как набор лагов (1, 5, 10, 30 дней), скользящие средние и набор технических индикаторов (RSI, MACD, ATR), которые TCN-модель сама не рассчитывает.</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Foundation-модели. </w:t>
      </w:r>
      <w:r>
        <w:rPr>
          <w:rFonts w:ascii="Times New Roman" w:cs="Times New Roman" w:eastAsia="Times New Roman" w:hAnsi="Times New Roman"/>
          <w:b w:val="false"/>
          <w:bCs w:val="false"/>
          <w:i w:val="false"/>
          <w:iCs w:val="false"/>
          <w:sz w:val="28"/>
          <w:szCs w:val="28"/>
        </w:rPr>
        <w:t xml:space="preserve">TimesFM [4] и Chronos [5] подключаются опционально, по флагу use_foundation в форме запроса. Решающим аргументом «за» в моём случае стало не качество (для дневного прогноза золота zero-shot Chronos уступает TCN на 0.2–0.4 пункта MAPE), а отсутствие необходимости в обучении — модель применяется к ряду как есть. Это даёт независимый от моих признаков сигнал, который добавляет полезную информацию ансамблю. Минус подхода — ощутимое замедление расчёта (около +20 секунд на одном тикере) и зависимость от установленной версии библиотек, поэтому foundation-модели включены не по умолчанию, а по выбору пользователя.</w:t>
      </w:r>
    </w:p>
    <w:p>
      <w:pPr>
        <w:spacing w:after="120" w:before="240" w:line="360" w:lineRule="auto"/>
        <w:ind w:firstLine="708"/>
      </w:pPr>
      <w:r>
        <w:rPr>
          <w:rFonts w:ascii="Times New Roman" w:cs="Times New Roman" w:eastAsia="Times New Roman" w:hAnsi="Times New Roman"/>
          <w:b/>
          <w:bCs/>
          <w:sz w:val="28"/>
          <w:szCs w:val="28"/>
        </w:rPr>
        <w:t xml:space="preserve">1.3. Метрики оценки качества прогнозов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Качество прогноза в данной работе оценивается набором из пяти взаимодополняющих метрик. Каждая измеряет свой аспект «попадания» прогноза в реальность; ни одна по отдельности не даёт полной картины.</w:t>
      </w:r>
    </w:p>
    <w:p>
      <w:pPr>
        <w:spacing w:after="0" w:before="0" w:line="360" w:lineRule="auto"/>
        <w:ind w:left="708" w:hanging="284"/>
        <w:jc w:val="both"/>
      </w:pPr>
      <w:r>
        <w:rPr>
          <w:rFonts w:ascii="Times New Roman" w:cs="Times New Roman" w:eastAsia="Times New Roman" w:hAnsi="Times New Roman"/>
          <w:sz w:val="28"/>
          <w:szCs w:val="28"/>
        </w:rPr>
        <w:t xml:space="preserve">— MAE (mean absolute error) — средняя по выборке модуля разницы прогноза и факта; измеряется в тех же единицах, что и цена. Удобна для абсолютной оценки в долларах или иной валюте: «ошибка ±18 долларов на унцию золота» легко интерпретируется содержательно.</w:t>
      </w:r>
    </w:p>
    <w:p>
      <w:pPr>
        <w:spacing w:after="0" w:before="0" w:line="360" w:lineRule="auto"/>
        <w:ind w:left="708" w:hanging="284"/>
        <w:jc w:val="both"/>
      </w:pPr>
      <w:r>
        <w:rPr>
          <w:rFonts w:ascii="Times New Roman" w:cs="Times New Roman" w:eastAsia="Times New Roman" w:hAnsi="Times New Roman"/>
          <w:sz w:val="28"/>
          <w:szCs w:val="28"/>
        </w:rPr>
        <w:t xml:space="preserve">— RMSE (root mean squared error) — корень из среднего квадрата отклонений; ту же единицу измерения, что и MAE, но из-за квадратичной формы более чувствителен к редким большим ошибкам, так что на активах с волатильными хвостами (биткоин) RMSE заметно выше MAE.</w:t>
      </w:r>
    </w:p>
    <w:p>
      <w:pPr>
        <w:spacing w:after="0" w:before="0" w:line="360" w:lineRule="auto"/>
        <w:ind w:left="708" w:hanging="284"/>
        <w:jc w:val="both"/>
      </w:pPr>
      <w:r>
        <w:rPr>
          <w:rFonts w:ascii="Times New Roman" w:cs="Times New Roman" w:eastAsia="Times New Roman" w:hAnsi="Times New Roman"/>
          <w:sz w:val="28"/>
          <w:szCs w:val="28"/>
        </w:rPr>
        <w:t xml:space="preserve">— MAPE (mean absolute percentage error) — средняя относительная ошибка, выраженная в процентах. Главное достоинство — переносимость между активами с разными масштабами цены: значение MAPE 1 % одинаково осмысленно для золота (ошибка ≈ 18 долларов на унцию ≈ 1 800 долларов) и для биткоина (ошибка ≈ 1 200 долларов на цене 75 000).</w:t>
      </w:r>
    </w:p>
    <w:p>
      <w:pPr>
        <w:spacing w:after="0" w:before="0" w:line="360" w:lineRule="auto"/>
        <w:ind w:left="708" w:hanging="284"/>
        <w:jc w:val="both"/>
      </w:pPr>
      <w:r>
        <w:rPr>
          <w:rFonts w:ascii="Times New Roman" w:cs="Times New Roman" w:eastAsia="Times New Roman" w:hAnsi="Times New Roman"/>
          <w:sz w:val="28"/>
          <w:szCs w:val="28"/>
        </w:rPr>
        <w:t xml:space="preserve">— R² (коэффициент детерминации) — доля дисперсии цены, объяснённая моделью; равен 1 при идеальном прогнозе и 0 для константного прогноза средним. Отрицательные значения возникают, когда модель прогнозирует хуже, чем «всегда то же среднее», что является диагностическим признаком серьёзной проблемы (переобучение, утечка между фолдами).</w:t>
      </w:r>
    </w:p>
    <w:p>
      <w:pPr>
        <w:spacing w:after="0" w:before="0" w:line="360" w:lineRule="auto"/>
        <w:ind w:left="708" w:hanging="284"/>
        <w:jc w:val="both"/>
      </w:pPr>
      <w:r>
        <w:rPr>
          <w:rFonts w:ascii="Times New Roman" w:cs="Times New Roman" w:eastAsia="Times New Roman" w:hAnsi="Times New Roman"/>
          <w:sz w:val="28"/>
          <w:szCs w:val="28"/>
        </w:rPr>
        <w:t xml:space="preserve">— directional accuracy — доля шагов, на которых прогноз верно предсказывает знак изменения цены. Эта метрика отдельно полезна для трейдинговых сценариев: даже небольшое смещение directional accuracy выше 0.5 может быть выгодно использовано через правильное управление размером позиции, тогда как абсолютная ошибка цены при этом может оставаться существенной.</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Все пять метрик считаются на out-of-sample выборках, формируемых walk-forward валидацией (см. §3.5), и усредняются по фолдам. На реализованных в проекте экспериментах высокое directional accuracy и низкое MAPE как правило идут рука об руку, но не всегда: на биткоине наблюдалась пара (MAPE = 1.67 %, directional accuracy = 55.4 %), и это вполне объяснимо — модель неплохо ловит направление крупных движений, но переоценивает или недооценивает их амплитуду.</w:t>
      </w:r>
    </w:p>
    <w:p>
      <w:pPr>
        <w:spacing w:after="120" w:before="240" w:line="360" w:lineRule="auto"/>
        <w:ind w:firstLine="708"/>
      </w:pPr>
      <w:r>
        <w:rPr>
          <w:rFonts w:ascii="Times New Roman" w:cs="Times New Roman" w:eastAsia="Times New Roman" w:hAnsi="Times New Roman"/>
          <w:b/>
          <w:bCs/>
          <w:sz w:val="28"/>
          <w:szCs w:val="28"/>
        </w:rPr>
        <w:t xml:space="preserve">1.4. Калибровка вероятностей и оценка неопределённости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Прогнозы вероятностного классификатора (например, классификатора направления цены вверх/вниз) часто оказываются плохо откалиброваны: ситуации, на которых модель «уверена на 70 %», в реальности оборачиваются положительным исходом не в 70 %, а в 55–60 % случаев. Эта систематическая переоценка уверенности рассмотрена в работе [6] и наблюдается у TCN-классификатора в данной курсовой на out-of-sample предсказаниях для всех пяти исследованных активов.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коррекции применяется один из двух подходов — пост-калибровка через масштабирование Платта или через изотоническую регрессию. В реализации проекта (модуль calibration.py) выбор делается автоматически по объёму калибровочной выборки: при n_oos ≥ 1000 применяется изотоническая регрессия (как более гибкая), при меньшем — масштабирование Платта (как более устойчивое к шуму на малых данных). Точка переключения 1000 взята из эмпирического исследования [6] и подтверждена локальными экспериментами на ряду BTC-USD, где для горизонта 30 дней n_oos составляет около 1200, и переход на изотоническую регрессию даёт снижение Brier score с 0.221 до 0.196.</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Помимо точечного прогноза, в проекте отдаются доверительные интервалы для предсказанной цены. Для интервалов используется split-conformal prediction по схеме из [7] и [10]: вычисляется квантиль α = 0.10 от абсолютных ошибок на отложенной части walk-forward предсказаний, затем для каждого нового прогноза ŷ возвращается интервал [ŷ − q, ŷ + q]. Гарантия покрытия 90 % сохраняется при выполнении предположения об обмениваемости (exchangeability), которое для скользящего окна не строго выполнено, но эмпирически наблюдаемое покрытие на отложенной валидации составило 87–91 % в зависимости от актива.</w:t>
      </w:r>
    </w:p>
    <w:p>
      <w:pPr>
        <w:spacing w:after="120" w:before="240" w:line="360" w:lineRule="auto"/>
        <w:ind w:firstLine="708"/>
      </w:pPr>
      <w:r>
        <w:rPr>
          <w:rFonts w:ascii="Times New Roman" w:cs="Times New Roman" w:eastAsia="Times New Roman" w:hAnsi="Times New Roman"/>
          <w:b/>
          <w:bCs/>
          <w:sz w:val="28"/>
          <w:szCs w:val="28"/>
        </w:rPr>
        <w:t xml:space="preserve">1.5. Sentiment-анализ как дополнительный источник информации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Цена не движется только в ответ на собственную динамику — на неё влияют новости. Чем «отрицательнее» эмоциональный фон публикаций о компании или сырьевом активе, тем выше вероятность того, что в ближайшие дни рынок отыграет это движением вниз; соответственно, положительный фон стимулирует рост котировок. Чтобы учесть этот эффект количественно, в проект встроен модуль sentiment-анализа: он скачивает заголовки и краткие выдержки публикаций по запрошенному тикеру за последние 7 дней и оценивает каждую публикацию числом s ∈ [−1, +1].</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Оценка тональности производится моделью FinBERT [12], которая представляет собой дообученную на размеченных корпусах финансовых новостей версию BERT-base. Выбор именно этой модели, а не более общих instruct-моделей или классических лексических методов вроде VADER, объясняется тем, что финансовая лексика существенно отличается от общеупотребительной — слово «слабый» применительно к компании и применительно к погоде имеет противоположные оттенки, и без специализированного обучения модель путается. Усреднённое значение s_avg по всем доступным сообщениям далее применяется как мультипликативный bias к итоговому прогнозу ансамбля; конкретная формула приведена в §3.4.</w:t>
      </w:r>
    </w:p>
    <w:p>
      <w:pPr>
        <w:pageBreakBefore/>
        <w:spacing w:after="240" w:before="0" w:line="360" w:lineRule="auto"/>
        <w:jc w:val="center"/>
      </w:pPr>
      <w:r>
        <w:rPr>
          <w:rFonts w:ascii="Times New Roman" w:cs="Times New Roman" w:eastAsia="Times New Roman" w:hAnsi="Times New Roman"/>
          <w:b/>
          <w:bCs/>
          <w:caps/>
          <w:sz w:val="28"/>
          <w:szCs w:val="28"/>
        </w:rPr>
        <w:t xml:space="preserve">Глава 2. Архитектура веб-сервиса</w:t>
      </w:r>
    </w:p>
    <w:p>
      <w:pPr>
        <w:spacing w:after="120" w:before="240" w:line="360" w:lineRule="auto"/>
        <w:ind w:firstLine="708"/>
      </w:pPr>
      <w:r>
        <w:rPr>
          <w:rFonts w:ascii="Times New Roman" w:cs="Times New Roman" w:eastAsia="Times New Roman" w:hAnsi="Times New Roman"/>
          <w:b/>
          <w:bCs/>
          <w:sz w:val="28"/>
          <w:szCs w:val="28"/>
        </w:rPr>
        <w:t xml:space="preserve">2.1. Стек технологий</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Стек технологий проекта складывался поэтапно — отправной точкой был Python (по причине богатой экосистемы для машинного обучения), а уже от него подбирались остальные компоненты. Итоговый набор:</w:t>
      </w:r>
    </w:p>
    <w:p>
      <w:pPr>
        <w:spacing w:after="0" w:before="0" w:line="360" w:lineRule="auto"/>
        <w:ind w:left="708" w:hanging="284"/>
        <w:jc w:val="both"/>
      </w:pPr>
      <w:r>
        <w:rPr>
          <w:rFonts w:ascii="Times New Roman" w:cs="Times New Roman" w:eastAsia="Times New Roman" w:hAnsi="Times New Roman"/>
          <w:sz w:val="28"/>
          <w:szCs w:val="28"/>
        </w:rPr>
        <w:t xml:space="preserve">— бэкенд — Python 3.12 как основной язык, FastAPI [16] как HTTP-фреймворк, SQLAlchemy для ORM-доступа к базе, Celery + Redis для отложенных задач;</w:t>
      </w:r>
    </w:p>
    <w:p>
      <w:pPr>
        <w:spacing w:after="0" w:before="0" w:line="360" w:lineRule="auto"/>
        <w:ind w:left="708" w:hanging="284"/>
        <w:jc w:val="both"/>
      </w:pPr>
      <w:r>
        <w:rPr>
          <w:rFonts w:ascii="Times New Roman" w:cs="Times New Roman" w:eastAsia="Times New Roman" w:hAnsi="Times New Roman"/>
          <w:sz w:val="28"/>
          <w:szCs w:val="28"/>
        </w:rPr>
        <w:t xml:space="preserve">— хранилище — PostgreSQL 15 [18] с использованием JSONB-полей под подробные результаты прогнозов;</w:t>
      </w:r>
    </w:p>
    <w:p>
      <w:pPr>
        <w:spacing w:after="0" w:before="0" w:line="360" w:lineRule="auto"/>
        <w:ind w:left="708" w:hanging="284"/>
        <w:jc w:val="both"/>
      </w:pPr>
      <w:r>
        <w:rPr>
          <w:rFonts w:ascii="Times New Roman" w:cs="Times New Roman" w:eastAsia="Times New Roman" w:hAnsi="Times New Roman"/>
          <w:sz w:val="28"/>
          <w:szCs w:val="28"/>
        </w:rPr>
        <w:t xml:space="preserve">— машинное обучение — TensorFlow/Keras для TCN-модели, CatBoost от Yandex Research для градиентного бустинга, библиотека scikit-learn для классических методов и для пост-калибровки;</w:t>
      </w:r>
    </w:p>
    <w:p>
      <w:pPr>
        <w:spacing w:after="0" w:before="0" w:line="360" w:lineRule="auto"/>
        <w:ind w:left="708" w:hanging="284"/>
        <w:jc w:val="both"/>
      </w:pPr>
      <w:r>
        <w:rPr>
          <w:rFonts w:ascii="Times New Roman" w:cs="Times New Roman" w:eastAsia="Times New Roman" w:hAnsi="Times New Roman"/>
          <w:sz w:val="28"/>
          <w:szCs w:val="28"/>
        </w:rPr>
        <w:t xml:space="preserve">— фронтенд — Next.js 16 [17] в режиме статической генерации с базовым путём «/v2», React 19, TypeScript, TanStack Query для управления сетевыми состояниями;</w:t>
      </w:r>
    </w:p>
    <w:p>
      <w:pPr>
        <w:spacing w:after="0" w:before="0" w:line="360" w:lineRule="auto"/>
        <w:ind w:left="708" w:hanging="284"/>
        <w:jc w:val="both"/>
      </w:pPr>
      <w:r>
        <w:rPr>
          <w:rFonts w:ascii="Times New Roman" w:cs="Times New Roman" w:eastAsia="Times New Roman" w:hAnsi="Times New Roman"/>
          <w:sz w:val="28"/>
          <w:szCs w:val="28"/>
        </w:rPr>
        <w:t xml:space="preserve">— инфраструктура — nginx с TLS, развёртывание на двух виртуальных серверах с приватным каналом через WireGuard, мониторинг через Prometheus и Grafana с уведомлениями в Telegram.</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FastAPI выбран не как «самый быстрый», а как фреймворк, который из коробки решает три практических задачи: автоматическую валидацию входных данных через Pydantic-модели (что в проекте критично — пользователь передаёт даты, тикеры, числовые параметры в форме прогноза, и любая ошибка должна возвращаться сразу с понятным описанием), асинхронность и автоматическую генерацию OpenAPI-документации, которой в дальнейшем пользовались тесты. Альтернативой рассматривался Flask, от которого пришлось отказаться из-за необходимости вручную писать слой валидации и сериализации.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PostgreSQL выбран в первую очередь ради JSONB-поля result_json в таблице prediction_history: один прогноз содержит более тридцати взаимосвязанных значений (массивы дат, ценовых прогнозов, доверительных интервалов, метрик качества, технических индикаторов), и помещать каждое поле в отдельный столбец избыточно, а реляционно нормировать — неудобно для чтения «целиком».</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Next.js в режиме output: «export» был выбран после отказа от классических Jinja-шаблонов на стороне FastAPI: статическая генерация позволяет отдавать HTML/JS-бандл напрямую с nginx без участия Python, что упрощает развёртывание и сокращает время отклика страниц. TanStack Query взят за поддержку фоновой синхронизации запросов и автоматическую дедупликацию параллельных вызовов одного и того же эндпоинта.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Celery с Redis в качестве брокера — стандартный для Python способ запускать отложенные задачи. В альтернативу рассматривался asyncio-only вариант (без отдельного воркера), но оказалось, что обучение TCN-модели — это CPU-bound операция длительностью 30–90 секунд, и держать её внутри основного event-loop FastAPI неприемлемо: один такой запрос блокировал бы все остальные.</w:t>
      </w:r>
    </w:p>
    <w:p>
      <w:pPr>
        <w:spacing w:after="120" w:before="240" w:line="360" w:lineRule="auto"/>
        <w:ind w:firstLine="708"/>
      </w:pPr>
      <w:r>
        <w:rPr>
          <w:rFonts w:ascii="Times New Roman" w:cs="Times New Roman" w:eastAsia="Times New Roman" w:hAnsi="Times New Roman"/>
          <w:b/>
          <w:bCs/>
          <w:sz w:val="28"/>
          <w:szCs w:val="28"/>
        </w:rPr>
        <w:t xml:space="preserve">2.2. Архитектура backend-части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Backend веб-сервиса реализован на основе фреймворка FastAPI и поддерживает асинхронное выполнение запросов. Основные функциональные модули:</w:t>
      </w:r>
    </w:p>
    <w:p>
      <w:pPr>
        <w:spacing w:after="0" w:before="0" w:line="360" w:lineRule="auto"/>
        <w:ind w:left="708" w:hanging="284"/>
        <w:jc w:val="both"/>
      </w:pPr>
      <w:r>
        <w:rPr>
          <w:rFonts w:ascii="Times New Roman" w:cs="Times New Roman" w:eastAsia="Times New Roman" w:hAnsi="Times New Roman"/>
          <w:sz w:val="28"/>
          <w:szCs w:val="28"/>
        </w:rPr>
        <w:t xml:space="preserve">— модуль API (app/main.py) — реализует HTTP-эндпоинты для регистрации и аутентификации пользователей, запуска прогноза, получения статуса задачи и истории прогнозов;</w:t>
      </w:r>
    </w:p>
    <w:p>
      <w:pPr>
        <w:spacing w:after="0" w:before="0" w:line="360" w:lineRule="auto"/>
        <w:ind w:left="708" w:hanging="284"/>
        <w:jc w:val="both"/>
      </w:pPr>
      <w:r>
        <w:rPr>
          <w:rFonts w:ascii="Times New Roman" w:cs="Times New Roman" w:eastAsia="Times New Roman" w:hAnsi="Times New Roman"/>
          <w:sz w:val="28"/>
          <w:szCs w:val="28"/>
        </w:rPr>
        <w:t xml:space="preserve">— модуль предсказания (app/prediction.py) — содержит реализацию TCN-модели, ансамблирования с CatBoost и foundation-моделями, применение sentiment-bias;</w:t>
      </w:r>
    </w:p>
    <w:p>
      <w:pPr>
        <w:spacing w:after="0" w:before="0" w:line="360" w:lineRule="auto"/>
        <w:ind w:left="708" w:hanging="284"/>
        <w:jc w:val="both"/>
      </w:pPr>
      <w:r>
        <w:rPr>
          <w:rFonts w:ascii="Times New Roman" w:cs="Times New Roman" w:eastAsia="Times New Roman" w:hAnsi="Times New Roman"/>
          <w:sz w:val="28"/>
          <w:szCs w:val="28"/>
        </w:rPr>
        <w:t xml:space="preserve">— модуль sentiment-анализа (app/sentiment.py) — выполняет сбор новостей по запрошенному тикеру и оценку их эмоциональной окраски;</w:t>
      </w:r>
    </w:p>
    <w:p>
      <w:pPr>
        <w:spacing w:after="0" w:before="0" w:line="360" w:lineRule="auto"/>
        <w:ind w:left="708" w:hanging="284"/>
        <w:jc w:val="both"/>
      </w:pPr>
      <w:r>
        <w:rPr>
          <w:rFonts w:ascii="Times New Roman" w:cs="Times New Roman" w:eastAsia="Times New Roman" w:hAnsi="Times New Roman"/>
          <w:sz w:val="28"/>
          <w:szCs w:val="28"/>
        </w:rPr>
        <w:t xml:space="preserve">— модуль фоновых задач (app/celery_worker.py) — определяет Celery-таски и запускает воркер для асинхронного выполнения долгих задач прогнозирования;</w:t>
      </w:r>
    </w:p>
    <w:p>
      <w:pPr>
        <w:spacing w:after="0" w:before="0" w:line="360" w:lineRule="auto"/>
        <w:ind w:left="708" w:hanging="284"/>
        <w:jc w:val="both"/>
      </w:pPr>
      <w:r>
        <w:rPr>
          <w:rFonts w:ascii="Times New Roman" w:cs="Times New Roman" w:eastAsia="Times New Roman" w:hAnsi="Times New Roman"/>
          <w:sz w:val="28"/>
          <w:szCs w:val="28"/>
        </w:rPr>
        <w:t xml:space="preserve">— модуль данных (app/data.py) — реализует сбор данных через Yahoo Finance API, их кеширование и предобработку.</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работы с базой данных используется ORM SQLAlchemy с системой миграций на основе Alembic. Все долгие фоновые задачи (например, обучение моделей и выполнение прогнозов на больших окнах) делегируются Celery-воркерам через Redis-брокер, что позволяет HTTP-эндпоинту FastAPI быстро возвращать управление клиенту с идентификатором задачи task_id, а клиент затем опрашивает статус задачи через отдельный эндпоинт.</w:t>
      </w:r>
    </w:p>
    <w:p>
      <w:pPr>
        <w:spacing w:after="120" w:before="240" w:line="360" w:lineRule="auto"/>
        <w:ind w:firstLine="708"/>
      </w:pPr>
      <w:r>
        <w:rPr>
          <w:rFonts w:ascii="Times New Roman" w:cs="Times New Roman" w:eastAsia="Times New Roman" w:hAnsi="Times New Roman"/>
          <w:b/>
          <w:bCs/>
          <w:sz w:val="28"/>
          <w:szCs w:val="28"/>
        </w:rPr>
        <w:t xml:space="preserve">2.3. Модель данных</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Основные таблицы базы данных:</w:t>
      </w:r>
    </w:p>
    <w:p>
      <w:pPr>
        <w:spacing w:after="0" w:before="0" w:line="360" w:lineRule="auto"/>
        <w:ind w:left="708" w:hanging="284"/>
        <w:jc w:val="both"/>
      </w:pPr>
      <w:r>
        <w:rPr>
          <w:rFonts w:ascii="Times New Roman" w:cs="Times New Roman" w:eastAsia="Times New Roman" w:hAnsi="Times New Roman"/>
          <w:sz w:val="28"/>
          <w:szCs w:val="28"/>
        </w:rPr>
        <w:t xml:space="preserve">— users — пользователи системы (id, username, email, hashed_password, role_id, session_token);</w:t>
      </w:r>
    </w:p>
    <w:p>
      <w:pPr>
        <w:spacing w:after="0" w:before="0" w:line="360" w:lineRule="auto"/>
        <w:ind w:left="708" w:hanging="284"/>
        <w:jc w:val="both"/>
      </w:pPr>
      <w:r>
        <w:rPr>
          <w:rFonts w:ascii="Times New Roman" w:cs="Times New Roman" w:eastAsia="Times New Roman" w:hAnsi="Times New Roman"/>
          <w:sz w:val="28"/>
          <w:szCs w:val="28"/>
        </w:rPr>
        <w:t xml:space="preserve">— roles — роли пользователей (user, admin);</w:t>
      </w:r>
    </w:p>
    <w:p>
      <w:pPr>
        <w:spacing w:after="0" w:before="0" w:line="360" w:lineRule="auto"/>
        <w:ind w:left="708" w:hanging="284"/>
        <w:jc w:val="both"/>
      </w:pPr>
      <w:r>
        <w:rPr>
          <w:rFonts w:ascii="Times New Roman" w:cs="Times New Roman" w:eastAsia="Times New Roman" w:hAnsi="Times New Roman"/>
          <w:sz w:val="28"/>
          <w:szCs w:val="28"/>
        </w:rPr>
        <w:t xml:space="preserve">— tickers — справочник финансовых инструментов (id, symbol);</w:t>
      </w:r>
    </w:p>
    <w:p>
      <w:pPr>
        <w:spacing w:after="0" w:before="0" w:line="360" w:lineRule="auto"/>
        <w:ind w:left="708" w:hanging="284"/>
        <w:jc w:val="both"/>
      </w:pPr>
      <w:r>
        <w:rPr>
          <w:rFonts w:ascii="Times New Roman" w:cs="Times New Roman" w:eastAsia="Times New Roman" w:hAnsi="Times New Roman"/>
          <w:sz w:val="28"/>
          <w:szCs w:val="28"/>
        </w:rPr>
        <w:t xml:space="preserve">— model_info — метаданные обученных моделей (id, name, parameters_json, mae, rmse);</w:t>
      </w:r>
    </w:p>
    <w:p>
      <w:pPr>
        <w:spacing w:after="0" w:before="0" w:line="360" w:lineRule="auto"/>
        <w:ind w:left="708" w:hanging="284"/>
        <w:jc w:val="both"/>
      </w:pPr>
      <w:r>
        <w:rPr>
          <w:rFonts w:ascii="Times New Roman" w:cs="Times New Roman" w:eastAsia="Times New Roman" w:hAnsi="Times New Roman"/>
          <w:sz w:val="28"/>
          <w:szCs w:val="28"/>
        </w:rPr>
        <w:t xml:space="preserve">— prediction_history — история прогнозов пользователя (id, user_id, ticker, start_date, end_date, days_ahead, model_name, mape, result_json, created_at).</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оптимизации поиска по истории прогнозов установлены индексы по полю user_id и комбинации (user_id, created_at). Для хранения подробных результатов прогноза (массивы прогнозируемых значений, доверительные интервалы, технические индикаторы) используется поле result_json типа JSONB таблицы prediction_history; это позволяет хранить структурированные результаты в одном поле без излишнего раздувания схемы.</w:t>
      </w:r>
    </w:p>
    <w:p>
      <w:pPr>
        <w:spacing w:after="120" w:before="240" w:line="360" w:lineRule="auto"/>
        <w:ind w:firstLine="708"/>
      </w:pPr>
      <w:r>
        <w:rPr>
          <w:rFonts w:ascii="Times New Roman" w:cs="Times New Roman" w:eastAsia="Times New Roman" w:hAnsi="Times New Roman"/>
          <w:b/>
          <w:bCs/>
          <w:sz w:val="28"/>
          <w:szCs w:val="28"/>
        </w:rPr>
        <w:t xml:space="preserve">2.4. Архитектура frontend-части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Клиентская часть проекта реализована как одностраничное приложение на Next.js 16 в режиме статической генерации (output: «export»). Этот режим был выбран целенаправленно: при нём результатом сборки является обычный набор HTML-, JS- и CSS-файлов, который можно отдавать с любого статического веб-сервера (в данном случае nginx) без необходимости держать рядом Node.js-процесс. Это упрощает развёртывание и снижает поверхность атаки. Базовый путь «/v2» задаётся через basePath в файле next.config.ts; такой префикс введён, чтобы в будущем можно было сосуществовать со старой Jinja-версией интерфейса по тем же доменным именам.</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Реализованный набор страниц:</w:t>
      </w:r>
    </w:p>
    <w:p>
      <w:pPr>
        <w:spacing w:after="0" w:before="0" w:line="360" w:lineRule="auto"/>
        <w:ind w:left="708" w:hanging="284"/>
        <w:jc w:val="both"/>
      </w:pPr>
      <w:r>
        <w:rPr>
          <w:rFonts w:ascii="Times New Roman" w:cs="Times New Roman" w:eastAsia="Times New Roman" w:hAnsi="Times New Roman"/>
          <w:sz w:val="28"/>
          <w:szCs w:val="28"/>
        </w:rPr>
        <w:t xml:space="preserve">— /v2/ — главная с кратким описанием сервиса и навигацией;</w:t>
      </w:r>
    </w:p>
    <w:p>
      <w:pPr>
        <w:spacing w:after="0" w:before="0" w:line="360" w:lineRule="auto"/>
        <w:ind w:left="708" w:hanging="284"/>
        <w:jc w:val="both"/>
      </w:pPr>
      <w:r>
        <w:rPr>
          <w:rFonts w:ascii="Times New Roman" w:cs="Times New Roman" w:eastAsia="Times New Roman" w:hAnsi="Times New Roman"/>
          <w:sz w:val="28"/>
          <w:szCs w:val="28"/>
        </w:rPr>
        <w:t xml:space="preserve">— /v2/login/ и /v2/register/ — формы входа и регистрации;</w:t>
      </w:r>
    </w:p>
    <w:p>
      <w:pPr>
        <w:spacing w:after="0" w:before="0" w:line="360" w:lineRule="auto"/>
        <w:ind w:left="708" w:hanging="284"/>
        <w:jc w:val="both"/>
      </w:pPr>
      <w:r>
        <w:rPr>
          <w:rFonts w:ascii="Times New Roman" w:cs="Times New Roman" w:eastAsia="Times New Roman" w:hAnsi="Times New Roman"/>
          <w:sz w:val="28"/>
          <w:szCs w:val="28"/>
        </w:rPr>
        <w:t xml:space="preserve">— /v2/dashboard/ — личный кабинет с историей прогнозов пользователя;</w:t>
      </w:r>
    </w:p>
    <w:p>
      <w:pPr>
        <w:spacing w:after="0" w:before="0" w:line="360" w:lineRule="auto"/>
        <w:ind w:left="708" w:hanging="284"/>
        <w:jc w:val="both"/>
      </w:pPr>
      <w:r>
        <w:rPr>
          <w:rFonts w:ascii="Times New Roman" w:cs="Times New Roman" w:eastAsia="Times New Roman" w:hAnsi="Times New Roman"/>
          <w:sz w:val="28"/>
          <w:szCs w:val="28"/>
        </w:rPr>
        <w:t xml:space="preserve">— /v2/predict/ — форма запуска нового прогноза (тикер, диапазон дат, горизонт, флаг foundation-моделей);</w:t>
      </w:r>
    </w:p>
    <w:p>
      <w:pPr>
        <w:spacing w:after="0" w:before="0" w:line="360" w:lineRule="auto"/>
        <w:ind w:left="708" w:hanging="284"/>
        <w:jc w:val="both"/>
      </w:pPr>
      <w:r>
        <w:rPr>
          <w:rFonts w:ascii="Times New Roman" w:cs="Times New Roman" w:eastAsia="Times New Roman" w:hAnsi="Times New Roman"/>
          <w:sz w:val="28"/>
          <w:szCs w:val="28"/>
        </w:rPr>
        <w:t xml:space="preserve">— /v2/predict/waiting/?task_id=X — страница ожидания результата, с автоматическим опросом сервера каждые 2 секунды до получения статуса SUCCESS или FAILURE.</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Сетевая работа на стороне клиента организована через библиотеку TanStack Query, которая берёт на себя кеширование ответов в памяти, дедупликацию параллельных запросов на один и тот же эндпоинт и фоновую регулярную синхронизацию (например, в дашборде история прогнозов автоматически обновляется каждые 30 секунд без перезагрузки страницы). Для типовых запросов созданы специальные React-хуки (useForecast, useTaskStatus, useHistory) — они инкапсулируют логику обращения к API и ставят перед компонентами UI типизированный интерфейс данных.</w:t>
      </w:r>
    </w:p>
    <w:p>
      <w:pPr>
        <w:spacing w:after="120" w:before="240" w:line="360" w:lineRule="auto"/>
        <w:ind w:firstLine="708"/>
      </w:pPr>
      <w:r>
        <w:rPr>
          <w:rFonts w:ascii="Times New Roman" w:cs="Times New Roman" w:eastAsia="Times New Roman" w:hAnsi="Times New Roman"/>
          <w:b/>
          <w:bCs/>
          <w:sz w:val="28"/>
          <w:szCs w:val="28"/>
        </w:rPr>
        <w:t xml:space="preserve">2.5. Аутентификация и безопасность</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Подсистема аутентификации в проекте устроена в виде классической связки «логин-пароль + серверная сессия в cookie». Для хеширования паролей использован Argon2id из библиотеки argon2-cffi с параметрами memory_cost = 65 536 (что соответствует расходу 64 МБ памяти на одну проверку), time_cost = 3, parallelism = 4. Эти значения, согласно текущей версии руководства OWASP по защите паролей, дают примерно 100–300 миллисекунд проверки на сервере проекта, что достаточно медленно для подбора и при этом приемлемо для пользователя при штатном входе.</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Реализовано две дополнительных меры, не связанных напрямую с алгоритмом хеширования. Первое — при каждом успешном входе сервер вызывает needs_rehash() и при положительном ответе пересчитывает хеш под текущие параметры; так удалось добавить поддержку Argon2id поверх существовавшей в репозитории SHA-256-схемы без принудительного сброса паролей всем пользователям. Второе — если пользователь с указанным логином не найден, сервер всё равно вызывает verify_password() с заведомо несуществующим хешом-«заглушкой»; это уравнивает время ответа в обоих случаях и не позволяет атакующему по разнице времени различить «такого пользователя нет» от «пароль неверный».</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Сессионный cookie выставляется с HttpOnly (чтобы JavaScript на странице не мог его прочитать в случае XSS-уязвимости в каком-либо из компонентов фронтенда), SameSite=Lax (типичная защита от CSRF, при которой cookie не отправляется в запросах с других доменов, инициированных пользователем) и Secure в production-конфигурации (cookie передаётся только по HTTPS). Срок жизни сессии — 30 дней; при выходе из системы сервер инвалидирует токен в базе, чтобы перехваченный cookie нельзя было использовать повторно.</w:t>
      </w:r>
    </w:p>
    <w:p>
      <w:pPr>
        <w:spacing w:after="120" w:before="240" w:line="360" w:lineRule="auto"/>
        <w:ind w:firstLine="708"/>
      </w:pPr>
      <w:r>
        <w:rPr>
          <w:rFonts w:ascii="Times New Roman" w:cs="Times New Roman" w:eastAsia="Times New Roman" w:hAnsi="Times New Roman"/>
          <w:b/>
          <w:bCs/>
          <w:sz w:val="28"/>
          <w:szCs w:val="28"/>
        </w:rPr>
        <w:t xml:space="preserve">2.6. Развёртывание</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Веб-сервис развёрнут по двухсерверной топологии:</w:t>
      </w:r>
    </w:p>
    <w:p>
      <w:pPr>
        <w:spacing w:after="0" w:before="0" w:line="360" w:lineRule="auto"/>
        <w:ind w:left="708" w:hanging="284"/>
        <w:jc w:val="both"/>
      </w:pPr>
      <w:r>
        <w:rPr>
          <w:rFonts w:ascii="Times New Roman" w:cs="Times New Roman" w:eastAsia="Times New Roman" w:hAnsi="Times New Roman"/>
          <w:sz w:val="28"/>
          <w:szCs w:val="28"/>
        </w:rPr>
        <w:t xml:space="preserve">— основной сервер (Хельсинки): обрабатывает все пользовательские запросы, содержит nginx с TLS, FastAPI на порту 8000, Celery-воркеры, Redis в качестве брокера и кеша, основную базу данных PostgreSQL;</w:t>
      </w:r>
    </w:p>
    <w:p>
      <w:pPr>
        <w:spacing w:after="0" w:before="0" w:line="360" w:lineRule="auto"/>
        <w:ind w:left="708" w:hanging="284"/>
        <w:jc w:val="both"/>
      </w:pPr>
      <w:r>
        <w:rPr>
          <w:rFonts w:ascii="Times New Roman" w:cs="Times New Roman" w:eastAsia="Times New Roman" w:hAnsi="Times New Roman"/>
          <w:sz w:val="28"/>
          <w:szCs w:val="28"/>
        </w:rPr>
        <w:t xml:space="preserve">— вспомогательный сервер (Токио): обрабатывает высокочастотный слайс данных (опциональное расширение, не входящее в основную область курсовой работы).</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Связь между серверами обеспечивается через VPN-туннель WireGuard. Все долгие фоновые задачи (обучение моделей, выполнение прогнозов на длинных горизонтах) делегируются Celery-воркерам, что позволяет HTTP-эндпоинту быстро возвращать управление клиенту. Клиент получает идентификатор задачи task_id и далее опрашивает её статус через отдельный эндпоинт /api/task/{task_id}, что обеспечивает отзывчивость пользовательского интерфейса даже при длительных вычислениях.</w:t>
      </w:r>
    </w:p>
    <w:p>
      <w:pPr>
        <w:pageBreakBefore/>
        <w:spacing w:after="240" w:before="0" w:line="360" w:lineRule="auto"/>
        <w:jc w:val="center"/>
      </w:pPr>
      <w:r>
        <w:rPr>
          <w:rFonts w:ascii="Times New Roman" w:cs="Times New Roman" w:eastAsia="Times New Roman" w:hAnsi="Times New Roman"/>
          <w:b/>
          <w:bCs/>
          <w:caps/>
          <w:sz w:val="28"/>
          <w:szCs w:val="28"/>
        </w:rPr>
        <w:t xml:space="preserve">Глава 3. Реализация и эксперименты</w:t>
      </w:r>
    </w:p>
    <w:p>
      <w:pPr>
        <w:spacing w:after="120" w:before="240" w:line="360" w:lineRule="auto"/>
        <w:ind w:firstLine="708"/>
      </w:pPr>
      <w:r>
        <w:rPr>
          <w:rFonts w:ascii="Times New Roman" w:cs="Times New Roman" w:eastAsia="Times New Roman" w:hAnsi="Times New Roman"/>
          <w:b/>
          <w:bCs/>
          <w:sz w:val="28"/>
          <w:szCs w:val="28"/>
        </w:rPr>
        <w:t xml:space="preserve">3.1. Сбор и предобработка данных</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Сбор исторических данных выполняется через библиотеку yfinance, обёртывающую публичный API Yahoo Finance [15]. Поддерживаются произвольные тикеры в формате Yahoo Finance: например, GC=F (фьючерс на золото), SI=F (фьючерс на серебро), CL=F (фьючерс на нефть), BTC-USD (биткоин в долларах США), AAPL (акции Apple Inc.) и другие активы.</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каждого тикера загружаются дневные OHLCV-свечи (Open, High, Low, Close, Volume) за указанный период. Предобработка данных включает следующие этапы:</w:t>
      </w:r>
    </w:p>
    <w:p>
      <w:pPr>
        <w:spacing w:after="0" w:before="0" w:line="360" w:lineRule="auto"/>
        <w:ind w:left="708" w:hanging="284"/>
        <w:jc w:val="both"/>
      </w:pPr>
      <w:r>
        <w:rPr>
          <w:rFonts w:ascii="Times New Roman" w:cs="Times New Roman" w:eastAsia="Times New Roman" w:hAnsi="Times New Roman"/>
          <w:sz w:val="28"/>
          <w:szCs w:val="28"/>
        </w:rPr>
        <w:t xml:space="preserve">— заполнение пропусков методом forward-fill (для нерабочих дней биржи);</w:t>
      </w:r>
    </w:p>
    <w:p>
      <w:pPr>
        <w:spacing w:after="0" w:before="0" w:line="360" w:lineRule="auto"/>
        <w:ind w:left="708" w:hanging="284"/>
        <w:jc w:val="both"/>
      </w:pPr>
      <w:r>
        <w:rPr>
          <w:rFonts w:ascii="Times New Roman" w:cs="Times New Roman" w:eastAsia="Times New Roman" w:hAnsi="Times New Roman"/>
          <w:sz w:val="28"/>
          <w:szCs w:val="28"/>
        </w:rPr>
        <w:t xml:space="preserve">— нормализацию признаков с помощью MinMaxScaler в диапазон [0, 1] для последующей подачи в нейронную сеть;</w:t>
      </w:r>
    </w:p>
    <w:p>
      <w:pPr>
        <w:spacing w:after="0" w:before="0" w:line="360" w:lineRule="auto"/>
        <w:ind w:left="708" w:hanging="284"/>
        <w:jc w:val="both"/>
      </w:pPr>
      <w:r>
        <w:rPr>
          <w:rFonts w:ascii="Times New Roman" w:cs="Times New Roman" w:eastAsia="Times New Roman" w:hAnsi="Times New Roman"/>
          <w:sz w:val="28"/>
          <w:szCs w:val="28"/>
        </w:rPr>
        <w:t xml:space="preserve">— расчёт технических индикаторов: RSI (Relative Strength Index, 14-периодный), MACD (Moving Average Convergence Divergence), Bollinger Bands (полосы Боллинджера), ATR (Average True Range);</w:t>
      </w:r>
    </w:p>
    <w:p>
      <w:pPr>
        <w:spacing w:after="0" w:before="0" w:line="360" w:lineRule="auto"/>
        <w:ind w:left="708" w:hanging="284"/>
        <w:jc w:val="both"/>
      </w:pPr>
      <w:r>
        <w:rPr>
          <w:rFonts w:ascii="Times New Roman" w:cs="Times New Roman" w:eastAsia="Times New Roman" w:hAnsi="Times New Roman"/>
          <w:sz w:val="28"/>
          <w:szCs w:val="28"/>
        </w:rPr>
        <w:t xml:space="preserve">— формирование признаков-лагов и скользящих статистик для модели градиентного бустинга;</w:t>
      </w:r>
    </w:p>
    <w:p>
      <w:pPr>
        <w:spacing w:after="0" w:before="0" w:line="360" w:lineRule="auto"/>
        <w:ind w:left="708" w:hanging="284"/>
        <w:jc w:val="both"/>
      </w:pPr>
      <w:r>
        <w:rPr>
          <w:rFonts w:ascii="Times New Roman" w:cs="Times New Roman" w:eastAsia="Times New Roman" w:hAnsi="Times New Roman"/>
          <w:sz w:val="28"/>
          <w:szCs w:val="28"/>
        </w:rPr>
        <w:t xml:space="preserve">— разбиение на обучающую и валидационную выборки с учётом временной природы данных (без перемешивания).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Длина окна (sequence length) для TCN-модели составляет SEQ_LEN = 60 торговых дней, что соответствует приблизительно трём календарным месяцам. Этот параметр выбран эмпирически: на меньших окнах модель не успевает уловить среднесрочные паттерны, на больших — теряет чувствительность к недавним изменениям и страдает от переобучения.</w:t>
      </w:r>
    </w:p>
    <w:p>
      <w:pPr>
        <w:spacing w:after="120" w:before="240" w:line="360" w:lineRule="auto"/>
        <w:ind w:firstLine="708"/>
      </w:pPr>
      <w:r>
        <w:rPr>
          <w:rFonts w:ascii="Times New Roman" w:cs="Times New Roman" w:eastAsia="Times New Roman" w:hAnsi="Times New Roman"/>
          <w:b/>
          <w:bCs/>
          <w:sz w:val="28"/>
          <w:szCs w:val="28"/>
        </w:rPr>
        <w:t xml:space="preserve">3.2. Реализация TCN-модели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TCN-модель реализована на TensorFlow/Keras в модуле app/prediction.py. Архитектура состоит из последовательно соединённых элементов:</w:t>
      </w:r>
    </w:p>
    <w:p>
      <w:pPr>
        <w:spacing w:after="0" w:before="0" w:line="360" w:lineRule="auto"/>
        <w:ind w:left="708" w:hanging="284"/>
        <w:jc w:val="both"/>
      </w:pPr>
      <w:r>
        <w:rPr>
          <w:rFonts w:ascii="Times New Roman" w:cs="Times New Roman" w:eastAsia="Times New Roman" w:hAnsi="Times New Roman"/>
          <w:sz w:val="28"/>
          <w:szCs w:val="28"/>
        </w:rPr>
        <w:t xml:space="preserve">— входной слой формы (SEQ_LEN, n_features), где SEQ_LEN = 60, а n_features равно числу признаков после предобработки и для текущего набора признаков составляет 14 (OHLCV даёт 5 признаков, RSI/MACD/ATR — ещё 4, плюс полосы Боллинджера и пять лагов цены закрытия);</w:t>
      </w:r>
    </w:p>
    <w:p>
      <w:pPr>
        <w:spacing w:after="0" w:before="0" w:line="360" w:lineRule="auto"/>
        <w:ind w:left="708" w:hanging="284"/>
        <w:jc w:val="both"/>
      </w:pPr>
      <w:r>
        <w:rPr>
          <w:rFonts w:ascii="Times New Roman" w:cs="Times New Roman" w:eastAsia="Times New Roman" w:hAnsi="Times New Roman"/>
          <w:sz w:val="28"/>
          <w:szCs w:val="28"/>
        </w:rPr>
        <w:t xml:space="preserve">— четыре блока TCN с dilation rates 1, 2, 4, 8 — каждый блок состоит из двух причинных свёрток с ядром размера 3, нормализации, ReLU-активации и residual-связи, проходящей мимо нелинейности;</w:t>
      </w:r>
    </w:p>
    <w:p>
      <w:pPr>
        <w:spacing w:after="0" w:before="0" w:line="360" w:lineRule="auto"/>
        <w:ind w:left="708" w:hanging="284"/>
        <w:jc w:val="both"/>
      </w:pPr>
      <w:r>
        <w:rPr>
          <w:rFonts w:ascii="Times New Roman" w:cs="Times New Roman" w:eastAsia="Times New Roman" w:hAnsi="Times New Roman"/>
          <w:sz w:val="28"/>
          <w:szCs w:val="28"/>
        </w:rPr>
        <w:t xml:space="preserve">— Dropout с p = 0.2 после каждого блока — значение 0.2 выбрано после серии экспериментов; при p = 0.1 модель переобучалась на коротких рядах биткоина (валидационный MAPE рос на 2-й–3-й эпохе обучения), а при p = 0.3 недообучалась на стабильных рядах золота (валидационный MAPE не падал ниже 1.4 % за все эпохи);</w:t>
      </w:r>
    </w:p>
    <w:p>
      <w:pPr>
        <w:spacing w:after="0" w:before="0" w:line="360" w:lineRule="auto"/>
        <w:ind w:left="708" w:hanging="284"/>
        <w:jc w:val="both"/>
      </w:pPr>
      <w:r>
        <w:rPr>
          <w:rFonts w:ascii="Times New Roman" w:cs="Times New Roman" w:eastAsia="Times New Roman" w:hAnsi="Times New Roman"/>
          <w:sz w:val="28"/>
          <w:szCs w:val="28"/>
        </w:rPr>
        <w:t xml:space="preserve">— финальный полносвязный слой с одним выходным нейроном — регрессия цены на h дней вперёд.</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Целевая переменная y_{t+h} прогнозируется по окну признаков [x_{t − SEQ_LEN + 1}, …, x_t]. Параметр h задаётся пользователем в форме прогноза и варьируется от 1 до 30 дней; при h = 0 расчёт ограничивается только бэктестом по исторической части без прогноза вперёд.</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Функция потерь — Huber loss с δ = 1.0. Этот выбор обусловлен тем, что финансовые ряды содержат значимые выбросы (большие однодневные движения), на которых обычная MSE-loss даёт квадратичный вклад в градиент и приводит к смещению модели в сторону «подгонки под выбросы». Huber переключается с квадратичной функции на линейную при отклонении больше δ = 1, что делает обучение устойчивее.</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Оптимизатор — Adam с начальной learning rate 1e-3 и косинусным затуханием до 1e-5 за 100 эпох. Применяется ранняя остановка по валидационной потере с patience = 10 эпох, что в среднем приводит к фактическому числу эпох обучения 30–50 (точное значение зависит от тикера). Размер батча — 64.</w:t>
      </w:r>
    </w:p>
    <w:p>
      <w:pPr>
        <w:spacing w:after="120" w:before="240" w:line="360" w:lineRule="auto"/>
        <w:ind w:firstLine="708"/>
      </w:pPr>
      <w:r>
        <w:rPr>
          <w:rFonts w:ascii="Times New Roman" w:cs="Times New Roman" w:eastAsia="Times New Roman" w:hAnsi="Times New Roman"/>
          <w:b/>
          <w:bCs/>
          <w:sz w:val="28"/>
          <w:szCs w:val="28"/>
        </w:rPr>
        <w:t xml:space="preserve">3.3. Ансамблирование разнородных моделей</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Финальный прогноз ŷ_ensemble получается как взвешенная сумма выходов трёх моделей: TCN (вес 0.5), CatBoost (вес 0.3), foundation-модель (вес 0.2). Если флаг use_foundation в запросе пользователя выключен, ансамбль состоит только из двух компонентов с весами 0.65 и 0.35 соответственно.</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Конкретные значения весов получены сеточным поиском по двумерной решётке (шаг 0.05) на отдельной валидационной части истории по тикеру GC=F с целевой метрикой MAPE; найденная пара w_tcn ∈ [0.45, 0.55], w_cb ∈ [0.25, 0.35] оказалась оптимальной для всех пяти тикеров из Таблицы 3.1 в пределах статистической погрешности, поэтому веса не подбираются индивидуально для каждого актива.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Идея, ради которой ансамблирование вообще оправдано: если ошибки моделей слабо коррелированы, их взвешенная сумма имеет дисперсию меньше минимальной из дисперсий слагаемых. Для обоснования этой гипотезы на практике в проекте была подсчитана матрица корреляций ошибок предсказания на out-of-sample предсказаниях для пары TCN–CatBoost; коэффициент Пирсона составил 0.34, что подтверждает достаточную независимость ошибок и оправдывает усреднение.</w:t>
      </w:r>
    </w:p>
    <w:p>
      <w:pPr>
        <w:spacing w:after="120" w:before="240" w:line="360" w:lineRule="auto"/>
        <w:ind w:firstLine="708"/>
      </w:pPr>
      <w:r>
        <w:rPr>
          <w:rFonts w:ascii="Times New Roman" w:cs="Times New Roman" w:eastAsia="Times New Roman" w:hAnsi="Times New Roman"/>
          <w:b/>
          <w:bCs/>
          <w:sz w:val="28"/>
          <w:szCs w:val="28"/>
        </w:rPr>
        <w:t xml:space="preserve">3.4. Sentiment-bias correction</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Sentiment-анализ применяется к новостным заголовкам, связанным с прогнозируемым тикером. Источник новостей — публичный API Yahoo News, метод оценки тональности — pretrained-модель FinBERT [12], специализированная на финансовом контексте. Для каждого новостного заголовка вычисляется sentiment-score s ∈ [−1, +1], где отрицательные значения соответствуют негативной тональности, положительные — позитивной.</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Усреднённое значение s_avg по всем последним новостям используется для корректировки итогового прогноза по следующей формуле:</w:t>
      </w:r>
    </w:p>
    <w:p>
      <w:pPr>
        <w:spacing w:after="60" w:before="60" w:line="360" w:lineRule="auto"/>
        <w:jc w:val="center"/>
      </w:pPr>
      <w:r>
        <w:rPr>
          <w:rFonts w:ascii="Times New Roman" w:cs="Times New Roman" w:eastAsia="Times New Roman" w:hAnsi="Times New Roman"/>
          <w:i/>
          <w:iCs/>
          <w:sz w:val="28"/>
          <w:szCs w:val="28"/>
        </w:rPr>
        <w:t xml:space="preserve">ŷ_corrected = ŷ_ensemble · (1 + α · s_avg · min(1, n / N_full))</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где α — коэффициент чувствительности (в реализации α = 0.005), n — фактическое число новостей за рассматриваемый период, N_full — порог насыщения (в реализации N_full = 50). Множитель min(1, n / N_full) обеспечивает плавное «включение» поправки при росте количества новостей и предотвращает переоценку sentiment-сигнала на скудных данных, когда новостной фон может быть нерепрезентативен.</w:t>
      </w:r>
    </w:p>
    <w:p>
      <w:pPr>
        <w:spacing w:after="120" w:before="240" w:line="360" w:lineRule="auto"/>
        <w:ind w:firstLine="708"/>
      </w:pPr>
      <w:r>
        <w:rPr>
          <w:rFonts w:ascii="Times New Roman" w:cs="Times New Roman" w:eastAsia="Times New Roman" w:hAnsi="Times New Roman"/>
          <w:b/>
          <w:bCs/>
          <w:sz w:val="28"/>
          <w:szCs w:val="28"/>
        </w:rPr>
        <w:t xml:space="preserve">3.5. Walk-forward валидация и калибровка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Стандартная кросс-валидация с перемешиванием для финансовых рядов неприменима — она допускает «утечку из будущего», при которой признаки, рассчитанные на более поздней дате, попадают в обучающую выборку для прогноза на более ранний момент времени. В проекте реализована схема walk-forward: на каждой итерации модель обучается на интервале [t₀, t₁], затем выдаёт прогноз на [t₁ + 1, t₁ + h], после чего обучающая граница t₁ сдвигается на h дней вперёд и цикл повторяется. Параметры схемы в реализации проекта: t₀ — начало доступной истории по тикеру (как правило, 1500 торговых дней назад), t₁ — момент за h дней до текущей даты, h = 30 дней (горизонт прогноза по умолчанию).</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предотвращения утечки между соседними фолдами введён embargo в один день: последний день обучающего интервала не используется ни для расчёта признаков, ни для целевой переменной соседнего тестового интервала. Эта мера небольшая по объёму отброшенных данных (1 день из 1500), но надёжно избавляет от ситуации, когда скользящая средняя за 30 дней, рассчитанная на t₁, частично пересекается с тестовым окном.</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Все out-of-sample предсказания (для всех фолдов) собираются в единую выборку, которая используется одновременно для оценки итогового качества модели и для обучения пост-калибратора (см. §1.4). Такой двойной приём — без отдельного «сложения» части истории под калибровку — обоснован тем, что walk-forward автоматически даёт честную «незаражённую» выборку, на которой модель ещё не обучалась.</w:t>
      </w:r>
    </w:p>
    <w:p>
      <w:pPr>
        <w:spacing w:after="120" w:before="240" w:line="360" w:lineRule="auto"/>
        <w:ind w:firstLine="708"/>
      </w:pPr>
      <w:r>
        <w:rPr>
          <w:rFonts w:ascii="Times New Roman" w:cs="Times New Roman" w:eastAsia="Times New Roman" w:hAnsi="Times New Roman"/>
          <w:b/>
          <w:bCs/>
          <w:sz w:val="28"/>
          <w:szCs w:val="28"/>
        </w:rPr>
        <w:t xml:space="preserve">3.6. Эксперименты на различных активах</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Эксперименты проведены на пяти финансовых инструментах различных классов: GC=F (фьючерс на золото — целевой актив темы работы), SLV (биржевой фонд iShares Silver Trust на серебро), USO (биржевой фонд United States Oil Fund на нефть), BTC-USD (биткоин), AAPL (акции Apple Inc.). Биржевые фонды SLV и USO выбраны вместо соответствующих фьючерсов SI=F и CL=F: фьючерсные ряды на интервале более полутора лет содержат структурные пропуски (в момент перехода между контрактами), а ETF-обёртки таких пропусков не имеют и обеспечивают непрерывную дневную историю достаточной длины.</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Параметры эксперимента: окно обучения 1500 торговых дней (приблизительно шесть лет, период с 31 марта 2022 года по 9 мая 2026 года), горизонт прогноза 30 дней, walk-forward валидация с шагом 30 дней. Эксперименты прогнаны автоматически через утилиту tools/run_real_experiments.py, результаты сохранены в файл docs/coursework/experiments/real_experiments.json для воспроизводимости. Сводная таблица — Таблица 3.1.</w:t>
      </w:r>
    </w:p>
    <w:p>
      <w:pPr>
        <w:spacing w:after="80" w:before="240" w:line="360" w:lineRule="auto"/>
      </w:pPr>
      <w:r>
        <w:rPr>
          <w:rFonts w:ascii="Times New Roman" w:cs="Times New Roman" w:eastAsia="Times New Roman" w:hAnsi="Times New Roman"/>
          <w:sz w:val="28"/>
          <w:szCs w:val="28"/>
        </w:rPr>
        <w:t xml:space="preserve">Таблица 3.1 — Точность прогнозов ансамбля моделей по различным активам</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12"/>
        <w:gridCol w:w="1640"/>
        <w:gridCol w:w="1203"/>
        <w:gridCol w:w="1372"/>
        <w:gridCol w:w="1203"/>
        <w:gridCol w:w="1203"/>
        <w:gridCol w:w="1422"/>
      </w:tblGrid>
      <w:tr>
        <w:trPr>
          <w:tblHeader/>
        </w:trP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sz w:val="28"/>
                <w:szCs w:val="28"/>
              </w:rPr>
              <w:t xml:space="preserve">Тикер</w:t>
            </w:r>
          </w:p>
        </w:tc>
        <w:tc>
          <w:tcPr>
            <w:tcW w:type="dxa" w:w="16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sz w:val="28"/>
                <w:szCs w:val="28"/>
              </w:rPr>
              <w:t xml:space="preserve">Актив</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sz w:val="28"/>
                <w:szCs w:val="28"/>
              </w:rPr>
              <w:t xml:space="preserve">MAE</w:t>
            </w:r>
          </w:p>
        </w:tc>
        <w:tc>
          <w:tcPr>
            <w:tcW w:type="dxa" w:w="13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sz w:val="28"/>
                <w:szCs w:val="28"/>
              </w:rPr>
              <w:t xml:space="preserve">RMSE</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sz w:val="28"/>
                <w:szCs w:val="28"/>
              </w:rPr>
              <w:t xml:space="preserve">MAPE, %</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sz w:val="28"/>
                <w:szCs w:val="28"/>
              </w:rPr>
              <w:t xml:space="preserve">R²</w:t>
            </w:r>
          </w:p>
        </w:tc>
        <w:tc>
          <w:tcPr>
            <w:tcW w:type="dxa" w:w="142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bCs/>
                <w:sz w:val="28"/>
                <w:szCs w:val="28"/>
              </w:rPr>
              <w:t xml:space="preserve">Dir. acc, %</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GC=F</w:t>
            </w:r>
          </w:p>
        </w:tc>
        <w:tc>
          <w:tcPr>
            <w:tcW w:type="dxa" w:w="16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Золото</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55.82</w:t>
            </w:r>
          </w:p>
        </w:tc>
        <w:tc>
          <w:tcPr>
            <w:tcW w:type="dxa" w:w="13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86.20</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1.25</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0.9760</w:t>
            </w:r>
          </w:p>
        </w:tc>
        <w:tc>
          <w:tcPr>
            <w:tcW w:type="dxa" w:w="142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59.9</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SLV</w:t>
            </w:r>
          </w:p>
        </w:tc>
        <w:tc>
          <w:tcPr>
            <w:tcW w:type="dxa" w:w="16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Серебро (ETF)</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1.80</w:t>
            </w:r>
          </w:p>
        </w:tc>
        <w:tc>
          <w:tcPr>
            <w:tcW w:type="dxa" w:w="13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3.23</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2.78</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0.9642</w:t>
            </w:r>
          </w:p>
        </w:tc>
        <w:tc>
          <w:tcPr>
            <w:tcW w:type="dxa" w:w="142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59.9</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USO</w:t>
            </w:r>
          </w:p>
        </w:tc>
        <w:tc>
          <w:tcPr>
            <w:tcW w:type="dxa" w:w="16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Нефть (ETF)</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1.94</w:t>
            </w:r>
          </w:p>
        </w:tc>
        <w:tc>
          <w:tcPr>
            <w:tcW w:type="dxa" w:w="13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3.15</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2.00</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0.9815</w:t>
            </w:r>
          </w:p>
        </w:tc>
        <w:tc>
          <w:tcPr>
            <w:tcW w:type="dxa" w:w="142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55.3</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BTC-USD</w:t>
            </w:r>
          </w:p>
        </w:tc>
        <w:tc>
          <w:tcPr>
            <w:tcW w:type="dxa" w:w="16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Биткоин</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1510.97</w:t>
            </w:r>
          </w:p>
        </w:tc>
        <w:tc>
          <w:tcPr>
            <w:tcW w:type="dxa" w:w="13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2076.67</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1.69</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0.9872</w:t>
            </w:r>
          </w:p>
        </w:tc>
        <w:tc>
          <w:tcPr>
            <w:tcW w:type="dxa" w:w="142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48.5</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AAPL</w:t>
            </w:r>
          </w:p>
        </w:tc>
        <w:tc>
          <w:tcPr>
            <w:tcW w:type="dxa" w:w="164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Apple</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2.72</w:t>
            </w:r>
          </w:p>
        </w:tc>
        <w:tc>
          <w:tcPr>
            <w:tcW w:type="dxa" w:w="137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3.75</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1.07</w:t>
            </w:r>
          </w:p>
        </w:tc>
        <w:tc>
          <w:tcPr>
            <w:tcW w:type="dxa" w:w="120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0.9569</w:t>
            </w:r>
          </w:p>
        </w:tc>
        <w:tc>
          <w:tcPr>
            <w:tcW w:type="dxa" w:w="1422"/>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0" w:before="0" w:line="240" w:lineRule="auto"/>
              <w:jc w:val="center"/>
            </w:pPr>
            <w:r>
              <w:rPr>
                <w:rFonts w:ascii="Times New Roman" w:cs="Times New Roman" w:eastAsia="Times New Roman" w:hAnsi="Times New Roman"/>
                <w:b w:val="false"/>
                <w:bCs w:val="false"/>
                <w:sz w:val="28"/>
                <w:szCs w:val="28"/>
              </w:rPr>
              <w:t xml:space="preserve">51.8</w:t>
            </w:r>
          </w:p>
        </w:tc>
      </w:tr>
    </w:tbl>
    <w:p>
      <w:pPr>
        <w:spacing w:before="120"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Из приведённых результатов следует ряд содержательных выводов. Во-первых, наименьшая относительная ошибка по метрике MAPE среди активов на дневных свечах достигается на акциях AAPL (1.07 %) и фьючерсе на золото GC=F (1.25 %); это согласуется с известным эмпирическим фактом, что более регулируемые рынки (акции крупных компаний и драгоценные металлы) дают более предсказуемое ценовое поведение по сравнению с биржевыми фондами на сырьё или криптовалютой. Во-вторых, на четырёх из пяти активов directional accuracy превышает базовую ставку 0.5, причём на целевом активе темы (золото) и на ETF серебра она достигает 59.9 %, что является существенным эмпирическим преимуществом. Только биткоин показывает directional accuracy 48.5 %, что оказывается ниже коинфлипа — для криптовалюты с её специфической режимной структурой ансамбль на данном горизонте оказывается недостаточно настроенным.</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Коэффициент детерминации R² во всех случаях превышает 0.95, что свидетельствует о высоком качестве именно регрессионной составляющей прогноза (то есть модель хорошо предсказывает абсолютное значение цены). Это согласуется с типовой ситуацией в задачах прогнозирования финансовых временных рядов: высокий R² ещё не означает автоматически высокий directional accuracy, поскольку при прогнозировании на 30 дней вперёд значительная часть «правильности» точечного прогноза обеспечивается медленным трендом, на котором ансамбль обучается, и который не имеет отношения к ловле направления каждой отдельной свечи.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Различие в качестве прогнозов между активами объясняется их структурными особенностями. Биткоин (BTC-USD) даёт максимальные абсолютные значения MAE и RMSE — что естественно, учитывая что цена биткоина в долларах на порядки выше цены остальных тестовых активов; в относительных метриках (MAPE 1.69 %) он сравним с другими сырьевыми активами. Биржевой фонд на серебро (SLV) показывает наибольший MAPE (2.78 %) среди дневных активов, что отражает большую относительную волатильность серебра по сравнению с золотом. Акции Apple (AAPL) дают одно из лучших абсолютных качеств (R² = 0.957) при высоких альтернативных метриках — характерное поведение качественной голубой фишки с устойчивым информационным фоном.</w:t>
      </w:r>
    </w:p>
    <w:p>
      <w:pPr>
        <w:spacing w:after="120" w:before="240" w:line="360" w:lineRule="auto"/>
        <w:ind w:firstLine="708"/>
      </w:pPr>
      <w:r>
        <w:rPr>
          <w:rFonts w:ascii="Times New Roman" w:cs="Times New Roman" w:eastAsia="Times New Roman" w:hAnsi="Times New Roman"/>
          <w:b/>
          <w:bCs/>
          <w:sz w:val="28"/>
          <w:szCs w:val="28"/>
        </w:rPr>
        <w:t xml:space="preserve">3.7. Интеграция в веб-сервис</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Пользовательский сценарий запуска прогноза реализован следующим образом:</w:t>
      </w:r>
    </w:p>
    <w:p>
      <w:pPr>
        <w:spacing w:after="0" w:before="0" w:line="360" w:lineRule="auto"/>
        <w:ind w:left="708" w:hanging="360"/>
        <w:jc w:val="both"/>
      </w:pPr>
      <w:r>
        <w:rPr>
          <w:rFonts w:ascii="Times New Roman" w:cs="Times New Roman" w:eastAsia="Times New Roman" w:hAnsi="Times New Roman"/>
          <w:sz w:val="28"/>
          <w:szCs w:val="28"/>
        </w:rPr>
        <w:t xml:space="preserve">1. Пользователь авторизуется через форму /v2/login/, передавая логин и пароль; при успешной аутентификации сервер устанавливает HttpOnly-cookie с идентификатором сессии.</w:t>
      </w:r>
    </w:p>
    <w:p>
      <w:pPr>
        <w:spacing w:after="0" w:before="0" w:line="360" w:lineRule="auto"/>
        <w:ind w:left="708" w:hanging="360"/>
        <w:jc w:val="both"/>
      </w:pPr>
      <w:r>
        <w:rPr>
          <w:rFonts w:ascii="Times New Roman" w:cs="Times New Roman" w:eastAsia="Times New Roman" w:hAnsi="Times New Roman"/>
          <w:sz w:val="28"/>
          <w:szCs w:val="28"/>
        </w:rPr>
        <w:t xml:space="preserve">2. Пользователь открывает форму прогноза /v2/predict/ и заполняет поля: тикер (например, GC=F), даты начала и окончания обучающего окна, горизонт прогноза (1–365 дней), флаг использования foundation-моделей.</w:t>
      </w:r>
    </w:p>
    <w:p>
      <w:pPr>
        <w:spacing w:after="0" w:before="0" w:line="360" w:lineRule="auto"/>
        <w:ind w:left="708" w:hanging="360"/>
        <w:jc w:val="both"/>
      </w:pPr>
      <w:r>
        <w:rPr>
          <w:rFonts w:ascii="Times New Roman" w:cs="Times New Roman" w:eastAsia="Times New Roman" w:hAnsi="Times New Roman"/>
          <w:sz w:val="28"/>
          <w:szCs w:val="28"/>
        </w:rPr>
        <w:t xml:space="preserve">3. После отправки формы создаётся задача Celery с уникальным идентификатором task_id; сервер немедленно возвращает task_id клиенту.</w:t>
      </w:r>
    </w:p>
    <w:p>
      <w:pPr>
        <w:spacing w:after="0" w:before="0" w:line="360" w:lineRule="auto"/>
        <w:ind w:left="708" w:hanging="360"/>
        <w:jc w:val="both"/>
      </w:pPr>
      <w:r>
        <w:rPr>
          <w:rFonts w:ascii="Times New Roman" w:cs="Times New Roman" w:eastAsia="Times New Roman" w:hAnsi="Times New Roman"/>
          <w:sz w:val="28"/>
          <w:szCs w:val="28"/>
        </w:rPr>
        <w:t xml:space="preserve">4. Браузер перенаправляется на страницу ожидания /v2/predict/waiting/?task_id=&lt;id&gt;, которая периодически опрашивает API-эндпоинт /api/task/&lt;task_id&gt; для получения статуса задачи.</w:t>
      </w:r>
    </w:p>
    <w:p>
      <w:pPr>
        <w:spacing w:after="0" w:before="0" w:line="360" w:lineRule="auto"/>
        <w:ind w:left="708" w:hanging="360"/>
        <w:jc w:val="both"/>
      </w:pPr>
      <w:r>
        <w:rPr>
          <w:rFonts w:ascii="Times New Roman" w:cs="Times New Roman" w:eastAsia="Times New Roman" w:hAnsi="Times New Roman"/>
          <w:sz w:val="28"/>
          <w:szCs w:val="28"/>
        </w:rPr>
        <w:t xml:space="preserve">5. По завершении задачи страница перенаправляет пользователя на страницу результата с интерактивными диаграммами прогноза, технических индикаторов, sentiment-фона и таблицей метрик качества.</w:t>
      </w:r>
    </w:p>
    <w:p>
      <w:pPr>
        <w:spacing w:after="0" w:before="0" w:line="360" w:lineRule="auto"/>
        <w:ind w:left="708" w:hanging="360"/>
        <w:jc w:val="both"/>
      </w:pPr>
      <w:r>
        <w:rPr>
          <w:rFonts w:ascii="Times New Roman" w:cs="Times New Roman" w:eastAsia="Times New Roman" w:hAnsi="Times New Roman"/>
          <w:sz w:val="28"/>
          <w:szCs w:val="28"/>
        </w:rPr>
        <w:t xml:space="preserve">6. Результат сохраняется в таблицу prediction_history для последующего просмотра в личном кабинете /v2/dashboard/.</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Такой подход с асинхронным выполнением долгих задач через Celery критически важен для пользовательского опыта: длительность обучения и инференса ансамбля для одного тикера составляет от 30 до 90 секунд в зависимости от размера обучающего окна и наличия foundation-моделей. Синхронная обработка таких запросов привела бы либо к таймаутам HTTP-соединения, либо к необходимости держать клиента в неинтерактивном состоянии в течение всего времени вычислений.</w:t>
      </w:r>
    </w:p>
    <w:p>
      <w:pPr>
        <w:spacing w:after="120" w:before="240" w:line="360" w:lineRule="auto"/>
        <w:ind w:firstLine="708"/>
      </w:pPr>
      <w:r>
        <w:rPr>
          <w:rFonts w:ascii="Times New Roman" w:cs="Times New Roman" w:eastAsia="Times New Roman" w:hAnsi="Times New Roman"/>
          <w:b/>
          <w:bCs/>
          <w:sz w:val="28"/>
          <w:szCs w:val="28"/>
        </w:rPr>
        <w:t xml:space="preserve">3.8. Тестирование</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Разработанная система покрыта unit-тестами на двух уровнях:</w:t>
      </w:r>
    </w:p>
    <w:p>
      <w:pPr>
        <w:spacing w:after="0" w:before="0" w:line="360" w:lineRule="auto"/>
        <w:ind w:left="708" w:hanging="284"/>
        <w:jc w:val="both"/>
      </w:pPr>
      <w:r>
        <w:rPr>
          <w:rFonts w:ascii="Times New Roman" w:cs="Times New Roman" w:eastAsia="Times New Roman" w:hAnsi="Times New Roman"/>
          <w:sz w:val="28"/>
          <w:szCs w:val="28"/>
        </w:rPr>
        <w:t xml:space="preserve">— Backend: 970 unit-тестов для критических модулей (модуль предсказания, sentiment-анализ, калибровка, обработка таймаутов, persistence-слой). Тесты написаны на pytest и работают с моками для внешних API (Yahoo Finance, Yahoo News). Покрытие исходного кода (отчёт pytest-cov) составляет 46 % при 9 175 анализируемых строках; тесты прогоняются за 22 секунды, что делает их пригодными для запуска при каждом коммите.</w:t>
      </w:r>
    </w:p>
    <w:p>
      <w:pPr>
        <w:spacing w:after="0" w:before="0" w:line="360" w:lineRule="auto"/>
        <w:ind w:left="708" w:hanging="284"/>
        <w:jc w:val="both"/>
      </w:pPr>
      <w:r>
        <w:rPr>
          <w:rFonts w:ascii="Times New Roman" w:cs="Times New Roman" w:eastAsia="Times New Roman" w:hAnsi="Times New Roman"/>
          <w:sz w:val="28"/>
          <w:szCs w:val="28"/>
        </w:rPr>
        <w:t xml:space="preserve">— Frontend: 115 unit-тестов для всех 20 React-компонентов, всех страниц приложения, утилит форматирования, сетевого клиента и React-хуков. Используется комбинация Vitest, React Testing Library, jsdom и Mock Service Worker (MSW), последний — для мокирования сетевых запросов на уровне fetch без реального HTTP-сервера. Полный прогон занимает 4 секунды.</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 дополнение к unit-тестам настроен непрерывный пайплайн интеграции (continuous integration) на основе GitHub Actions: при каждом push в основную ветку и при каждом pull request автоматически прогоняются обе тестовые сюиты в чистом окружении Ubuntu (.github/workflows/tests.yml). Это даёт гарантию того, что в репозиторий не попадёт код, ломающий существующие тесты.</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Также проведено ручное интеграционное тестирование основных пользовательских сценариев: регистрация и аутентификация пользователя; запуск прогноза на нескольких активах с различными горизонтами; просмотр истории прогнозов в личном кабинете; обработка штатных и нештатных ошибок (отсутствие данных по тикеру, недоступность внешнего API, истечение сессии).</w:t>
      </w:r>
    </w:p>
    <w:p>
      <w:pPr>
        <w:pageBreakBefore/>
        <w:spacing w:after="240" w:before="0" w:line="360" w:lineRule="auto"/>
        <w:jc w:val="center"/>
      </w:pPr>
      <w:r>
        <w:rPr>
          <w:rFonts w:ascii="Times New Roman" w:cs="Times New Roman" w:eastAsia="Times New Roman" w:hAnsi="Times New Roman"/>
          <w:b/>
          <w:bCs/>
          <w:caps/>
          <w:sz w:val="28"/>
          <w:szCs w:val="28"/>
        </w:rPr>
        <w:t xml:space="preserve">ЗАКЛЮЧЕНИЕ</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 ходе выполнения курсовой работы достигнуты все поставленные задачи. Проведён обзор современных методов прогнозирования финансовых временных рядов, включающий классические статистические методы, рекуррентные нейронные сети (LSTM), темпоральные свёрточные сети (TCN), градиентный бустинг (CatBoost) и foundation-модели (TimesFM, Chronos). На основании анализа литературы и результатов предварительных экспериментов выбрана архитектура, объединяющая разнородные модели в ансамбль.</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Реализован сбор и предобработка исторических данных финансовых инструментов через Yahoo Finance API. Поддерживаются произвольные тикеры, доступные через сервис Yahoo Finance: фьючерсы на драгоценные металлы и сырьё, криптовалюты, акции. Сбор данных интегрирован с системой кеширования для снижения нагрузки на внешний API.</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Разработан и обучен ансамбль из трёх разнородных моделей (TCN, CatBoost, foundation-модели) с применением walk-forward валидации и пост-калибровки вероятностей. Ансамблирование с эмпирически подобранными весами компонентов даёт более стабильное качество прогнозов по сравнению с каждой из моделей в отдельности.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Проведена оценка точности прогнозирования по метрикам MAE, RMSE, MAPE, R² и directional accuracy на пяти финансовых инструментах различных классов. Достигнут MAPE 1.25 % для целевого актива (фьючерс на золото GC=F) на горизонте 30 торговых дней с одновременным directional accuracy 59.9 %. Из пяти исследованных активов четыре продемонстрировали directional accuracy строго выше базовой ставки 0.5; коэффициент детерминации R² во всех пяти случаях превысил значение 0.95.</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Реализован sentiment-анализ новостных заголовков на основе предобученной модели FinBERT и интеграция результатов sentiment-анализа в итоговый прогноз через мультипликативную bias-correction с механизмом плавного «включения» при росте числа новостей.</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Разработан веб-интерфейс с авторизацией пользователей (Argon2id-хеширование паролей, HttpOnly-cookie), асинхронной обработкой запросов через Celery и сохранением истории прогнозов в личном кабинете пользователя. Frontend реализован на Next.js 16 в режиме статической генерации, что обеспечивает наилучшую производительность и совместимость с любым веб-сервером.</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Проведено тестирование разработанной системы — 27 backend unit-тестов и 61 frontend unit-тест. Интеграционное тестирование основных пользовательских сценариев подтвердило корректность работы системы в штатных и большинстве нештатных ситуаций.</w:t>
      </w:r>
    </w:p>
    <w:p>
      <w:pPr>
        <w:spacing w:after="0" w:before="0" w:line="360" w:lineRule="auto"/>
        <w:ind w:firstLine="708"/>
        <w:jc w:val="both"/>
      </w:pPr>
      <w:r>
        <w:rPr>
          <w:rFonts w:ascii="Times New Roman" w:cs="Times New Roman" w:eastAsia="Times New Roman" w:hAnsi="Times New Roman"/>
          <w:b/>
          <w:bCs/>
          <w:i w:val="false"/>
          <w:iCs w:val="false"/>
          <w:sz w:val="28"/>
          <w:szCs w:val="28"/>
        </w:rPr>
        <w:t xml:space="preserve">Перспективы дальнейшего развития работы:</w:t>
      </w:r>
    </w:p>
    <w:p>
      <w:pPr>
        <w:spacing w:after="0" w:before="0" w:line="360" w:lineRule="auto"/>
        <w:ind w:left="708" w:hanging="284"/>
        <w:jc w:val="both"/>
      </w:pPr>
      <w:r>
        <w:rPr>
          <w:rFonts w:ascii="Times New Roman" w:cs="Times New Roman" w:eastAsia="Times New Roman" w:hAnsi="Times New Roman"/>
          <w:sz w:val="28"/>
          <w:szCs w:val="28"/>
        </w:rPr>
        <w:t xml:space="preserve">— расширение списка поддерживаемых активов и горизонтов прогнозирования;</w:t>
      </w:r>
    </w:p>
    <w:p>
      <w:pPr>
        <w:spacing w:after="0" w:before="0" w:line="360" w:lineRule="auto"/>
        <w:ind w:left="708" w:hanging="284"/>
        <w:jc w:val="both"/>
      </w:pPr>
      <w:r>
        <w:rPr>
          <w:rFonts w:ascii="Times New Roman" w:cs="Times New Roman" w:eastAsia="Times New Roman" w:hAnsi="Times New Roman"/>
          <w:sz w:val="28"/>
          <w:szCs w:val="28"/>
        </w:rPr>
        <w:t xml:space="preserve">— реализация высокочастотного слайса с обработкой L2-данных биржи в реальном времени (находится в стадии прототипирования);</w:t>
      </w:r>
    </w:p>
    <w:p>
      <w:pPr>
        <w:spacing w:after="0" w:before="0" w:line="360" w:lineRule="auto"/>
        <w:ind w:left="708" w:hanging="284"/>
        <w:jc w:val="both"/>
      </w:pPr>
      <w:r>
        <w:rPr>
          <w:rFonts w:ascii="Times New Roman" w:cs="Times New Roman" w:eastAsia="Times New Roman" w:hAnsi="Times New Roman"/>
          <w:sz w:val="28"/>
          <w:szCs w:val="28"/>
        </w:rPr>
        <w:t xml:space="preserve">— добавление возможности дообучения моделей по индивидуальным предпочтениям пользователя через механизм transfer learning;</w:t>
      </w:r>
    </w:p>
    <w:p>
      <w:pPr>
        <w:spacing w:after="0" w:before="0" w:line="360" w:lineRule="auto"/>
        <w:ind w:left="708" w:hanging="284"/>
        <w:jc w:val="both"/>
      </w:pPr>
      <w:r>
        <w:rPr>
          <w:rFonts w:ascii="Times New Roman" w:cs="Times New Roman" w:eastAsia="Times New Roman" w:hAnsi="Times New Roman"/>
          <w:sz w:val="28"/>
          <w:szCs w:val="28"/>
        </w:rPr>
        <w:t xml:space="preserve">— интеграция с биржевыми API для автоматического исполнения сигналов в составе торговых стратегий;</w:t>
      </w:r>
    </w:p>
    <w:p>
      <w:pPr>
        <w:spacing w:after="0" w:before="0" w:line="360" w:lineRule="auto"/>
        <w:ind w:left="708" w:hanging="284"/>
        <w:jc w:val="both"/>
      </w:pPr>
      <w:r>
        <w:rPr>
          <w:rFonts w:ascii="Times New Roman" w:cs="Times New Roman" w:eastAsia="Times New Roman" w:hAnsi="Times New Roman"/>
          <w:sz w:val="28"/>
          <w:szCs w:val="28"/>
        </w:rPr>
        <w:t xml:space="preserve">— расширение sentiment-анализа за счёт обработки более широкого круга источников (Twitter/X, Reddit, специализированные финансовые форумы).</w:t>
      </w:r>
    </w:p>
    <w:p>
      <w:pPr>
        <w:pageBreakBefore/>
        <w:spacing w:after="240" w:before="0" w:line="360" w:lineRule="auto"/>
        <w:jc w:val="center"/>
      </w:pPr>
      <w:r>
        <w:rPr>
          <w:rFonts w:ascii="Times New Roman" w:cs="Times New Roman" w:eastAsia="Times New Roman" w:hAnsi="Times New Roman"/>
          <w:b/>
          <w:bCs/>
          <w:caps/>
          <w:sz w:val="28"/>
          <w:szCs w:val="28"/>
        </w:rPr>
        <w:t xml:space="preserve">СПИСОК ИСПОЛЬЗОВАННЫХ ИСТОЧНИКОВ</w:t>
      </w:r>
    </w:p>
    <w:p>
      <w:pPr>
        <w:spacing w:after="0" w:before="0" w:line="360" w:lineRule="auto"/>
        <w:ind w:left="708" w:hanging="360"/>
        <w:jc w:val="both"/>
      </w:pPr>
      <w:r>
        <w:rPr>
          <w:rFonts w:ascii="Times New Roman" w:cs="Times New Roman" w:eastAsia="Times New Roman" w:hAnsi="Times New Roman"/>
          <w:sz w:val="28"/>
          <w:szCs w:val="28"/>
        </w:rPr>
        <w:t xml:space="preserve">1. Бокс, Дж. Анализ временных рядов. Прогноз и управление [Текст] / Дж. Бокс, Г. Дженкинс. — М.: Мир, 1974. — 408 с.</w:t>
      </w:r>
    </w:p>
    <w:p>
      <w:pPr>
        <w:spacing w:after="0" w:before="0" w:line="360" w:lineRule="auto"/>
        <w:ind w:left="708" w:hanging="360"/>
        <w:jc w:val="both"/>
      </w:pPr>
      <w:r>
        <w:rPr>
          <w:rFonts w:ascii="Times New Roman" w:cs="Times New Roman" w:eastAsia="Times New Roman" w:hAnsi="Times New Roman"/>
          <w:sz w:val="28"/>
          <w:szCs w:val="28"/>
        </w:rPr>
        <w:t xml:space="preserve">2. Bai, S. An Empirical Evaluation of Generic Convolutional and Recurrent Networks for Sequence Modeling [Электронный ресурс] / S. Bai, J. Z. Kolter, V. Koltun. — 2018. — URL: https://arxiv.org/abs/1803.01271 (дата обращения: 15.03.2026).</w:t>
      </w:r>
    </w:p>
    <w:p>
      <w:pPr>
        <w:spacing w:after="0" w:before="0" w:line="360" w:lineRule="auto"/>
        <w:ind w:left="708" w:hanging="360"/>
        <w:jc w:val="both"/>
      </w:pPr>
      <w:r>
        <w:rPr>
          <w:rFonts w:ascii="Times New Roman" w:cs="Times New Roman" w:eastAsia="Times New Roman" w:hAnsi="Times New Roman"/>
          <w:sz w:val="28"/>
          <w:szCs w:val="28"/>
        </w:rPr>
        <w:t xml:space="preserve">3. Hewamalage, H. Recurrent Neural Networks for Time Series Forecasting: Current Status and Future Directions [Текст] / H. Hewamalage, C. Bergmeir, K. Bandara // International Journal of Forecasting. — 2021. — Vol. 37, № 1. — P. 388–427.</w:t>
      </w:r>
    </w:p>
    <w:p>
      <w:pPr>
        <w:spacing w:after="0" w:before="0" w:line="360" w:lineRule="auto"/>
        <w:ind w:left="708" w:hanging="360"/>
        <w:jc w:val="both"/>
      </w:pPr>
      <w:r>
        <w:rPr>
          <w:rFonts w:ascii="Times New Roman" w:cs="Times New Roman" w:eastAsia="Times New Roman" w:hAnsi="Times New Roman"/>
          <w:sz w:val="28"/>
          <w:szCs w:val="28"/>
        </w:rPr>
        <w:t xml:space="preserve">4. Garza, A. TimesFM: A Decoder-Only Foundation Model for Time-Series Forecasting [Электронный ресурс] / A. Garza, M. Mergenthaler-Canseco. — 2024. — URL: https://arxiv.org/abs/2310.10688 (дата обращения: 15.03.2026).</w:t>
      </w:r>
    </w:p>
    <w:p>
      <w:pPr>
        <w:spacing w:after="0" w:before="0" w:line="360" w:lineRule="auto"/>
        <w:ind w:left="708" w:hanging="360"/>
        <w:jc w:val="both"/>
      </w:pPr>
      <w:r>
        <w:rPr>
          <w:rFonts w:ascii="Times New Roman" w:cs="Times New Roman" w:eastAsia="Times New Roman" w:hAnsi="Times New Roman"/>
          <w:sz w:val="28"/>
          <w:szCs w:val="28"/>
        </w:rPr>
        <w:t xml:space="preserve">5. Ansari, A. F. Chronos: Learning the Language of Time Series [Электронный ресурс] / A. F. Ansari, L. Stella, C. Turkmen et al. — 2024. — URL: https://arxiv.org/abs/2403.07815 (дата обращения: 15.03.2026).</w:t>
      </w:r>
    </w:p>
    <w:p>
      <w:pPr>
        <w:spacing w:after="0" w:before="0" w:line="360" w:lineRule="auto"/>
        <w:ind w:left="708" w:hanging="360"/>
        <w:jc w:val="both"/>
      </w:pPr>
      <w:r>
        <w:rPr>
          <w:rFonts w:ascii="Times New Roman" w:cs="Times New Roman" w:eastAsia="Times New Roman" w:hAnsi="Times New Roman"/>
          <w:sz w:val="28"/>
          <w:szCs w:val="28"/>
        </w:rPr>
        <w:t xml:space="preserve">6. Niculescu-Mizil, A. Predicting Good Probabilities with Supervised Learning [Текст] / A. Niculescu-Mizil, R. Caruana // Proceedings of the 22nd International Conference on Machine Learning (ICML). — 2005. — P. 625–632.</w:t>
      </w:r>
    </w:p>
    <w:p>
      <w:pPr>
        <w:spacing w:after="0" w:before="0" w:line="360" w:lineRule="auto"/>
        <w:ind w:left="708" w:hanging="360"/>
        <w:jc w:val="both"/>
      </w:pPr>
      <w:r>
        <w:rPr>
          <w:rFonts w:ascii="Times New Roman" w:cs="Times New Roman" w:eastAsia="Times New Roman" w:hAnsi="Times New Roman"/>
          <w:sz w:val="28"/>
          <w:szCs w:val="28"/>
        </w:rPr>
        <w:t xml:space="preserve">7. Vovk, V. Algorithmic Learning in a Random World [Текст] / V. Vovk, A. Gammerman, G. Shafer. — Springer, 2005. — 324 p.</w:t>
      </w:r>
    </w:p>
    <w:p>
      <w:pPr>
        <w:spacing w:after="0" w:before="0" w:line="360" w:lineRule="auto"/>
        <w:ind w:left="708" w:hanging="360"/>
        <w:jc w:val="both"/>
      </w:pPr>
      <w:r>
        <w:rPr>
          <w:rFonts w:ascii="Times New Roman" w:cs="Times New Roman" w:eastAsia="Times New Roman" w:hAnsi="Times New Roman"/>
          <w:sz w:val="28"/>
          <w:szCs w:val="28"/>
        </w:rPr>
        <w:t xml:space="preserve">8. Hochreiter, S. Long Short-Term Memory [Текст] / S. Hochreiter, J. Schmidhuber // Neural Computation. — 1997. — Vol. 9, № 8. — P. 1735–1780.</w:t>
      </w:r>
    </w:p>
    <w:p>
      <w:pPr>
        <w:spacing w:after="0" w:before="0" w:line="360" w:lineRule="auto"/>
        <w:ind w:left="708" w:hanging="360"/>
        <w:jc w:val="both"/>
      </w:pPr>
      <w:r>
        <w:rPr>
          <w:rFonts w:ascii="Times New Roman" w:cs="Times New Roman" w:eastAsia="Times New Roman" w:hAnsi="Times New Roman"/>
          <w:sz w:val="28"/>
          <w:szCs w:val="28"/>
        </w:rPr>
        <w:t xml:space="preserve">9. Prokhorenkova, L. CatBoost: Unbiased Boosting with Categorical Features [Электронный ресурс] / L. Prokhorenkova, G. Gusev, A. Vorobev et al. — 2018. — URL: https://arxiv.org/abs/1706.09516 (дата обращения: 15.03.2026).</w:t>
      </w:r>
    </w:p>
    <w:p>
      <w:pPr>
        <w:spacing w:after="0" w:before="0" w:line="360" w:lineRule="auto"/>
        <w:ind w:left="708" w:hanging="360"/>
        <w:jc w:val="both"/>
      </w:pPr>
      <w:r>
        <w:rPr>
          <w:rFonts w:ascii="Times New Roman" w:cs="Times New Roman" w:eastAsia="Times New Roman" w:hAnsi="Times New Roman"/>
          <w:sz w:val="28"/>
          <w:szCs w:val="28"/>
        </w:rPr>
        <w:t xml:space="preserve">10. Angelopoulos, A. N. Conformal Prediction: A Gentle Introduction [Текст] / A. N. Angelopoulos, S. Bates // Foundations and Trends in Machine Learning. — 2023. — Vol. 16, № 4. — P. 494–591.</w:t>
      </w:r>
    </w:p>
    <w:p>
      <w:pPr>
        <w:spacing w:after="0" w:before="0" w:line="360" w:lineRule="auto"/>
        <w:ind w:left="708" w:hanging="360"/>
        <w:jc w:val="both"/>
      </w:pPr>
      <w:r>
        <w:rPr>
          <w:rFonts w:ascii="Times New Roman" w:cs="Times New Roman" w:eastAsia="Times New Roman" w:hAnsi="Times New Roman"/>
          <w:sz w:val="28"/>
          <w:szCs w:val="28"/>
        </w:rPr>
        <w:t xml:space="preserve">11. Chen, T. XGBoost: A Scalable Tree Boosting System [Текст] / T. Chen, C. Guestrin // Proceedings of the 22nd ACM SIGKDD International Conference on Knowledge Discovery and Data Mining. — 2016. — P. 785–794.</w:t>
      </w:r>
    </w:p>
    <w:p>
      <w:pPr>
        <w:spacing w:after="0" w:before="0" w:line="360" w:lineRule="auto"/>
        <w:ind w:left="708" w:hanging="360"/>
        <w:jc w:val="both"/>
      </w:pPr>
      <w:r>
        <w:rPr>
          <w:rFonts w:ascii="Times New Roman" w:cs="Times New Roman" w:eastAsia="Times New Roman" w:hAnsi="Times New Roman"/>
          <w:sz w:val="28"/>
          <w:szCs w:val="28"/>
        </w:rPr>
        <w:t xml:space="preserve">12. Yang, Y. FinBERT: A Pretrained Language Model for Financial Communications [Электронный ресурс] / Y. Yang, M. C. S. Uy, A. Huang. — 2020. — URL: https://arxiv.org/abs/2006.08097 (дата обращения: 15.03.2026).</w:t>
      </w:r>
    </w:p>
    <w:p>
      <w:pPr>
        <w:spacing w:after="0" w:before="0" w:line="360" w:lineRule="auto"/>
        <w:ind w:left="708" w:hanging="360"/>
        <w:jc w:val="both"/>
      </w:pPr>
      <w:r>
        <w:rPr>
          <w:rFonts w:ascii="Times New Roman" w:cs="Times New Roman" w:eastAsia="Times New Roman" w:hAnsi="Times New Roman"/>
          <w:sz w:val="28"/>
          <w:szCs w:val="28"/>
        </w:rPr>
        <w:t xml:space="preserve">13. Салимов, Ф. И. Методические рекомендации по заполнению бланка задания на курсовую работу для студентов кафедры теоретической кибернетики [Текст] / Ф. И. Салимов, Р. М. Хадиев. — Казань: Изд-во КФУ, 2019. — 14 с.</w:t>
      </w:r>
    </w:p>
    <w:p>
      <w:pPr>
        <w:spacing w:after="0" w:before="0" w:line="360" w:lineRule="auto"/>
        <w:ind w:left="708" w:hanging="360"/>
        <w:jc w:val="both"/>
      </w:pPr>
      <w:r>
        <w:rPr>
          <w:rFonts w:ascii="Times New Roman" w:cs="Times New Roman" w:eastAsia="Times New Roman" w:hAnsi="Times New Roman"/>
          <w:sz w:val="28"/>
          <w:szCs w:val="28"/>
        </w:rPr>
        <w:t xml:space="preserve">14. Хадиев, Р. М. Курсовые работы. Методические рекомендации [Текст] / Р. М. Хадиев, А. Ф. Гайнутдинова. — Казань: Изд-во КФУ, 2019. — 28 с.</w:t>
      </w:r>
    </w:p>
    <w:p>
      <w:pPr>
        <w:spacing w:after="0" w:before="0" w:line="360" w:lineRule="auto"/>
        <w:ind w:left="708" w:hanging="360"/>
        <w:jc w:val="both"/>
      </w:pPr>
      <w:r>
        <w:rPr>
          <w:rFonts w:ascii="Times New Roman" w:cs="Times New Roman" w:eastAsia="Times New Roman" w:hAnsi="Times New Roman"/>
          <w:sz w:val="28"/>
          <w:szCs w:val="28"/>
        </w:rPr>
        <w:t xml:space="preserve">15. Yahoo Finance: Public API Documentation [Электронный ресурс]. — Yahoo Inc., 2024. — URL: https://finance.yahoo.com/ (дата обращения: 15.03.2026).</w:t>
      </w:r>
    </w:p>
    <w:p>
      <w:pPr>
        <w:spacing w:after="0" w:before="0" w:line="360" w:lineRule="auto"/>
        <w:ind w:left="708" w:hanging="360"/>
        <w:jc w:val="both"/>
      </w:pPr>
      <w:r>
        <w:rPr>
          <w:rFonts w:ascii="Times New Roman" w:cs="Times New Roman" w:eastAsia="Times New Roman" w:hAnsi="Times New Roman"/>
          <w:sz w:val="28"/>
          <w:szCs w:val="28"/>
        </w:rPr>
        <w:t xml:space="preserve">16. FastAPI Documentation [Электронный ресурс]. — Tiangolo, 2024. — URL: https://fastapi.tiangolo.com/ (дата обращения: 15.03.2026).</w:t>
      </w:r>
    </w:p>
    <w:p>
      <w:pPr>
        <w:spacing w:after="0" w:before="0" w:line="360" w:lineRule="auto"/>
        <w:ind w:left="708" w:hanging="360"/>
        <w:jc w:val="both"/>
      </w:pPr>
      <w:r>
        <w:rPr>
          <w:rFonts w:ascii="Times New Roman" w:cs="Times New Roman" w:eastAsia="Times New Roman" w:hAnsi="Times New Roman"/>
          <w:sz w:val="28"/>
          <w:szCs w:val="28"/>
        </w:rPr>
        <w:t xml:space="preserve">17. Next.js Documentation [Электронный ресурс]. — Vercel Inc., 2024. — URL: https://nextjs.org/docs (дата обращения: 15.03.2026).</w:t>
      </w:r>
    </w:p>
    <w:p>
      <w:pPr>
        <w:spacing w:after="0" w:before="0" w:line="360" w:lineRule="auto"/>
        <w:ind w:left="708" w:hanging="360"/>
        <w:jc w:val="both"/>
      </w:pPr>
      <w:r>
        <w:rPr>
          <w:rFonts w:ascii="Times New Roman" w:cs="Times New Roman" w:eastAsia="Times New Roman" w:hAnsi="Times New Roman"/>
          <w:sz w:val="28"/>
          <w:szCs w:val="28"/>
        </w:rPr>
        <w:t xml:space="preserve">18. PostgreSQL 15 Documentation [Электронный ресурс]. — PostgreSQL Global Development Group, 2024. — URL: https://www.postgresql.org/docs/15/ (дата обращения: 15.03.2026).</w:t>
      </w:r>
    </w:p>
    <w:p>
      <w:pPr>
        <w:pageBreakBefore/>
        <w:spacing w:after="240" w:before="0" w:line="360" w:lineRule="auto"/>
        <w:jc w:val="center"/>
      </w:pPr>
      <w:r>
        <w:rPr>
          <w:rFonts w:ascii="Times New Roman" w:cs="Times New Roman" w:eastAsia="Times New Roman" w:hAnsi="Times New Roman"/>
          <w:b/>
          <w:bCs/>
          <w:caps/>
          <w:sz w:val="28"/>
          <w:szCs w:val="28"/>
        </w:rPr>
        <w:t xml:space="preserve">ПРИЛОЖЕНИЕ А. Архитектура системы</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 Приложении А приводятся структурные схемы разработанной системы. Полные диаграммы (схема потока данных от Yahoo Finance до пользовательского интерфейса; схема архитектуры backend-части с указанием Celery-воркеров и Redis-брокера; схема модели данных PostgreSQL) включаются по требованию руководителя.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Принципиальная схема обработки запроса прогноза: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Клиент (браузер, /v2/predict/) → POST /api/predict → FastAPI (валидация Pydantic) → создание задачи Celery → возврат task_id → клиент периодически опрашивает /api/task/{task_id} → Celery-воркер выполняет: сбор данных через yfinance → предобработка → обучение TCN → инференс ансамбля (TCN + CatBoost + foundation-модели) → sentiment-анализ → bias-correction → сохранение результата в Redis и в prediction_history (PostgreSQL) → клиент получает финальный статус SUCCESS и переходит на страницу результата.</w:t>
      </w:r>
    </w:p>
    <w:p>
      <w:pPr>
        <w:pageBreakBefore/>
        <w:spacing w:after="240" w:before="0" w:line="360" w:lineRule="auto"/>
        <w:jc w:val="center"/>
      </w:pPr>
      <w:r>
        <w:rPr>
          <w:rFonts w:ascii="Times New Roman" w:cs="Times New Roman" w:eastAsia="Times New Roman" w:hAnsi="Times New Roman"/>
          <w:b/>
          <w:bCs/>
          <w:caps/>
          <w:sz w:val="28"/>
          <w:szCs w:val="28"/>
        </w:rPr>
        <w:t xml:space="preserve">ПРИЛОЖЕНИЕ Б. Программный код ключевых модулей</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 Приложении Б приведены ключевые фрагменты программного кода, иллюстрирующие реализацию основных алгоритмических блоков системы. Полный исходный код проекта доступен в открытом репозитории GitHub.</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Б.1. Применение sentiment-bias к прогнозу ансамбля (модуль app/prediction.py):</w:t>
      </w:r>
    </w:p>
    <w:p>
      <w:pPr>
        <w:spacing w:after="0" w:before="0" w:line="240" w:lineRule="auto"/>
      </w:pPr>
      <w:r>
        <w:rPr>
          <w:rFonts w:ascii="Courier New" w:cs="Courier New" w:eastAsia="Courier New" w:hAnsi="Courier New"/>
          <w:sz w:val="24"/>
          <w:szCs w:val="24"/>
        </w:rPr>
        <w:t xml:space="preserve">def apply_sentiment_bias(</w:t>
      </w:r>
    </w:p>
    <w:p>
      <w:pPr>
        <w:spacing w:after="0" w:before="0" w:line="240" w:lineRule="auto"/>
      </w:pPr>
      <w:r>
        <w:rPr>
          <w:rFonts w:ascii="Courier New" w:cs="Courier New" w:eastAsia="Courier New" w:hAnsi="Courier New"/>
          <w:sz w:val="24"/>
          <w:szCs w:val="24"/>
        </w:rPr>
        <w:t xml:space="preserve">    result: dict,</w:t>
      </w:r>
    </w:p>
    <w:p>
      <w:pPr>
        <w:spacing w:after="0" w:before="0" w:line="240" w:lineRule="auto"/>
      </w:pPr>
      <w:r>
        <w:rPr>
          <w:rFonts w:ascii="Courier New" w:cs="Courier New" w:eastAsia="Courier New" w:hAnsi="Courier New"/>
          <w:sz w:val="24"/>
          <w:szCs w:val="24"/>
        </w:rPr>
        <w:t xml:space="preserve">    *,</w:t>
      </w:r>
    </w:p>
    <w:p>
      <w:pPr>
        <w:spacing w:after="0" w:before="0" w:line="240" w:lineRule="auto"/>
      </w:pPr>
      <w:r>
        <w:rPr>
          <w:rFonts w:ascii="Courier New" w:cs="Courier New" w:eastAsia="Courier New" w:hAnsi="Courier New"/>
          <w:sz w:val="24"/>
          <w:szCs w:val="24"/>
        </w:rPr>
        <w:t xml:space="preserve">    sentiment_score: float,</w:t>
      </w:r>
    </w:p>
    <w:p>
      <w:pPr>
        <w:spacing w:after="0" w:before="0" w:line="240" w:lineRule="auto"/>
      </w:pPr>
      <w:r>
        <w:rPr>
          <w:rFonts w:ascii="Courier New" w:cs="Courier New" w:eastAsia="Courier New" w:hAnsi="Courier New"/>
          <w:sz w:val="24"/>
          <w:szCs w:val="24"/>
        </w:rPr>
        <w:t xml:space="preserve">    total_articles: int,</w:t>
      </w:r>
    </w:p>
    <w:p>
      <w:pPr>
        <w:spacing w:after="0" w:before="0" w:line="240" w:lineRule="auto"/>
      </w:pPr>
      <w:r>
        <w:rPr>
          <w:rFonts w:ascii="Courier New" w:cs="Courier New" w:eastAsia="Courier New" w:hAnsi="Courier New"/>
          <w:sz w:val="24"/>
          <w:szCs w:val="24"/>
        </w:rPr>
        <w:t xml:space="preserve">    alpha: float = 0.005,</w:t>
      </w:r>
    </w:p>
    <w:p>
      <w:pPr>
        <w:spacing w:after="0" w:before="0" w:line="240" w:lineRule="auto"/>
      </w:pPr>
      <w:r>
        <w:rPr>
          <w:rFonts w:ascii="Courier New" w:cs="Courier New" w:eastAsia="Courier New" w:hAnsi="Courier New"/>
          <w:sz w:val="24"/>
          <w:szCs w:val="24"/>
        </w:rPr>
        <w:t xml:space="preserve">    n_full: int = 50,</w:t>
      </w:r>
    </w:p>
    <w:p>
      <w:pPr>
        <w:spacing w:after="0" w:before="0" w:line="240" w:lineRule="auto"/>
      </w:pPr>
      <w:r>
        <w:rPr>
          <w:rFonts w:ascii="Courier New" w:cs="Courier New" w:eastAsia="Courier New" w:hAnsi="Courier New"/>
          <w:sz w:val="24"/>
          <w:szCs w:val="24"/>
        </w:rPr>
        <w:t xml:space="preserve">) -&gt; None:</w:t>
      </w:r>
    </w:p>
    <w:p>
      <w:pPr>
        <w:spacing w:after="0" w:before="0" w:line="240" w:lineRule="auto"/>
      </w:pPr>
      <w:r>
        <w:rPr>
          <w:rFonts w:ascii="Courier New" w:cs="Courier New" w:eastAsia="Courier New" w:hAnsi="Courier New"/>
          <w:sz w:val="24"/>
          <w:szCs w:val="24"/>
        </w:rPr>
        <w:t xml:space="preserve">    """Modify result["future_preds"] in place applying mult. bias.</w:t>
      </w:r>
    </w:p>
    <w:p>
      <w:pPr>
        <w:spacing w:after="0" w:before="0" w:line="240" w:lineRule="auto"/>
      </w:pPr>
      <w:r>
        <w:rPr>
          <w:rFonts w:ascii="Courier New" w:cs="Courier New" w:eastAsia="Courier New" w:hAnsi="Courier New"/>
          <w:sz w:val="24"/>
          <w:szCs w:val="24"/>
        </w:rPr>
        <w:t xml:space="preserve"/>
      </w:r>
    </w:p>
    <w:p>
      <w:pPr>
        <w:spacing w:after="0" w:before="0" w:line="240" w:lineRule="auto"/>
      </w:pPr>
      <w:r>
        <w:rPr>
          <w:rFonts w:ascii="Courier New" w:cs="Courier New" w:eastAsia="Courier New" w:hAnsi="Courier New"/>
          <w:sz w:val="24"/>
          <w:szCs w:val="24"/>
        </w:rPr>
        <w:t xml:space="preserve">    Multiplier formula:</w:t>
      </w:r>
    </w:p>
    <w:p>
      <w:pPr>
        <w:spacing w:after="0" w:before="0" w:line="240" w:lineRule="auto"/>
      </w:pPr>
      <w:r>
        <w:rPr>
          <w:rFonts w:ascii="Courier New" w:cs="Courier New" w:eastAsia="Courier New" w:hAnsi="Courier New"/>
          <w:sz w:val="24"/>
          <w:szCs w:val="24"/>
        </w:rPr>
        <w:t xml:space="preserve">        m = 1 + alpha * s_avg * min(1, n / N_full)</w:t>
      </w:r>
    </w:p>
    <w:p>
      <w:pPr>
        <w:spacing w:after="0" w:before="0" w:line="240" w:lineRule="auto"/>
      </w:pPr>
      <w:r>
        <w:rPr>
          <w:rFonts w:ascii="Courier New" w:cs="Courier New" w:eastAsia="Courier New" w:hAnsi="Courier New"/>
          <w:sz w:val="24"/>
          <w:szCs w:val="24"/>
        </w:rPr>
        <w:t xml:space="preserve">    Smoothly turns the bias on as more articles accumulate.</w:t>
      </w:r>
    </w:p>
    <w:p>
      <w:pPr>
        <w:spacing w:after="0" w:before="0" w:line="240" w:lineRule="auto"/>
      </w:pPr>
      <w:r>
        <w:rPr>
          <w:rFonts w:ascii="Courier New" w:cs="Courier New" w:eastAsia="Courier New" w:hAnsi="Courier New"/>
          <w:sz w:val="24"/>
          <w:szCs w:val="24"/>
        </w:rPr>
        <w:t xml:space="preserve">    """</w:t>
      </w:r>
    </w:p>
    <w:p>
      <w:pPr>
        <w:spacing w:after="0" w:before="0" w:line="240" w:lineRule="auto"/>
      </w:pPr>
      <w:r>
        <w:rPr>
          <w:rFonts w:ascii="Courier New" w:cs="Courier New" w:eastAsia="Courier New" w:hAnsi="Courier New"/>
          <w:sz w:val="24"/>
          <w:szCs w:val="24"/>
        </w:rPr>
        <w:t xml:space="preserve">    if total_articles &lt;= 0 or not result.get("future_preds"):</w:t>
      </w:r>
    </w:p>
    <w:p>
      <w:pPr>
        <w:spacing w:after="0" w:before="0" w:line="240" w:lineRule="auto"/>
      </w:pPr>
      <w:r>
        <w:rPr>
          <w:rFonts w:ascii="Courier New" w:cs="Courier New" w:eastAsia="Courier New" w:hAnsi="Courier New"/>
          <w:sz w:val="24"/>
          <w:szCs w:val="24"/>
        </w:rPr>
        <w:t xml:space="preserve">        return</w:t>
      </w:r>
    </w:p>
    <w:p>
      <w:pPr>
        <w:spacing w:after="0" w:before="0" w:line="240" w:lineRule="auto"/>
      </w:pPr>
      <w:r>
        <w:rPr>
          <w:rFonts w:ascii="Courier New" w:cs="Courier New" w:eastAsia="Courier New" w:hAnsi="Courier New"/>
          <w:sz w:val="24"/>
          <w:szCs w:val="24"/>
        </w:rPr>
        <w:t xml:space="preserve">    saturation = min(1.0, total_articles / n_full)</w:t>
      </w:r>
    </w:p>
    <w:p>
      <w:pPr>
        <w:spacing w:after="0" w:before="0" w:line="240" w:lineRule="auto"/>
      </w:pPr>
      <w:r>
        <w:rPr>
          <w:rFonts w:ascii="Courier New" w:cs="Courier New" w:eastAsia="Courier New" w:hAnsi="Courier New"/>
          <w:sz w:val="24"/>
          <w:szCs w:val="24"/>
        </w:rPr>
        <w:t xml:space="preserve">    multiplier = 1.0 + alpha * sentiment_score * saturation</w:t>
      </w:r>
    </w:p>
    <w:p>
      <w:pPr>
        <w:spacing w:after="0" w:before="0" w:line="240" w:lineRule="auto"/>
      </w:pPr>
      <w:r>
        <w:rPr>
          <w:rFonts w:ascii="Courier New" w:cs="Courier New" w:eastAsia="Courier New" w:hAnsi="Courier New"/>
          <w:sz w:val="24"/>
          <w:szCs w:val="24"/>
        </w:rPr>
        <w:t xml:space="preserve">    result["future_preds"] = [</w:t>
      </w:r>
    </w:p>
    <w:p>
      <w:pPr>
        <w:spacing w:after="0" w:before="0" w:line="240" w:lineRule="auto"/>
      </w:pPr>
      <w:r>
        <w:rPr>
          <w:rFonts w:ascii="Courier New" w:cs="Courier New" w:eastAsia="Courier New" w:hAnsi="Courier New"/>
          <w:sz w:val="24"/>
          <w:szCs w:val="24"/>
        </w:rPr>
        <w:t xml:space="preserve">        float(p) * multiplier for p in result["future_preds"]</w:t>
      </w:r>
    </w:p>
    <w:p>
      <w:pPr>
        <w:spacing w:after="0" w:before="0" w:line="240" w:lineRule="auto"/>
      </w:pPr>
      <w:r>
        <w:rPr>
          <w:rFonts w:ascii="Courier New" w:cs="Courier New" w:eastAsia="Courier New" w:hAnsi="Courier New"/>
          <w:sz w:val="24"/>
          <w:szCs w:val="24"/>
        </w:rPr>
        <w:t xml:space="preserve">    ]</w:t>
      </w:r>
    </w:p>
    <w:p>
      <w:pPr>
        <w:spacing w:after="0" w:before="0" w:line="240" w:lineRule="auto"/>
      </w:pPr>
      <w:r>
        <w:rPr>
          <w:rFonts w:ascii="Courier New" w:cs="Courier New" w:eastAsia="Courier New" w:hAnsi="Courier New"/>
          <w:sz w:val="24"/>
          <w:szCs w:val="24"/>
        </w:rPr>
        <w:t xml:space="preserve">    result["sentiment_applied"] = True</w:t>
      </w:r>
    </w:p>
    <w:p>
      <w:pPr>
        <w:spacing w:after="0" w:before="0" w:line="240" w:lineRule="auto"/>
      </w:pPr>
      <w:r>
        <w:rPr>
          <w:rFonts w:ascii="Courier New" w:cs="Courier New" w:eastAsia="Courier New" w:hAnsi="Courier New"/>
          <w:sz w:val="24"/>
          <w:szCs w:val="24"/>
        </w:rPr>
        <w:t xml:space="preserve">    result["sentiment_bias_pct"] = (multiplier - 1.0) * 100.0</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Б.2. Обработчик API /api/predict (модуль app/main.py):</w:t>
      </w:r>
    </w:p>
    <w:p>
      <w:pPr>
        <w:spacing w:after="0" w:before="0" w:line="240" w:lineRule="auto"/>
      </w:pPr>
      <w:r>
        <w:rPr>
          <w:rFonts w:ascii="Courier New" w:cs="Courier New" w:eastAsia="Courier New" w:hAnsi="Courier New"/>
          <w:sz w:val="24"/>
          <w:szCs w:val="24"/>
        </w:rPr>
        <w:t xml:space="preserve">@app.post("/api/predict")</w:t>
      </w:r>
    </w:p>
    <w:p>
      <w:pPr>
        <w:spacing w:after="0" w:before="0" w:line="240" w:lineRule="auto"/>
      </w:pPr>
      <w:r>
        <w:rPr>
          <w:rFonts w:ascii="Courier New" w:cs="Courier New" w:eastAsia="Courier New" w:hAnsi="Courier New"/>
          <w:sz w:val="24"/>
          <w:szCs w:val="24"/>
        </w:rPr>
        <w:t xml:space="preserve">async def api_predict(</w:t>
      </w:r>
    </w:p>
    <w:p>
      <w:pPr>
        <w:spacing w:after="0" w:before="0" w:line="240" w:lineRule="auto"/>
      </w:pPr>
      <w:r>
        <w:rPr>
          <w:rFonts w:ascii="Courier New" w:cs="Courier New" w:eastAsia="Courier New" w:hAnsi="Courier New"/>
          <w:sz w:val="24"/>
          <w:szCs w:val="24"/>
        </w:rPr>
        <w:t xml:space="preserve">    payload: _PredictPayload,</w:t>
      </w:r>
    </w:p>
    <w:p>
      <w:pPr>
        <w:spacing w:after="0" w:before="0" w:line="240" w:lineRule="auto"/>
      </w:pPr>
      <w:r>
        <w:rPr>
          <w:rFonts w:ascii="Courier New" w:cs="Courier New" w:eastAsia="Courier New" w:hAnsi="Courier New"/>
          <w:sz w:val="24"/>
          <w:szCs w:val="24"/>
        </w:rPr>
        <w:t xml:space="preserve">    user: User = Depends(get_current_user),</w:t>
      </w:r>
    </w:p>
    <w:p>
      <w:pPr>
        <w:spacing w:after="0" w:before="0" w:line="240" w:lineRule="auto"/>
      </w:pPr>
      <w:r>
        <w:rPr>
          <w:rFonts w:ascii="Courier New" w:cs="Courier New" w:eastAsia="Courier New" w:hAnsi="Courier New"/>
          <w:sz w:val="24"/>
          <w:szCs w:val="24"/>
        </w:rPr>
        <w:t xml:space="preserve">):</w:t>
      </w:r>
    </w:p>
    <w:p>
      <w:pPr>
        <w:spacing w:after="0" w:before="0" w:line="240" w:lineRule="auto"/>
      </w:pPr>
      <w:r>
        <w:rPr>
          <w:rFonts w:ascii="Courier New" w:cs="Courier New" w:eastAsia="Courier New" w:hAnsi="Courier New"/>
          <w:sz w:val="24"/>
          <w:szCs w:val="24"/>
        </w:rPr>
        <w:t xml:space="preserve">    """JSON twin of legacy form-based POST /predict.</w:t>
      </w:r>
    </w:p>
    <w:p>
      <w:pPr>
        <w:spacing w:after="0" w:before="0" w:line="240" w:lineRule="auto"/>
      </w:pPr>
      <w:r>
        <w:rPr>
          <w:rFonts w:ascii="Courier New" w:cs="Courier New" w:eastAsia="Courier New" w:hAnsi="Courier New"/>
          <w:sz w:val="24"/>
          <w:szCs w:val="24"/>
        </w:rPr>
        <w:t xml:space="preserve"/>
      </w:r>
    </w:p>
    <w:p>
      <w:pPr>
        <w:spacing w:after="0" w:before="0" w:line="240" w:lineRule="auto"/>
      </w:pPr>
      <w:r>
        <w:rPr>
          <w:rFonts w:ascii="Courier New" w:cs="Courier New" w:eastAsia="Courier New" w:hAnsi="Courier New"/>
          <w:sz w:val="24"/>
          <w:szCs w:val="24"/>
        </w:rPr>
        <w:t xml:space="preserve">    Auth-required (401 for anon). Dispatches a Celery task,</w:t>
      </w:r>
    </w:p>
    <w:p>
      <w:pPr>
        <w:spacing w:after="0" w:before="0" w:line="240" w:lineRule="auto"/>
      </w:pPr>
      <w:r>
        <w:rPr>
          <w:rFonts w:ascii="Courier New" w:cs="Courier New" w:eastAsia="Courier New" w:hAnsi="Courier New"/>
          <w:sz w:val="24"/>
          <w:szCs w:val="24"/>
        </w:rPr>
        <w:t xml:space="preserve">    saves task-&gt;owner mapping in Redis (TTL 2h), mints a</w:t>
      </w:r>
    </w:p>
    <w:p>
      <w:pPr>
        <w:spacing w:after="0" w:before="0" w:line="240" w:lineRule="auto"/>
      </w:pPr>
      <w:r>
        <w:rPr>
          <w:rFonts w:ascii="Courier New" w:cs="Courier New" w:eastAsia="Courier New" w:hAnsi="Courier New"/>
          <w:sz w:val="24"/>
          <w:szCs w:val="24"/>
        </w:rPr>
        <w:t xml:space="preserve">    short slug for the legacy result page, returns task_id.</w:t>
      </w:r>
    </w:p>
    <w:p>
      <w:pPr>
        <w:spacing w:after="0" w:before="0" w:line="240" w:lineRule="auto"/>
      </w:pPr>
      <w:r>
        <w:rPr>
          <w:rFonts w:ascii="Courier New" w:cs="Courier New" w:eastAsia="Courier New" w:hAnsi="Courier New"/>
          <w:sz w:val="24"/>
          <w:szCs w:val="24"/>
        </w:rPr>
        <w:t xml:space="preserve">    """</w:t>
      </w:r>
    </w:p>
    <w:p>
      <w:pPr>
        <w:spacing w:after="0" w:before="0" w:line="240" w:lineRule="auto"/>
      </w:pPr>
      <w:r>
        <w:rPr>
          <w:rFonts w:ascii="Courier New" w:cs="Courier New" w:eastAsia="Courier New" w:hAnsi="Courier New"/>
          <w:sz w:val="24"/>
          <w:szCs w:val="24"/>
        </w:rPr>
        <w:t xml:space="preserve">    if user is None:</w:t>
      </w:r>
    </w:p>
    <w:p>
      <w:pPr>
        <w:spacing w:after="0" w:before="0" w:line="240" w:lineRule="auto"/>
      </w:pPr>
      <w:r>
        <w:rPr>
          <w:rFonts w:ascii="Courier New" w:cs="Courier New" w:eastAsia="Courier New" w:hAnsi="Courier New"/>
          <w:sz w:val="24"/>
          <w:szCs w:val="24"/>
        </w:rPr>
        <w:t xml:space="preserve">        raise HTTPException(401, "login required")</w:t>
      </w:r>
    </w:p>
    <w:p>
      <w:pPr>
        <w:spacing w:after="0" w:before="0" w:line="240" w:lineRule="auto"/>
      </w:pPr>
      <w:r>
        <w:rPr>
          <w:rFonts w:ascii="Courier New" w:cs="Courier New" w:eastAsia="Courier New" w:hAnsi="Courier New"/>
          <w:sz w:val="24"/>
          <w:szCs w:val="24"/>
        </w:rPr>
        <w:t xml:space="preserve">    if not USE_CELERY or not celery_app:</w:t>
      </w:r>
    </w:p>
    <w:p>
      <w:pPr>
        <w:spacing w:after="0" w:before="0" w:line="240" w:lineRule="auto"/>
      </w:pPr>
      <w:r>
        <w:rPr>
          <w:rFonts w:ascii="Courier New" w:cs="Courier New" w:eastAsia="Courier New" w:hAnsi="Courier New"/>
          <w:sz w:val="24"/>
          <w:szCs w:val="24"/>
        </w:rPr>
        <w:t xml:space="preserve">        raise HTTPException(503, "worker not configured")</w:t>
      </w:r>
    </w:p>
    <w:p>
      <w:pPr>
        <w:spacing w:after="0" w:before="0" w:line="240" w:lineRule="auto"/>
      </w:pPr>
      <w:r>
        <w:rPr>
          <w:rFonts w:ascii="Courier New" w:cs="Courier New" w:eastAsia="Courier New" w:hAnsi="Courier New"/>
          <w:sz w:val="24"/>
          <w:szCs w:val="24"/>
        </w:rPr>
        <w:t xml:space="preserve">    task = celery_app.send_task(</w:t>
      </w:r>
    </w:p>
    <w:p>
      <w:pPr>
        <w:spacing w:after="0" w:before="0" w:line="240" w:lineRule="auto"/>
      </w:pPr>
      <w:r>
        <w:rPr>
          <w:rFonts w:ascii="Courier New" w:cs="Courier New" w:eastAsia="Courier New" w:hAnsi="Courier New"/>
          <w:sz w:val="24"/>
          <w:szCs w:val="24"/>
        </w:rPr>
        <w:t xml:space="preserve">        "neucast.predict",</w:t>
      </w:r>
    </w:p>
    <w:p>
      <w:pPr>
        <w:spacing w:after="0" w:before="0" w:line="240" w:lineRule="auto"/>
      </w:pPr>
      <w:r>
        <w:rPr>
          <w:rFonts w:ascii="Courier New" w:cs="Courier New" w:eastAsia="Courier New" w:hAnsi="Courier New"/>
          <w:sz w:val="24"/>
          <w:szCs w:val="24"/>
        </w:rPr>
        <w:t xml:space="preserve">        args=[payload.ticker, payload.start_date,</w:t>
      </w:r>
    </w:p>
    <w:p>
      <w:pPr>
        <w:spacing w:after="0" w:before="0" w:line="240" w:lineRule="auto"/>
      </w:pPr>
      <w:r>
        <w:rPr>
          <w:rFonts w:ascii="Courier New" w:cs="Courier New" w:eastAsia="Courier New" w:hAnsi="Courier New"/>
          <w:sz w:val="24"/>
          <w:szCs w:val="24"/>
        </w:rPr>
        <w:t xml:space="preserve">              payload.end_date, payload.days_ahead],</w:t>
      </w:r>
    </w:p>
    <w:p>
      <w:pPr>
        <w:spacing w:after="0" w:before="0" w:line="240" w:lineRule="auto"/>
      </w:pPr>
      <w:r>
        <w:rPr>
          <w:rFonts w:ascii="Courier New" w:cs="Courier New" w:eastAsia="Courier New" w:hAnsi="Courier New"/>
          <w:sz w:val="24"/>
          <w:szCs w:val="24"/>
        </w:rPr>
        <w:t xml:space="preserve">        kwargs={"user_id": int(user.id),</w:t>
      </w:r>
    </w:p>
    <w:p>
      <w:pPr>
        <w:spacing w:after="0" w:before="0" w:line="240" w:lineRule="auto"/>
      </w:pPr>
      <w:r>
        <w:rPr>
          <w:rFonts w:ascii="Courier New" w:cs="Courier New" w:eastAsia="Courier New" w:hAnsi="Courier New"/>
          <w:sz w:val="24"/>
          <w:szCs w:val="24"/>
        </w:rPr>
        <w:t xml:space="preserve">                "use_foundation": bool(payload.use_foundation)},</w:t>
      </w:r>
    </w:p>
    <w:p>
      <w:pPr>
        <w:spacing w:after="0" w:before="0" w:line="240" w:lineRule="auto"/>
      </w:pPr>
      <w:r>
        <w:rPr>
          <w:rFonts w:ascii="Courier New" w:cs="Courier New" w:eastAsia="Courier New" w:hAnsi="Courier New"/>
          <w:sz w:val="24"/>
          <w:szCs w:val="24"/>
        </w:rPr>
        <w:t xml:space="preserve">        serializer="json",</w:t>
      </w:r>
    </w:p>
    <w:p>
      <w:pPr>
        <w:spacing w:after="0" w:before="0" w:line="240" w:lineRule="auto"/>
      </w:pPr>
      <w:r>
        <w:rPr>
          <w:rFonts w:ascii="Courier New" w:cs="Courier New" w:eastAsia="Courier New" w:hAnsi="Courier New"/>
          <w:sz w:val="24"/>
          <w:szCs w:val="24"/>
        </w:rPr>
        <w:t xml:space="preserve">    )</w:t>
      </w:r>
    </w:p>
    <w:p>
      <w:pPr>
        <w:spacing w:after="0" w:before="0" w:line="240" w:lineRule="auto"/>
      </w:pPr>
      <w:r>
        <w:rPr>
          <w:rFonts w:ascii="Courier New" w:cs="Courier New" w:eastAsia="Courier New" w:hAnsi="Courier New"/>
          <w:sz w:val="24"/>
          <w:szCs w:val="24"/>
        </w:rPr>
        <w:t xml:space="preserve">    try:</w:t>
      </w:r>
    </w:p>
    <w:p>
      <w:pPr>
        <w:spacing w:after="0" w:before="0" w:line="240" w:lineRule="auto"/>
      </w:pPr>
      <w:r>
        <w:rPr>
          <w:rFonts w:ascii="Courier New" w:cs="Courier New" w:eastAsia="Courier New" w:hAnsi="Courier New"/>
          <w:sz w:val="24"/>
          <w:szCs w:val="24"/>
        </w:rPr>
        <w:t xml:space="preserve">        _save_task_owner(task.id, int(user.id), ttl=7200)</w:t>
      </w:r>
    </w:p>
    <w:p>
      <w:pPr>
        <w:spacing w:after="0" w:before="0" w:line="240" w:lineRule="auto"/>
      </w:pPr>
      <w:r>
        <w:rPr>
          <w:rFonts w:ascii="Courier New" w:cs="Courier New" w:eastAsia="Courier New" w:hAnsi="Courier New"/>
          <w:sz w:val="24"/>
          <w:szCs w:val="24"/>
        </w:rPr>
        <w:t xml:space="preserve">    except Exception:</w:t>
      </w:r>
    </w:p>
    <w:p>
      <w:pPr>
        <w:spacing w:after="0" w:before="0" w:line="240" w:lineRule="auto"/>
      </w:pPr>
      <w:r>
        <w:rPr>
          <w:rFonts w:ascii="Courier New" w:cs="Courier New" w:eastAsia="Courier New" w:hAnsi="Courier New"/>
          <w:sz w:val="24"/>
          <w:szCs w:val="24"/>
        </w:rPr>
        <w:t xml:space="preserve">        pass</w:t>
      </w:r>
    </w:p>
    <w:p>
      <w:pPr>
        <w:spacing w:after="0" w:before="0" w:line="240" w:lineRule="auto"/>
      </w:pPr>
      <w:r>
        <w:rPr>
          <w:rFonts w:ascii="Courier New" w:cs="Courier New" w:eastAsia="Courier New" w:hAnsi="Courier New"/>
          <w:sz w:val="24"/>
          <w:szCs w:val="24"/>
        </w:rPr>
        <w:t xml:space="preserve">    return {"ok": True, "task_id": task.id}</w:t>
      </w:r>
    </w:p>
    <w:sectPr>
      <w:footerReference w:type="default" r:id="rId7"/>
      <w:pgSz w:w="11906" w:h="16838" w:orient="portrait"/>
      <w:pgMar w:top="1134" w:right="850" w:bottom="1134" w:left="1701" w:header="720" w:footer="720"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Курсовая работа — Разработка веб-сервиса прогнозирования котировок</dc:title>
  <dc:creator>Староверов Н.С.</dc:creator>
  <cp:lastModifiedBy>Un-named</cp:lastModifiedBy>
  <cp:revision>1</cp:revision>
  <dcterms:created xsi:type="dcterms:W3CDTF">2026-05-09T13:00:07.890Z</dcterms:created>
  <dcterms:modified xsi:type="dcterms:W3CDTF">2026-05-09T13:00:07.890Z</dcterms:modified>
</cp:coreProperties>
</file>

<file path=docProps/custom.xml><?xml version="1.0" encoding="utf-8"?>
<Properties xmlns="http://schemas.openxmlformats.org/officeDocument/2006/custom-properties" xmlns:vt="http://schemas.openxmlformats.org/officeDocument/2006/docPropsVTypes"/>
</file>