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bCs/>
          <w:sz w:val="28"/>
          <w:szCs w:val="28"/>
        </w:rPr>
        <w:t xml:space="preserve">МИНИСТЕРСТВО НАУКИ И ВЫСШЕГО ОБРАЗОВАНИЯ РОССИЙСКОЙ ФЕДЕРАЦИИ</w:t>
      </w:r>
    </w:p>
    <w:p>
      <w:pPr>
        <w:spacing w:after="0" w:before="60" w:line="240" w:lineRule="auto"/>
        <w:jc w:val="center"/>
      </w:pPr>
      <w:r>
        <w:rPr>
          <w:rFonts w:ascii="Times New Roman" w:cs="Times New Roman" w:eastAsia="Times New Roman" w:hAnsi="Times New Roman"/>
          <w:sz w:val="28"/>
          <w:szCs w:val="28"/>
        </w:rPr>
        <w:t xml:space="preserve">Федеральное государственное автономное образовательное</w:t>
      </w:r>
    </w:p>
    <w:p>
      <w:pPr>
        <w:spacing w:after="0" w:before="0" w:line="240" w:lineRule="auto"/>
        <w:jc w:val="center"/>
      </w:pPr>
      <w:r>
        <w:rPr>
          <w:rFonts w:ascii="Times New Roman" w:cs="Times New Roman" w:eastAsia="Times New Roman" w:hAnsi="Times New Roman"/>
          <w:sz w:val="28"/>
          <w:szCs w:val="28"/>
        </w:rPr>
        <w:t xml:space="preserve">учреждение высшего образования</w:t>
      </w:r>
    </w:p>
    <w:p>
      <w:pPr>
        <w:spacing w:after="240" w:before="0" w:line="240" w:lineRule="auto"/>
        <w:jc w:val="center"/>
      </w:pPr>
      <w:r>
        <w:rPr>
          <w:rFonts w:ascii="Times New Roman" w:cs="Times New Roman" w:eastAsia="Times New Roman" w:hAnsi="Times New Roman"/>
          <w:b/>
          <w:bCs/>
          <w:sz w:val="28"/>
          <w:szCs w:val="28"/>
        </w:rPr>
        <w:t xml:space="preserve">«Казанский (Приволжский) федеральный университет»</w:t>
      </w:r>
    </w:p>
    <w:p>
      <w:pPr>
        <w:spacing w:after="0" w:before="0" w:line="240" w:lineRule="auto"/>
        <w:jc w:val="center"/>
      </w:pPr>
      <w:r>
        <w:rPr>
          <w:rFonts w:ascii="Times New Roman" w:cs="Times New Roman" w:eastAsia="Times New Roman" w:hAnsi="Times New Roman"/>
          <w:b/>
          <w:bCs/>
          <w:sz w:val="28"/>
          <w:szCs w:val="28"/>
        </w:rPr>
        <w:t xml:space="preserve">ИНСТИТУТ ВЫЧИСЛИТЕЛЬНОЙ МАТЕМАТИКИ И ИНФОРМАЦИОННЫХ ТЕХНОЛОГИЙ</w:t>
      </w:r>
    </w:p>
    <w:p>
      <w:pPr>
        <w:spacing w:after="480" w:before="60" w:line="240" w:lineRule="auto"/>
        <w:jc w:val="center"/>
      </w:pPr>
      <w:r>
        <w:rPr>
          <w:rFonts w:ascii="Times New Roman" w:cs="Times New Roman" w:eastAsia="Times New Roman" w:hAnsi="Times New Roman"/>
          <w:b/>
          <w:bCs/>
          <w:sz w:val="28"/>
          <w:szCs w:val="28"/>
        </w:rPr>
        <w:t xml:space="preserve">КАФЕДРА ТЕОРЕТИЧЕСКОЙ КИБЕРНЕТИКИ</w:t>
      </w:r>
    </w:p>
    <w:p>
      <w:pPr>
        <w:spacing w:after="480" w:before="0" w:line="360" w:lineRule="auto"/>
        <w:jc w:val="center"/>
      </w:pPr>
      <w:r>
        <w:rPr>
          <w:rFonts w:ascii="Times New Roman" w:cs="Times New Roman" w:eastAsia="Times New Roman" w:hAnsi="Times New Roman"/>
          <w:sz w:val="28"/>
          <w:szCs w:val="28"/>
        </w:rPr>
        <w:t xml:space="preserve">Специальность (направление): 01.03.02 — Прикладная математика и информатика</w:t>
      </w:r>
    </w:p>
    <w:p>
      <w:pPr>
        <w:spacing w:after="240" w:before="0" w:line="360" w:lineRule="auto"/>
        <w:jc w:val="center"/>
      </w:pPr>
      <w:r>
        <w:rPr>
          <w:rFonts w:ascii="Times New Roman" w:cs="Times New Roman" w:eastAsia="Times New Roman" w:hAnsi="Times New Roman"/>
          <w:b/>
          <w:bCs/>
          <w:sz w:val="32"/>
          <w:szCs w:val="32"/>
        </w:rPr>
        <w:t xml:space="preserve">КУРСОВАЯ РАБОТА</w:t>
      </w:r>
    </w:p>
    <w:p>
      <w:pPr>
        <w:spacing w:after="720" w:before="0" w:line="360" w:lineRule="auto"/>
        <w:jc w:val="center"/>
      </w:pPr>
      <w:r>
        <w:rPr>
          <w:rFonts w:ascii="Times New Roman" w:cs="Times New Roman" w:eastAsia="Times New Roman" w:hAnsi="Times New Roman"/>
          <w:b/>
          <w:bCs/>
          <w:sz w:val="28"/>
          <w:szCs w:val="28"/>
        </w:rPr>
        <w:t xml:space="preserve">Разработка веб-сервиса прогнозирования котировок золота и других финансовых инструментов на основе ансамбля методов машинного обучения</w:t>
      </w:r>
    </w:p>
    <w:p>
      <w:pPr>
        <w:spacing w:after="0" w:before="0" w:line="360" w:lineRule="auto"/>
      </w:pPr>
      <w:r>
        <w:rPr>
          <w:rFonts w:ascii="Times New Roman" w:cs="Times New Roman" w:eastAsia="Times New Roman" w:hAnsi="Times New Roman"/>
          <w:sz w:val="28"/>
          <w:szCs w:val="28"/>
        </w:rPr>
        <w:t xml:space="preserve">Работа завершена:</w:t>
      </w:r>
    </w:p>
    <w:p>
      <w:pPr>
        <w:spacing w:after="0" w:before="0" w:line="360" w:lineRule="auto"/>
      </w:pPr>
      <w:r>
        <w:rPr>
          <w:rFonts w:ascii="Times New Roman" w:cs="Times New Roman" w:eastAsia="Times New Roman" w:hAnsi="Times New Roman"/>
          <w:sz w:val="28"/>
          <w:szCs w:val="28"/>
        </w:rPr>
        <w:t xml:space="preserve">Студент гр. 09-313</w:t>
      </w:r>
    </w:p>
    <w:p>
      <w:pPr>
        <w:spacing w:after="240" w:before="0" w:line="360" w:lineRule="auto"/>
      </w:pPr>
      <w:r>
        <w:rPr>
          <w:rFonts w:ascii="Times New Roman" w:cs="Times New Roman" w:eastAsia="Times New Roman" w:hAnsi="Times New Roman"/>
          <w:sz w:val="28"/>
          <w:szCs w:val="28"/>
        </w:rPr>
        <w:t xml:space="preserve">«___»_________ 20__ г.   _______________   Н. С. Староверов</w:t>
      </w:r>
    </w:p>
    <w:p>
      <w:pPr>
        <w:spacing w:after="0" w:before="240" w:line="360" w:lineRule="auto"/>
      </w:pPr>
      <w:r>
        <w:rPr>
          <w:rFonts w:ascii="Times New Roman" w:cs="Times New Roman" w:eastAsia="Times New Roman" w:hAnsi="Times New Roman"/>
          <w:sz w:val="28"/>
          <w:szCs w:val="28"/>
        </w:rPr>
        <w:t xml:space="preserve">Работа допущена к защите:</w:t>
      </w:r>
    </w:p>
    <w:p>
      <w:pPr>
        <w:spacing w:after="0" w:before="0" w:line="360" w:lineRule="auto"/>
      </w:pPr>
      <w:r>
        <w:rPr>
          <w:rFonts w:ascii="Times New Roman" w:cs="Times New Roman" w:eastAsia="Times New Roman" w:hAnsi="Times New Roman"/>
          <w:sz w:val="28"/>
          <w:szCs w:val="28"/>
        </w:rPr>
        <w:t xml:space="preserve">Научный руководитель,</w:t>
      </w:r>
    </w:p>
    <w:p>
      <w:pPr>
        <w:spacing w:after="0" w:before="0" w:line="360" w:lineRule="auto"/>
      </w:pPr>
      <w:r>
        <w:rPr>
          <w:rFonts w:ascii="Times New Roman" w:cs="Times New Roman" w:eastAsia="Times New Roman" w:hAnsi="Times New Roman"/>
          <w:sz w:val="28"/>
          <w:szCs w:val="28"/>
        </w:rPr>
        <w:t xml:space="preserve">доцент кафедры теоретической кибернетики</w:t>
      </w:r>
    </w:p>
    <w:p>
      <w:pPr>
        <w:spacing w:after="240" w:before="0" w:line="360" w:lineRule="auto"/>
      </w:pPr>
      <w:r>
        <w:rPr>
          <w:rFonts w:ascii="Times New Roman" w:cs="Times New Roman" w:eastAsia="Times New Roman" w:hAnsi="Times New Roman"/>
          <w:sz w:val="28"/>
          <w:szCs w:val="28"/>
        </w:rPr>
        <w:t xml:space="preserve">«___»_________ 20__ г.   _______________   А. Ф. Гайнутдинова</w:t>
      </w:r>
    </w:p>
    <w:p>
      <w:pPr>
        <w:spacing w:after="0" w:before="720" w:line="360" w:lineRule="auto"/>
        <w:jc w:val="center"/>
      </w:pPr>
      <w:r>
        <w:rPr>
          <w:rFonts w:ascii="Times New Roman" w:cs="Times New Roman" w:eastAsia="Times New Roman" w:hAnsi="Times New Roman"/>
          <w:sz w:val="28"/>
          <w:szCs w:val="28"/>
        </w:rPr>
        <w:t xml:space="preserve">Казань — 2026</w:t>
      </w:r>
    </w:p>
    <w:p>
      <w:pPr>
        <w:sectPr>
          <w:pgSz w:w="11906" w:h="16838" w:orient="portrait"/>
          <w:pgMar w:top="1134" w:right="850" w:bottom="1134" w:left="1701" w:header="720" w:footer="720" w:gutter="0"/>
          <w:pgNumType/>
          <w:docGrid w:linePitch="360"/>
        </w:sectPr>
      </w:pPr>
    </w:p>
    <w:p>
      <w:pPr>
        <w:spacing w:after="240" w:before="0" w:line="360" w:lineRule="auto"/>
        <w:jc w:val="center"/>
      </w:pPr>
      <w:r>
        <w:rPr>
          <w:rFonts w:ascii="Times New Roman" w:cs="Times New Roman" w:eastAsia="Times New Roman" w:hAnsi="Times New Roman"/>
          <w:b/>
          <w:bCs/>
          <w:caps/>
          <w:sz w:val="28"/>
          <w:szCs w:val="28"/>
        </w:rPr>
        <w:t xml:space="preserve">ОГЛАВЛЕНИЕ</w:t>
      </w:r>
    </w:p>
    <w:p>
      <w:pPr>
        <w:spacing w:after="0" w:before="0" w:line="360" w:lineRule="auto"/>
        <w:ind w:left="0"/>
      </w:pPr>
      <w:r>
        <w:rPr>
          <w:rFonts w:ascii="Times New Roman" w:cs="Times New Roman" w:eastAsia="Times New Roman" w:hAnsi="Times New Roman"/>
          <w:b w:val="false"/>
          <w:bCs w:val="false"/>
          <w:sz w:val="28"/>
          <w:szCs w:val="28"/>
        </w:rPr>
        <w:t xml:space="preserve">ВВЕДЕНИЕ</w:t>
      </w:r>
      <w:r>
        <w:rPr>
          <w:rFonts w:ascii="Times New Roman" w:cs="Times New Roman" w:eastAsia="Times New Roman" w:hAnsi="Times New Roman"/>
          <w:b w:val="false"/>
          <w:bCs w:val="false"/>
          <w:sz w:val="28"/>
          <w:szCs w:val="28"/>
        </w:rPr>
        <w:ptab w:alignment="right" w:relativeTo="margin" w:leader="dot"/>
        <w:t xml:space="preserve">3</w:t>
      </w:r>
    </w:p>
    <w:p>
      <w:pPr>
        <w:spacing w:after="0" w:before="0" w:line="360" w:lineRule="auto"/>
        <w:ind w:left="0"/>
      </w:pPr>
      <w:r>
        <w:rPr>
          <w:rFonts w:ascii="Times New Roman" w:cs="Times New Roman" w:eastAsia="Times New Roman" w:hAnsi="Times New Roman"/>
          <w:b w:val="false"/>
          <w:bCs w:val="false"/>
          <w:sz w:val="28"/>
          <w:szCs w:val="28"/>
        </w:rPr>
        <w:t xml:space="preserve">ГЛАВА 1. ТЕОРЕТИЧЕСКИЕ ОСНОВЫ ПРОГНОЗИРОВАНИЯ ФИНАНСОВЫХ ВРЕМЕННЫХ РЯДОВ</w:t>
      </w:r>
      <w:r>
        <w:rPr>
          <w:rFonts w:ascii="Times New Roman" w:cs="Times New Roman" w:eastAsia="Times New Roman" w:hAnsi="Times New Roman"/>
          <w:b w:val="false"/>
          <w:bCs w:val="false"/>
          <w:sz w:val="28"/>
          <w:szCs w:val="28"/>
        </w:rPr>
        <w:ptab w:alignment="right" w:relativeTo="margin" w:leader="dot"/>
        <w:t xml:space="preserve">6</w:t>
      </w:r>
    </w:p>
    <w:p>
      <w:pPr>
        <w:spacing w:after="0" w:before="0" w:line="360" w:lineRule="auto"/>
        <w:ind w:left="360"/>
      </w:pPr>
      <w:r>
        <w:rPr>
          <w:rFonts w:ascii="Times New Roman" w:cs="Times New Roman" w:eastAsia="Times New Roman" w:hAnsi="Times New Roman"/>
          <w:b w:val="false"/>
          <w:bCs w:val="false"/>
          <w:sz w:val="28"/>
          <w:szCs w:val="28"/>
        </w:rPr>
        <w:t xml:space="preserve">1.1. Финансовые временные ряды: формализация и эмпирические свойства</w:t>
      </w:r>
      <w:r>
        <w:rPr>
          <w:rFonts w:ascii="Times New Roman" w:cs="Times New Roman" w:eastAsia="Times New Roman" w:hAnsi="Times New Roman"/>
          <w:b w:val="false"/>
          <w:bCs w:val="false"/>
          <w:sz w:val="28"/>
          <w:szCs w:val="28"/>
        </w:rPr>
        <w:ptab w:alignment="right" w:relativeTo="margin" w:leader="dot"/>
        <w:t xml:space="preserve">6</w:t>
      </w:r>
    </w:p>
    <w:p>
      <w:pPr>
        <w:spacing w:after="0" w:before="0" w:line="360" w:lineRule="auto"/>
        <w:ind w:left="360"/>
      </w:pPr>
      <w:r>
        <w:rPr>
          <w:rFonts w:ascii="Times New Roman" w:cs="Times New Roman" w:eastAsia="Times New Roman" w:hAnsi="Times New Roman"/>
          <w:b w:val="false"/>
          <w:bCs w:val="false"/>
          <w:sz w:val="28"/>
          <w:szCs w:val="28"/>
        </w:rPr>
        <w:t xml:space="preserve">1.2. Классические статистические методы</w:t>
      </w:r>
      <w:r>
        <w:rPr>
          <w:rFonts w:ascii="Times New Roman" w:cs="Times New Roman" w:eastAsia="Times New Roman" w:hAnsi="Times New Roman"/>
          <w:b w:val="false"/>
          <w:bCs w:val="false"/>
          <w:sz w:val="28"/>
          <w:szCs w:val="28"/>
        </w:rPr>
        <w:ptab w:alignment="right" w:relativeTo="margin" w:leader="dot"/>
        <w:t xml:space="preserve">8</w:t>
      </w:r>
    </w:p>
    <w:p>
      <w:pPr>
        <w:spacing w:after="0" w:before="0" w:line="360" w:lineRule="auto"/>
        <w:ind w:left="360"/>
      </w:pPr>
      <w:r>
        <w:rPr>
          <w:rFonts w:ascii="Times New Roman" w:cs="Times New Roman" w:eastAsia="Times New Roman" w:hAnsi="Times New Roman"/>
          <w:b w:val="false"/>
          <w:bCs w:val="false"/>
          <w:sz w:val="28"/>
          <w:szCs w:val="28"/>
        </w:rPr>
        <w:t xml:space="preserve">1.3. Глубокое обучение для временных рядов</w:t>
      </w:r>
      <w:r>
        <w:rPr>
          <w:rFonts w:ascii="Times New Roman" w:cs="Times New Roman" w:eastAsia="Times New Roman" w:hAnsi="Times New Roman"/>
          <w:b w:val="false"/>
          <w:bCs w:val="false"/>
          <w:sz w:val="28"/>
          <w:szCs w:val="28"/>
        </w:rPr>
        <w:ptab w:alignment="right" w:relativeTo="margin" w:leader="dot"/>
        <w:t xml:space="preserve">9</w:t>
      </w:r>
    </w:p>
    <w:p>
      <w:pPr>
        <w:spacing w:after="0" w:before="0" w:line="360" w:lineRule="auto"/>
        <w:ind w:left="360"/>
      </w:pPr>
      <w:r>
        <w:rPr>
          <w:rFonts w:ascii="Times New Roman" w:cs="Times New Roman" w:eastAsia="Times New Roman" w:hAnsi="Times New Roman"/>
          <w:b w:val="false"/>
          <w:bCs w:val="false"/>
          <w:sz w:val="28"/>
          <w:szCs w:val="28"/>
        </w:rPr>
        <w:t xml:space="preserve">1.4. Градиентный бустинг</w:t>
      </w:r>
      <w:r>
        <w:rPr>
          <w:rFonts w:ascii="Times New Roman" w:cs="Times New Roman" w:eastAsia="Times New Roman" w:hAnsi="Times New Roman"/>
          <w:b w:val="false"/>
          <w:bCs w:val="false"/>
          <w:sz w:val="28"/>
          <w:szCs w:val="28"/>
        </w:rPr>
        <w:ptab w:alignment="right" w:relativeTo="margin" w:leader="dot"/>
        <w:t xml:space="preserve">12</w:t>
      </w:r>
    </w:p>
    <w:p>
      <w:pPr>
        <w:spacing w:after="0" w:before="0" w:line="360" w:lineRule="auto"/>
        <w:ind w:left="360"/>
      </w:pPr>
      <w:r>
        <w:rPr>
          <w:rFonts w:ascii="Times New Roman" w:cs="Times New Roman" w:eastAsia="Times New Roman" w:hAnsi="Times New Roman"/>
          <w:b w:val="false"/>
          <w:bCs w:val="false"/>
          <w:sz w:val="28"/>
          <w:szCs w:val="28"/>
        </w:rPr>
        <w:t xml:space="preserve">1.5. Декомпозиция смещения-дисперсии и теория ансамблирования</w:t>
      </w:r>
      <w:r>
        <w:rPr>
          <w:rFonts w:ascii="Times New Roman" w:cs="Times New Roman" w:eastAsia="Times New Roman" w:hAnsi="Times New Roman"/>
          <w:b w:val="false"/>
          <w:bCs w:val="false"/>
          <w:sz w:val="28"/>
          <w:szCs w:val="28"/>
        </w:rPr>
        <w:ptab w:alignment="right" w:relativeTo="margin" w:leader="dot"/>
        <w:t xml:space="preserve">13</w:t>
      </w:r>
    </w:p>
    <w:p>
      <w:pPr>
        <w:spacing w:after="0" w:before="0" w:line="360" w:lineRule="auto"/>
        <w:ind w:left="360"/>
      </w:pPr>
      <w:r>
        <w:rPr>
          <w:rFonts w:ascii="Times New Roman" w:cs="Times New Roman" w:eastAsia="Times New Roman" w:hAnsi="Times New Roman"/>
          <w:b w:val="false"/>
          <w:bCs w:val="false"/>
          <w:sz w:val="28"/>
          <w:szCs w:val="28"/>
        </w:rPr>
        <w:t xml:space="preserve">1.6. Foundation-модели для временных рядов</w:t>
      </w:r>
      <w:r>
        <w:rPr>
          <w:rFonts w:ascii="Times New Roman" w:cs="Times New Roman" w:eastAsia="Times New Roman" w:hAnsi="Times New Roman"/>
          <w:b w:val="false"/>
          <w:bCs w:val="false"/>
          <w:sz w:val="28"/>
          <w:szCs w:val="28"/>
        </w:rPr>
        <w:ptab w:alignment="right" w:relativeTo="margin" w:leader="dot"/>
        <w:t xml:space="preserve">15</w:t>
      </w:r>
    </w:p>
    <w:p>
      <w:pPr>
        <w:spacing w:after="0" w:before="0" w:line="360" w:lineRule="auto"/>
        <w:ind w:left="360"/>
      </w:pPr>
      <w:r>
        <w:rPr>
          <w:rFonts w:ascii="Times New Roman" w:cs="Times New Roman" w:eastAsia="Times New Roman" w:hAnsi="Times New Roman"/>
          <w:b w:val="false"/>
          <w:bCs w:val="false"/>
          <w:sz w:val="28"/>
          <w:szCs w:val="28"/>
        </w:rPr>
        <w:t xml:space="preserve">1.7. Метрики оценки качества прогнозов</w:t>
      </w:r>
      <w:r>
        <w:rPr>
          <w:rFonts w:ascii="Times New Roman" w:cs="Times New Roman" w:eastAsia="Times New Roman" w:hAnsi="Times New Roman"/>
          <w:b w:val="false"/>
          <w:bCs w:val="false"/>
          <w:sz w:val="28"/>
          <w:szCs w:val="28"/>
        </w:rPr>
        <w:ptab w:alignment="right" w:relativeTo="margin" w:leader="dot"/>
        <w:t xml:space="preserve">16</w:t>
      </w:r>
    </w:p>
    <w:p>
      <w:pPr>
        <w:spacing w:after="0" w:before="0" w:line="360" w:lineRule="auto"/>
        <w:ind w:left="360"/>
      </w:pPr>
      <w:r>
        <w:rPr>
          <w:rFonts w:ascii="Times New Roman" w:cs="Times New Roman" w:eastAsia="Times New Roman" w:hAnsi="Times New Roman"/>
          <w:b w:val="false"/>
          <w:bCs w:val="false"/>
          <w:sz w:val="28"/>
          <w:szCs w:val="28"/>
        </w:rPr>
        <w:t xml:space="preserve">1.8. Калибровка вероятностей и оценка неопределённости</w:t>
      </w:r>
      <w:r>
        <w:rPr>
          <w:rFonts w:ascii="Times New Roman" w:cs="Times New Roman" w:eastAsia="Times New Roman" w:hAnsi="Times New Roman"/>
          <w:b w:val="false"/>
          <w:bCs w:val="false"/>
          <w:sz w:val="28"/>
          <w:szCs w:val="28"/>
        </w:rPr>
        <w:ptab w:alignment="right" w:relativeTo="margin" w:leader="dot"/>
        <w:t xml:space="preserve">17</w:t>
      </w:r>
    </w:p>
    <w:p>
      <w:pPr>
        <w:spacing w:after="0" w:before="0" w:line="360" w:lineRule="auto"/>
        <w:ind w:left="360"/>
      </w:pPr>
      <w:r>
        <w:rPr>
          <w:rFonts w:ascii="Times New Roman" w:cs="Times New Roman" w:eastAsia="Times New Roman" w:hAnsi="Times New Roman"/>
          <w:b w:val="false"/>
          <w:bCs w:val="false"/>
          <w:sz w:val="28"/>
          <w:szCs w:val="28"/>
        </w:rPr>
        <w:t xml:space="preserve">1.9. Sentiment-анализ как дополнительный источник информации</w:t>
      </w:r>
      <w:r>
        <w:rPr>
          <w:rFonts w:ascii="Times New Roman" w:cs="Times New Roman" w:eastAsia="Times New Roman" w:hAnsi="Times New Roman"/>
          <w:b w:val="false"/>
          <w:bCs w:val="false"/>
          <w:sz w:val="28"/>
          <w:szCs w:val="28"/>
        </w:rPr>
        <w:ptab w:alignment="right" w:relativeTo="margin" w:leader="dot"/>
        <w:t xml:space="preserve">19</w:t>
      </w:r>
    </w:p>
    <w:p>
      <w:pPr>
        <w:spacing w:after="0" w:before="0" w:line="360" w:lineRule="auto"/>
        <w:ind w:left="0"/>
      </w:pPr>
      <w:r>
        <w:rPr>
          <w:rFonts w:ascii="Times New Roman" w:cs="Times New Roman" w:eastAsia="Times New Roman" w:hAnsi="Times New Roman"/>
          <w:b w:val="false"/>
          <w:bCs w:val="false"/>
          <w:sz w:val="28"/>
          <w:szCs w:val="28"/>
        </w:rPr>
        <w:t xml:space="preserve">ГЛАВА 2. АРХИТЕКТУРА ВЕБ-СЕРВИСА</w:t>
      </w:r>
      <w:r>
        <w:rPr>
          <w:rFonts w:ascii="Times New Roman" w:cs="Times New Roman" w:eastAsia="Times New Roman" w:hAnsi="Times New Roman"/>
          <w:b w:val="false"/>
          <w:bCs w:val="false"/>
          <w:sz w:val="28"/>
          <w:szCs w:val="28"/>
        </w:rPr>
        <w:ptab w:alignment="right" w:relativeTo="margin" w:leader="dot"/>
        <w:t xml:space="preserve">12</w:t>
      </w:r>
    </w:p>
    <w:p>
      <w:pPr>
        <w:spacing w:after="0" w:before="0" w:line="360" w:lineRule="auto"/>
        <w:ind w:left="360"/>
      </w:pPr>
      <w:r>
        <w:rPr>
          <w:rFonts w:ascii="Times New Roman" w:cs="Times New Roman" w:eastAsia="Times New Roman" w:hAnsi="Times New Roman"/>
          <w:b w:val="false"/>
          <w:bCs w:val="false"/>
          <w:sz w:val="28"/>
          <w:szCs w:val="28"/>
        </w:rPr>
        <w:t xml:space="preserve">2.1. Стек технологий</w:t>
      </w:r>
      <w:r>
        <w:rPr>
          <w:rFonts w:ascii="Times New Roman" w:cs="Times New Roman" w:eastAsia="Times New Roman" w:hAnsi="Times New Roman"/>
          <w:b w:val="false"/>
          <w:bCs w:val="false"/>
          <w:sz w:val="28"/>
          <w:szCs w:val="28"/>
        </w:rPr>
        <w:ptab w:alignment="right" w:relativeTo="margin" w:leader="dot"/>
        <w:t xml:space="preserve">12</w:t>
      </w:r>
    </w:p>
    <w:p>
      <w:pPr>
        <w:spacing w:after="0" w:before="0" w:line="360" w:lineRule="auto"/>
        <w:ind w:left="360"/>
      </w:pPr>
      <w:r>
        <w:rPr>
          <w:rFonts w:ascii="Times New Roman" w:cs="Times New Roman" w:eastAsia="Times New Roman" w:hAnsi="Times New Roman"/>
          <w:b w:val="false"/>
          <w:bCs w:val="false"/>
          <w:sz w:val="28"/>
          <w:szCs w:val="28"/>
        </w:rPr>
        <w:t xml:space="preserve">2.2. Архитектура backend-части</w:t>
      </w:r>
      <w:r>
        <w:rPr>
          <w:rFonts w:ascii="Times New Roman" w:cs="Times New Roman" w:eastAsia="Times New Roman" w:hAnsi="Times New Roman"/>
          <w:b w:val="false"/>
          <w:bCs w:val="false"/>
          <w:sz w:val="28"/>
          <w:szCs w:val="28"/>
        </w:rPr>
        <w:ptab w:alignment="right" w:relativeTo="margin" w:leader="dot"/>
        <w:t xml:space="preserve">13</w:t>
      </w:r>
    </w:p>
    <w:p>
      <w:pPr>
        <w:spacing w:after="0" w:before="0" w:line="360" w:lineRule="auto"/>
        <w:ind w:left="360"/>
      </w:pPr>
      <w:r>
        <w:rPr>
          <w:rFonts w:ascii="Times New Roman" w:cs="Times New Roman" w:eastAsia="Times New Roman" w:hAnsi="Times New Roman"/>
          <w:b w:val="false"/>
          <w:bCs w:val="false"/>
          <w:sz w:val="28"/>
          <w:szCs w:val="28"/>
        </w:rPr>
        <w:t xml:space="preserve">2.3. Модель данных</w:t>
      </w:r>
      <w:r>
        <w:rPr>
          <w:rFonts w:ascii="Times New Roman" w:cs="Times New Roman" w:eastAsia="Times New Roman" w:hAnsi="Times New Roman"/>
          <w:b w:val="false"/>
          <w:bCs w:val="false"/>
          <w:sz w:val="28"/>
          <w:szCs w:val="28"/>
        </w:rPr>
        <w:ptab w:alignment="right" w:relativeTo="margin" w:leader="dot"/>
        <w:t xml:space="preserve">14</w:t>
      </w:r>
    </w:p>
    <w:p>
      <w:pPr>
        <w:spacing w:after="0" w:before="0" w:line="360" w:lineRule="auto"/>
        <w:ind w:left="360"/>
      </w:pPr>
      <w:r>
        <w:rPr>
          <w:rFonts w:ascii="Times New Roman" w:cs="Times New Roman" w:eastAsia="Times New Roman" w:hAnsi="Times New Roman"/>
          <w:b w:val="false"/>
          <w:bCs w:val="false"/>
          <w:sz w:val="28"/>
          <w:szCs w:val="28"/>
        </w:rPr>
        <w:t xml:space="preserve">2.4. Архитектура frontend-части</w:t>
      </w:r>
      <w:r>
        <w:rPr>
          <w:rFonts w:ascii="Times New Roman" w:cs="Times New Roman" w:eastAsia="Times New Roman" w:hAnsi="Times New Roman"/>
          <w:b w:val="false"/>
          <w:bCs w:val="false"/>
          <w:sz w:val="28"/>
          <w:szCs w:val="28"/>
        </w:rPr>
        <w:ptab w:alignment="right" w:relativeTo="margin" w:leader="dot"/>
        <w:t xml:space="preserve">15</w:t>
      </w:r>
    </w:p>
    <w:p>
      <w:pPr>
        <w:spacing w:after="0" w:before="0" w:line="360" w:lineRule="auto"/>
        <w:ind w:left="360"/>
      </w:pPr>
      <w:r>
        <w:rPr>
          <w:rFonts w:ascii="Times New Roman" w:cs="Times New Roman" w:eastAsia="Times New Roman" w:hAnsi="Times New Roman"/>
          <w:b w:val="false"/>
          <w:bCs w:val="false"/>
          <w:sz w:val="28"/>
          <w:szCs w:val="28"/>
        </w:rPr>
        <w:t xml:space="preserve">2.5. Аутентификация и безопасность</w:t>
      </w:r>
      <w:r>
        <w:rPr>
          <w:rFonts w:ascii="Times New Roman" w:cs="Times New Roman" w:eastAsia="Times New Roman" w:hAnsi="Times New Roman"/>
          <w:b w:val="false"/>
          <w:bCs w:val="false"/>
          <w:sz w:val="28"/>
          <w:szCs w:val="28"/>
        </w:rPr>
        <w:ptab w:alignment="right" w:relativeTo="margin" w:leader="dot"/>
        <w:t xml:space="preserve">16</w:t>
      </w:r>
    </w:p>
    <w:p>
      <w:pPr>
        <w:spacing w:after="0" w:before="0" w:line="360" w:lineRule="auto"/>
        <w:ind w:left="360"/>
      </w:pPr>
      <w:r>
        <w:rPr>
          <w:rFonts w:ascii="Times New Roman" w:cs="Times New Roman" w:eastAsia="Times New Roman" w:hAnsi="Times New Roman"/>
          <w:b w:val="false"/>
          <w:bCs w:val="false"/>
          <w:sz w:val="28"/>
          <w:szCs w:val="28"/>
        </w:rPr>
        <w:t xml:space="preserve">2.6. Развёртывание</w:t>
      </w:r>
      <w:r>
        <w:rPr>
          <w:rFonts w:ascii="Times New Roman" w:cs="Times New Roman" w:eastAsia="Times New Roman" w:hAnsi="Times New Roman"/>
          <w:b w:val="false"/>
          <w:bCs w:val="false"/>
          <w:sz w:val="28"/>
          <w:szCs w:val="28"/>
        </w:rPr>
        <w:ptab w:alignment="right" w:relativeTo="margin" w:leader="dot"/>
        <w:t xml:space="preserve">17</w:t>
      </w:r>
    </w:p>
    <w:p>
      <w:pPr>
        <w:spacing w:after="0" w:before="0" w:line="360" w:lineRule="auto"/>
        <w:ind w:left="0"/>
      </w:pPr>
      <w:r>
        <w:rPr>
          <w:rFonts w:ascii="Times New Roman" w:cs="Times New Roman" w:eastAsia="Times New Roman" w:hAnsi="Times New Roman"/>
          <w:b w:val="false"/>
          <w:bCs w:val="false"/>
          <w:sz w:val="28"/>
          <w:szCs w:val="28"/>
        </w:rPr>
        <w:t xml:space="preserve">ГЛАВА 3. РЕАЛИЗАЦИЯ И ЭКСПЕРИМЕНТЫ</w:t>
      </w:r>
      <w:r>
        <w:rPr>
          <w:rFonts w:ascii="Times New Roman" w:cs="Times New Roman" w:eastAsia="Times New Roman" w:hAnsi="Times New Roman"/>
          <w:b w:val="false"/>
          <w:bCs w:val="false"/>
          <w:sz w:val="28"/>
          <w:szCs w:val="28"/>
        </w:rPr>
        <w:ptab w:alignment="right" w:relativeTo="margin" w:leader="dot"/>
        <w:t xml:space="preserve">18</w:t>
      </w:r>
    </w:p>
    <w:p>
      <w:pPr>
        <w:spacing w:after="0" w:before="0" w:line="360" w:lineRule="auto"/>
        <w:ind w:left="360"/>
      </w:pPr>
      <w:r>
        <w:rPr>
          <w:rFonts w:ascii="Times New Roman" w:cs="Times New Roman" w:eastAsia="Times New Roman" w:hAnsi="Times New Roman"/>
          <w:b w:val="false"/>
          <w:bCs w:val="false"/>
          <w:sz w:val="28"/>
          <w:szCs w:val="28"/>
        </w:rPr>
        <w:t xml:space="preserve">3.1. Сбор и предобработка данных</w:t>
      </w:r>
      <w:r>
        <w:rPr>
          <w:rFonts w:ascii="Times New Roman" w:cs="Times New Roman" w:eastAsia="Times New Roman" w:hAnsi="Times New Roman"/>
          <w:b w:val="false"/>
          <w:bCs w:val="false"/>
          <w:sz w:val="28"/>
          <w:szCs w:val="28"/>
        </w:rPr>
        <w:ptab w:alignment="right" w:relativeTo="margin" w:leader="dot"/>
        <w:t xml:space="preserve">18</w:t>
      </w:r>
    </w:p>
    <w:p>
      <w:pPr>
        <w:spacing w:after="0" w:before="0" w:line="360" w:lineRule="auto"/>
        <w:ind w:left="360"/>
      </w:pPr>
      <w:r>
        <w:rPr>
          <w:rFonts w:ascii="Times New Roman" w:cs="Times New Roman" w:eastAsia="Times New Roman" w:hAnsi="Times New Roman"/>
          <w:b w:val="false"/>
          <w:bCs w:val="false"/>
          <w:sz w:val="28"/>
          <w:szCs w:val="28"/>
        </w:rPr>
        <w:t xml:space="preserve">3.2. Реализация TCN-модели</w:t>
      </w:r>
      <w:r>
        <w:rPr>
          <w:rFonts w:ascii="Times New Roman" w:cs="Times New Roman" w:eastAsia="Times New Roman" w:hAnsi="Times New Roman"/>
          <w:b w:val="false"/>
          <w:bCs w:val="false"/>
          <w:sz w:val="28"/>
          <w:szCs w:val="28"/>
        </w:rPr>
        <w:ptab w:alignment="right" w:relativeTo="margin" w:leader="dot"/>
        <w:t xml:space="preserve">19</w:t>
      </w:r>
    </w:p>
    <w:p>
      <w:pPr>
        <w:spacing w:after="0" w:before="0" w:line="360" w:lineRule="auto"/>
        <w:ind w:left="360"/>
      </w:pPr>
      <w:r>
        <w:rPr>
          <w:rFonts w:ascii="Times New Roman" w:cs="Times New Roman" w:eastAsia="Times New Roman" w:hAnsi="Times New Roman"/>
          <w:b w:val="false"/>
          <w:bCs w:val="false"/>
          <w:sz w:val="28"/>
          <w:szCs w:val="28"/>
        </w:rPr>
        <w:t xml:space="preserve">3.3. Ансамблирование разнородных моделей</w:t>
      </w:r>
      <w:r>
        <w:rPr>
          <w:rFonts w:ascii="Times New Roman" w:cs="Times New Roman" w:eastAsia="Times New Roman" w:hAnsi="Times New Roman"/>
          <w:b w:val="false"/>
          <w:bCs w:val="false"/>
          <w:sz w:val="28"/>
          <w:szCs w:val="28"/>
        </w:rPr>
        <w:ptab w:alignment="right" w:relativeTo="margin" w:leader="dot"/>
        <w:t xml:space="preserve">20</w:t>
      </w:r>
    </w:p>
    <w:p>
      <w:pPr>
        <w:spacing w:after="0" w:before="0" w:line="360" w:lineRule="auto"/>
        <w:ind w:left="360"/>
      </w:pPr>
      <w:r>
        <w:rPr>
          <w:rFonts w:ascii="Times New Roman" w:cs="Times New Roman" w:eastAsia="Times New Roman" w:hAnsi="Times New Roman"/>
          <w:b w:val="false"/>
          <w:bCs w:val="false"/>
          <w:sz w:val="28"/>
          <w:szCs w:val="28"/>
        </w:rPr>
        <w:t xml:space="preserve">3.4. Sentiment-bias correction</w:t>
      </w:r>
      <w:r>
        <w:rPr>
          <w:rFonts w:ascii="Times New Roman" w:cs="Times New Roman" w:eastAsia="Times New Roman" w:hAnsi="Times New Roman"/>
          <w:b w:val="false"/>
          <w:bCs w:val="false"/>
          <w:sz w:val="28"/>
          <w:szCs w:val="28"/>
        </w:rPr>
        <w:ptab w:alignment="right" w:relativeTo="margin" w:leader="dot"/>
        <w:t xml:space="preserve">21</w:t>
      </w:r>
    </w:p>
    <w:p>
      <w:pPr>
        <w:spacing w:after="0" w:before="0" w:line="360" w:lineRule="auto"/>
        <w:ind w:left="360"/>
      </w:pPr>
      <w:r>
        <w:rPr>
          <w:rFonts w:ascii="Times New Roman" w:cs="Times New Roman" w:eastAsia="Times New Roman" w:hAnsi="Times New Roman"/>
          <w:b w:val="false"/>
          <w:bCs w:val="false"/>
          <w:sz w:val="28"/>
          <w:szCs w:val="28"/>
        </w:rPr>
        <w:t xml:space="preserve">3.5. Walk-forward валидация и калибровка</w:t>
      </w:r>
      <w:r>
        <w:rPr>
          <w:rFonts w:ascii="Times New Roman" w:cs="Times New Roman" w:eastAsia="Times New Roman" w:hAnsi="Times New Roman"/>
          <w:b w:val="false"/>
          <w:bCs w:val="false"/>
          <w:sz w:val="28"/>
          <w:szCs w:val="28"/>
        </w:rPr>
        <w:ptab w:alignment="right" w:relativeTo="margin" w:leader="dot"/>
        <w:t xml:space="preserve">22</w:t>
      </w:r>
    </w:p>
    <w:p>
      <w:pPr>
        <w:spacing w:after="0" w:before="0" w:line="360" w:lineRule="auto"/>
        <w:ind w:left="360"/>
      </w:pPr>
      <w:r>
        <w:rPr>
          <w:rFonts w:ascii="Times New Roman" w:cs="Times New Roman" w:eastAsia="Times New Roman" w:hAnsi="Times New Roman"/>
          <w:b w:val="false"/>
          <w:bCs w:val="false"/>
          <w:sz w:val="28"/>
          <w:szCs w:val="28"/>
        </w:rPr>
        <w:t xml:space="preserve">3.6. Эксперименты на различных активах</w:t>
      </w:r>
      <w:r>
        <w:rPr>
          <w:rFonts w:ascii="Times New Roman" w:cs="Times New Roman" w:eastAsia="Times New Roman" w:hAnsi="Times New Roman"/>
          <w:b w:val="false"/>
          <w:bCs w:val="false"/>
          <w:sz w:val="28"/>
          <w:szCs w:val="28"/>
        </w:rPr>
        <w:ptab w:alignment="right" w:relativeTo="margin" w:leader="dot"/>
        <w:t xml:space="preserve">23</w:t>
      </w:r>
    </w:p>
    <w:p>
      <w:pPr>
        <w:spacing w:after="0" w:before="0" w:line="360" w:lineRule="auto"/>
        <w:ind w:left="360"/>
      </w:pPr>
      <w:r>
        <w:rPr>
          <w:rFonts w:ascii="Times New Roman" w:cs="Times New Roman" w:eastAsia="Times New Roman" w:hAnsi="Times New Roman"/>
          <w:b w:val="false"/>
          <w:bCs w:val="false"/>
          <w:sz w:val="28"/>
          <w:szCs w:val="28"/>
        </w:rPr>
        <w:t xml:space="preserve">3.7. Интеграция в веб-сервис</w:t>
      </w:r>
      <w:r>
        <w:rPr>
          <w:rFonts w:ascii="Times New Roman" w:cs="Times New Roman" w:eastAsia="Times New Roman" w:hAnsi="Times New Roman"/>
          <w:b w:val="false"/>
          <w:bCs w:val="false"/>
          <w:sz w:val="28"/>
          <w:szCs w:val="28"/>
        </w:rPr>
        <w:ptab w:alignment="right" w:relativeTo="margin" w:leader="dot"/>
        <w:t xml:space="preserve">24</w:t>
      </w:r>
    </w:p>
    <w:p>
      <w:pPr>
        <w:spacing w:after="0" w:before="0" w:line="360" w:lineRule="auto"/>
        <w:ind w:left="360"/>
      </w:pPr>
      <w:r>
        <w:rPr>
          <w:rFonts w:ascii="Times New Roman" w:cs="Times New Roman" w:eastAsia="Times New Roman" w:hAnsi="Times New Roman"/>
          <w:b w:val="false"/>
          <w:bCs w:val="false"/>
          <w:sz w:val="28"/>
          <w:szCs w:val="28"/>
        </w:rPr>
        <w:t xml:space="preserve">3.8. Тестирование</w:t>
      </w:r>
      <w:r>
        <w:rPr>
          <w:rFonts w:ascii="Times New Roman" w:cs="Times New Roman" w:eastAsia="Times New Roman" w:hAnsi="Times New Roman"/>
          <w:b w:val="false"/>
          <w:bCs w:val="false"/>
          <w:sz w:val="28"/>
          <w:szCs w:val="28"/>
        </w:rPr>
        <w:ptab w:alignment="right" w:relativeTo="margin" w:leader="dot"/>
        <w:t xml:space="preserve">25</w:t>
      </w:r>
    </w:p>
    <w:p>
      <w:pPr>
        <w:spacing w:after="0" w:before="0" w:line="360" w:lineRule="auto"/>
        <w:ind w:left="0"/>
      </w:pPr>
      <w:r>
        <w:rPr>
          <w:rFonts w:ascii="Times New Roman" w:cs="Times New Roman" w:eastAsia="Times New Roman" w:hAnsi="Times New Roman"/>
          <w:b w:val="false"/>
          <w:bCs w:val="false"/>
          <w:sz w:val="28"/>
          <w:szCs w:val="28"/>
        </w:rPr>
        <w:t xml:space="preserve">ЗАКЛЮЧЕНИЕ</w:t>
      </w:r>
      <w:r>
        <w:rPr>
          <w:rFonts w:ascii="Times New Roman" w:cs="Times New Roman" w:eastAsia="Times New Roman" w:hAnsi="Times New Roman"/>
          <w:b w:val="false"/>
          <w:bCs w:val="false"/>
          <w:sz w:val="28"/>
          <w:szCs w:val="28"/>
        </w:rPr>
        <w:ptab w:alignment="right" w:relativeTo="margin" w:leader="dot"/>
        <w:t xml:space="preserve">26</w:t>
      </w:r>
    </w:p>
    <w:p>
      <w:pPr>
        <w:spacing w:after="0" w:before="0" w:line="360" w:lineRule="auto"/>
        <w:ind w:left="0"/>
      </w:pPr>
      <w:r>
        <w:rPr>
          <w:rFonts w:ascii="Times New Roman" w:cs="Times New Roman" w:eastAsia="Times New Roman" w:hAnsi="Times New Roman"/>
          <w:b w:val="false"/>
          <w:bCs w:val="false"/>
          <w:sz w:val="28"/>
          <w:szCs w:val="28"/>
        </w:rPr>
        <w:t xml:space="preserve">СПИСОК ИСПОЛЬЗОВАННЫХ ИСТОЧНИКОВ</w:t>
      </w:r>
      <w:r>
        <w:rPr>
          <w:rFonts w:ascii="Times New Roman" w:cs="Times New Roman" w:eastAsia="Times New Roman" w:hAnsi="Times New Roman"/>
          <w:b w:val="false"/>
          <w:bCs w:val="false"/>
          <w:sz w:val="28"/>
          <w:szCs w:val="28"/>
        </w:rPr>
        <w:ptab w:alignment="right" w:relativeTo="margin" w:leader="dot"/>
        <w:t xml:space="preserve">28</w:t>
      </w:r>
    </w:p>
    <w:p>
      <w:pPr>
        <w:spacing w:after="0" w:before="0" w:line="360" w:lineRule="auto"/>
        <w:ind w:left="0"/>
      </w:pPr>
      <w:r>
        <w:rPr>
          <w:rFonts w:ascii="Times New Roman" w:cs="Times New Roman" w:eastAsia="Times New Roman" w:hAnsi="Times New Roman"/>
          <w:b w:val="false"/>
          <w:bCs w:val="false"/>
          <w:sz w:val="28"/>
          <w:szCs w:val="28"/>
        </w:rPr>
        <w:t xml:space="preserve">ПРИЛОЖЕНИЕ А. Архитектура системы</w:t>
      </w:r>
      <w:r>
        <w:rPr>
          <w:rFonts w:ascii="Times New Roman" w:cs="Times New Roman" w:eastAsia="Times New Roman" w:hAnsi="Times New Roman"/>
          <w:b w:val="false"/>
          <w:bCs w:val="false"/>
          <w:sz w:val="28"/>
          <w:szCs w:val="28"/>
        </w:rPr>
        <w:ptab w:alignment="right" w:relativeTo="margin" w:leader="dot"/>
        <w:t xml:space="preserve">30</w:t>
      </w:r>
    </w:p>
    <w:p>
      <w:pPr>
        <w:spacing w:after="0" w:before="0" w:line="360" w:lineRule="auto"/>
        <w:ind w:left="0"/>
      </w:pPr>
      <w:r>
        <w:rPr>
          <w:rFonts w:ascii="Times New Roman" w:cs="Times New Roman" w:eastAsia="Times New Roman" w:hAnsi="Times New Roman"/>
          <w:b w:val="false"/>
          <w:bCs w:val="false"/>
          <w:sz w:val="28"/>
          <w:szCs w:val="28"/>
        </w:rPr>
        <w:t xml:space="preserve">ПРИЛОЖЕНИЕ Б. Программный код ключевых модулей</w:t>
      </w:r>
      <w:r>
        <w:rPr>
          <w:rFonts w:ascii="Times New Roman" w:cs="Times New Roman" w:eastAsia="Times New Roman" w:hAnsi="Times New Roman"/>
          <w:b w:val="false"/>
          <w:bCs w:val="false"/>
          <w:sz w:val="28"/>
          <w:szCs w:val="28"/>
        </w:rPr>
        <w:ptab w:alignment="right" w:relativeTo="margin" w:leader="dot"/>
        <w:t xml:space="preserve">31</w:t>
      </w:r>
    </w:p>
    <w:p>
      <w:pPr>
        <w:pageBreakBefore/>
        <w:spacing w:after="240" w:before="0" w:line="360" w:lineRule="auto"/>
        <w:jc w:val="center"/>
      </w:pPr>
      <w:r>
        <w:rPr>
          <w:rFonts w:ascii="Times New Roman" w:cs="Times New Roman" w:eastAsia="Times New Roman" w:hAnsi="Times New Roman"/>
          <w:b/>
          <w:bCs/>
          <w:caps/>
          <w:sz w:val="28"/>
          <w:szCs w:val="28"/>
        </w:rPr>
        <w:t xml:space="preserve">ВВЕДЕНИЕ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Задача краткосрочного и среднесрочного прогнозирования цен на финансовые инструменты — драгоценные металлы, сырьё, акции, криптовалюты — на горизонте от нескольких дней до месяца находится на пересечении математической статистики, машинного обучения и инженерии данных. Полученный прогноз цены и направления её движения используется как при принятии инвестиционных решений частными трейдерами, так и при настройке параметров алгоритмических торговых систем. Но именно на этих горизонтах классические статистические подходы (ARIMA, GARCH, экспоненциальное сглаживание) показывают наименьшую устойчивость, поскольку статистические свойства финансовых рядов не остаются постоянными во времени, а меняются вместе с макроэкономическим режимом, действиями регуляторов и неожиданными событиями.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Прогресс в области нейросетевых методов последних лет — рекуррентных архитектур (LSTM, GRU), темпоральных свёрток (TCN), трансформеров и так называемых foundation-моделей — открыл практический путь к более устойчивым предсказаниям. Однако сама по себе ML-модель не превращается в продукт, которым может пользоваться человек: для этого требуется веб-сервис с авторизацией пользователей, управлением длительными расчётами в фоне, хранением истории прогнозов и интерактивным интерфейсом. Именно стыка двух задач — выбор и настройка ансамбля моделей с одной стороны, и проектирование надёжного веб-сервиса вокруг них с другой — посвящена данная работа.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Степень разработанности темы. Классические методы анализа временных рядов рассмотрены в фундаментальной работе Бокса и Дженкинса [1]. Современные подходы на основе глубокого обучения проанализированы в работе Бай и др. [2], предложивших архитектуру TCN, и в обзорной работе Хевамалаге и др. [3]. Foundation-модели для временных рядов представлены в работах Гарзы и Мергенталер-Кансеко [4] (TimesFM) и Ансари и др. [5] (Chronos). Вопросы калибровки вероятностей рассматриваются в работе Никулеску-Мизила и Каруаны [6], принципы конформного прогнозирования — в монографии Вовка и др. [7]. Несмотря на богатый теоретический материал, в открытом доступе мало работ, демонстрирующих применение комплексных ансамблей разнородных моделей в составе целостного веб-сервиса с асинхронной обработкой запросов, аутентификацией пользователей и обработкой sentiment-фона новостей.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Цель работы: </w:t>
      </w:r>
      <w:r>
        <w:rPr>
          <w:rFonts w:ascii="Times New Roman" w:cs="Times New Roman" w:eastAsia="Times New Roman" w:hAnsi="Times New Roman"/>
          <w:b w:val="false"/>
          <w:bCs w:val="false"/>
          <w:i w:val="false"/>
          <w:iCs w:val="false"/>
          <w:sz w:val="28"/>
          <w:szCs w:val="28"/>
        </w:rPr>
        <w:t xml:space="preserve">разработка веб-сервиса прогнозирования котировок золота и других финансовых инструментов на основе ансамбля методов машинного обучения.</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Задачи работы:</w:t>
      </w:r>
    </w:p>
    <w:p>
      <w:pPr>
        <w:spacing w:after="0" w:before="0" w:line="360" w:lineRule="auto"/>
        <w:ind w:left="708" w:hanging="360"/>
        <w:jc w:val="both"/>
      </w:pPr>
      <w:r>
        <w:rPr>
          <w:rFonts w:ascii="Times New Roman" w:cs="Times New Roman" w:eastAsia="Times New Roman" w:hAnsi="Times New Roman"/>
          <w:sz w:val="28"/>
          <w:szCs w:val="28"/>
        </w:rPr>
        <w:t xml:space="preserve">1. Провести обзор методов анализа и прогнозирования финансовых временных рядов.</w:t>
      </w:r>
    </w:p>
    <w:p>
      <w:pPr>
        <w:spacing w:after="0" w:before="0" w:line="360" w:lineRule="auto"/>
        <w:ind w:left="708" w:hanging="360"/>
        <w:jc w:val="both"/>
      </w:pPr>
      <w:r>
        <w:rPr>
          <w:rFonts w:ascii="Times New Roman" w:cs="Times New Roman" w:eastAsia="Times New Roman" w:hAnsi="Times New Roman"/>
          <w:sz w:val="28"/>
          <w:szCs w:val="28"/>
        </w:rPr>
        <w:t xml:space="preserve">2. Изучить архитектуры моделей машинного обучения, применимых для задачи прогнозирования: TCN, CatBoost, foundation-модели.</w:t>
      </w:r>
    </w:p>
    <w:p>
      <w:pPr>
        <w:spacing w:after="0" w:before="0" w:line="360" w:lineRule="auto"/>
        <w:ind w:left="708" w:hanging="360"/>
        <w:jc w:val="both"/>
      </w:pPr>
      <w:r>
        <w:rPr>
          <w:rFonts w:ascii="Times New Roman" w:cs="Times New Roman" w:eastAsia="Times New Roman" w:hAnsi="Times New Roman"/>
          <w:sz w:val="28"/>
          <w:szCs w:val="28"/>
        </w:rPr>
        <w:t xml:space="preserve">3. Реализовать сбор и предобработку исторических данных финансовых инструментов через Yahoo Finance API.</w:t>
      </w:r>
    </w:p>
    <w:p>
      <w:pPr>
        <w:spacing w:after="0" w:before="0" w:line="360" w:lineRule="auto"/>
        <w:ind w:left="708" w:hanging="360"/>
        <w:jc w:val="both"/>
      </w:pPr>
      <w:r>
        <w:rPr>
          <w:rFonts w:ascii="Times New Roman" w:cs="Times New Roman" w:eastAsia="Times New Roman" w:hAnsi="Times New Roman"/>
          <w:sz w:val="28"/>
          <w:szCs w:val="28"/>
        </w:rPr>
        <w:t xml:space="preserve">4. Разработать и обучить ансамбль моделей с применением walk-forward валидации и калибровки вероятностей.</w:t>
      </w:r>
    </w:p>
    <w:p>
      <w:pPr>
        <w:spacing w:after="0" w:before="0" w:line="360" w:lineRule="auto"/>
        <w:ind w:left="708" w:hanging="360"/>
        <w:jc w:val="both"/>
      </w:pPr>
      <w:r>
        <w:rPr>
          <w:rFonts w:ascii="Times New Roman" w:cs="Times New Roman" w:eastAsia="Times New Roman" w:hAnsi="Times New Roman"/>
          <w:sz w:val="28"/>
          <w:szCs w:val="28"/>
        </w:rPr>
        <w:t xml:space="preserve">5. Оценить точность прогнозирования с использованием метрик MAE, RMSE, MAPE, R², directional accuracy.</w:t>
      </w:r>
    </w:p>
    <w:p>
      <w:pPr>
        <w:spacing w:after="0" w:before="0" w:line="360" w:lineRule="auto"/>
        <w:ind w:left="708" w:hanging="360"/>
        <w:jc w:val="both"/>
      </w:pPr>
      <w:r>
        <w:rPr>
          <w:rFonts w:ascii="Times New Roman" w:cs="Times New Roman" w:eastAsia="Times New Roman" w:hAnsi="Times New Roman"/>
          <w:sz w:val="28"/>
          <w:szCs w:val="28"/>
        </w:rPr>
        <w:t xml:space="preserve">6. Реализовать sentiment-анализ новостей и его интеграцию в прогноз через bias-correction.</w:t>
      </w:r>
    </w:p>
    <w:p>
      <w:pPr>
        <w:spacing w:after="0" w:before="0" w:line="360" w:lineRule="auto"/>
        <w:ind w:left="708" w:hanging="360"/>
        <w:jc w:val="both"/>
      </w:pPr>
      <w:r>
        <w:rPr>
          <w:rFonts w:ascii="Times New Roman" w:cs="Times New Roman" w:eastAsia="Times New Roman" w:hAnsi="Times New Roman"/>
          <w:sz w:val="28"/>
          <w:szCs w:val="28"/>
        </w:rPr>
        <w:t xml:space="preserve">7. Разработать веб-интерфейс с авторизацией пользователей, асинхронной обработкой запросов и сохранением истории прогнозов.</w:t>
      </w:r>
    </w:p>
    <w:p>
      <w:pPr>
        <w:spacing w:after="0" w:before="0" w:line="360" w:lineRule="auto"/>
        <w:ind w:left="708" w:hanging="360"/>
        <w:jc w:val="both"/>
      </w:pPr>
      <w:r>
        <w:rPr>
          <w:rFonts w:ascii="Times New Roman" w:cs="Times New Roman" w:eastAsia="Times New Roman" w:hAnsi="Times New Roman"/>
          <w:sz w:val="28"/>
          <w:szCs w:val="28"/>
        </w:rPr>
        <w:t xml:space="preserve">8. Провести тестирование разработанной системы на реальных данных.</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Объект исследования</w:t>
      </w:r>
      <w:r>
        <w:rPr>
          <w:rFonts w:ascii="Times New Roman" w:cs="Times New Roman" w:eastAsia="Times New Roman" w:hAnsi="Times New Roman"/>
          <w:b w:val="false"/>
          <w:bCs w:val="false"/>
          <w:i w:val="false"/>
          <w:iCs w:val="false"/>
          <w:sz w:val="28"/>
          <w:szCs w:val="28"/>
        </w:rPr>
        <w:t xml:space="preserve"> — процесс прогнозирования цен финансовых инструментов.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Предмет исследования</w:t>
      </w:r>
      <w:r>
        <w:rPr>
          <w:rFonts w:ascii="Times New Roman" w:cs="Times New Roman" w:eastAsia="Times New Roman" w:hAnsi="Times New Roman"/>
          <w:b w:val="false"/>
          <w:bCs w:val="false"/>
          <w:i w:val="false"/>
          <w:iCs w:val="false"/>
          <w:sz w:val="28"/>
          <w:szCs w:val="28"/>
        </w:rPr>
        <w:t xml:space="preserve"> — ансамблевые методы машинного обучения для краткосрочного и среднесрочного прогнозирования котировок.</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Методы исследования</w:t>
      </w:r>
      <w:r>
        <w:rPr>
          <w:rFonts w:ascii="Times New Roman" w:cs="Times New Roman" w:eastAsia="Times New Roman" w:hAnsi="Times New Roman"/>
          <w:b w:val="false"/>
          <w:bCs w:val="false"/>
          <w:i w:val="false"/>
          <w:iCs w:val="false"/>
          <w:sz w:val="28"/>
          <w:szCs w:val="28"/>
        </w:rPr>
        <w:t xml:space="preserve"> включают: методы статистического анализа временных рядов; методы машинного обучения (градиентный бустинг, темпоральные свёрточные сети, foundation-модели); методы walk-forward валидации; методы калибровки вероятностей; методы оценки точности прогнозов на основе метрик MAE, RMSE, MAPE, R² и directional accuracy.</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Практическая значимость работы</w:t>
      </w:r>
      <w:r>
        <w:rPr>
          <w:rFonts w:ascii="Times New Roman" w:cs="Times New Roman" w:eastAsia="Times New Roman" w:hAnsi="Times New Roman"/>
          <w:b w:val="false"/>
          <w:bCs w:val="false"/>
          <w:i w:val="false"/>
          <w:iCs w:val="false"/>
          <w:sz w:val="28"/>
          <w:szCs w:val="28"/>
        </w:rPr>
        <w:t xml:space="preserve"> заключается в реализации работающего веб-сервиса, доступного по сети Интернет, который может быть использован для получения прогнозов котировок широкого круга финансовых инструментов. Архитектурные и методологические решения, описанные в работе, могут быть использованы при разработке аналогичных систем поддержки принятия инвестиционных решений.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Курсовая работа состоит из введения, трёх глав, заключения, списка использованных источников и двух приложений. Общий объём работы составляет 31 страницу. Список использованных источников включает 18 наименований.</w:t>
      </w:r>
    </w:p>
    <w:p>
      <w:pPr>
        <w:pageBreakBefore/>
        <w:spacing w:after="240" w:before="0" w:line="360" w:lineRule="auto"/>
        <w:jc w:val="center"/>
      </w:pPr>
      <w:r>
        <w:rPr>
          <w:rFonts w:ascii="Times New Roman" w:cs="Times New Roman" w:eastAsia="Times New Roman" w:hAnsi="Times New Roman"/>
          <w:b/>
          <w:bCs/>
          <w:caps/>
          <w:sz w:val="28"/>
          <w:szCs w:val="28"/>
        </w:rPr>
        <w:t xml:space="preserve">Глава 1. Теоретические основы прогнозирования финансовых временных рядов</w:t>
      </w:r>
    </w:p>
    <w:p>
      <w:pPr>
        <w:spacing w:after="120" w:before="240" w:line="360" w:lineRule="auto"/>
        <w:ind w:firstLine="708"/>
      </w:pPr>
      <w:r>
        <w:rPr>
          <w:rFonts w:ascii="Times New Roman" w:cs="Times New Roman" w:eastAsia="Times New Roman" w:hAnsi="Times New Roman"/>
          <w:b/>
          <w:bCs/>
          <w:sz w:val="28"/>
          <w:szCs w:val="28"/>
        </w:rPr>
        <w:t xml:space="preserve">1.1. Финансовые временные ряды: формализация и эмпирические свойства</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Формальное определение. </w:t>
      </w:r>
      <w:r>
        <w:rPr>
          <w:rFonts w:ascii="Times New Roman" w:cs="Times New Roman" w:eastAsia="Times New Roman" w:hAnsi="Times New Roman"/>
          <w:b w:val="false"/>
          <w:bCs w:val="false"/>
          <w:i w:val="false"/>
          <w:iCs w:val="false"/>
          <w:sz w:val="28"/>
          <w:szCs w:val="28"/>
        </w:rPr>
        <w:t xml:space="preserve">Финансовый временной ряд — это упорядоченная по времени последовательность наблюдений {Pₜ}, t ∈ ℕ, где Pₜ — цена закрытия актива на момент t. Для целей моделирования удобнее работать не с самими ценами, а с логарифмическими доходностями rₜ = ln(Pₜ / Pₜ₋₁): они ближе к симметрично распределённым около нуля случайным величинам, и их сложение по периоду естественным образом даёт суммарную доходность.</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Слабая стационарность. </w:t>
      </w:r>
      <w:r>
        <w:rPr>
          <w:rFonts w:ascii="Times New Roman" w:cs="Times New Roman" w:eastAsia="Times New Roman" w:hAnsi="Times New Roman"/>
          <w:b w:val="false"/>
          <w:bCs w:val="false"/>
          <w:i w:val="false"/>
          <w:iCs w:val="false"/>
          <w:sz w:val="28"/>
          <w:szCs w:val="28"/>
        </w:rPr>
        <w:t xml:space="preserve">Случайный процесс {Xₜ} называется слабо стационарным, если: (1) E[Xₜ] = μ не зависит от t; (2) Var[Xₜ] = σ² &lt; ∞ не зависит от t; (3) автоковариация Cov(Xₜ, Xₜ₊ₕ) = γ(h) зависит только от лага h, но не от момента t. Большинство классических статистических методов прогнозирования (модели семейства ARIMA, экспоненциальное сглаживание Хольта-Уинтерса) предполагают стационарность ряда; их применение к нестационарному ряду без предварительного дифференцирования или стабилизации дисперсии даёт систематически смещённые прогнозы.</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Разложение Уолда. </w:t>
      </w:r>
      <w:r>
        <w:rPr>
          <w:rFonts w:ascii="Times New Roman" w:cs="Times New Roman" w:eastAsia="Times New Roman" w:hAnsi="Times New Roman"/>
          <w:b w:val="false"/>
          <w:bCs w:val="false"/>
          <w:i w:val="false"/>
          <w:iCs w:val="false"/>
          <w:sz w:val="28"/>
          <w:szCs w:val="28"/>
        </w:rPr>
        <w:t xml:space="preserve">Согласно классической теореме Уолда, любой слабо стационарный процесс с нулевым математическим ожиданием допускает представление вида Xₜ = Σⱼ₌₀^∞ ψⱼ εₜ₋ⱼ + Vₜ, где {εₜ} — белый шум, ψⱼ — детерминированные веса с Σψⱼ² &lt; ∞, а Vₜ — детерминированная (предсказуемая) компонента. Это утверждение обосновывает применимость линейных моделей класса ARMA для широкого класса стационарных процессов: они приближают разложение Уолда конечной суммой.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Эмпирические особенности. </w:t>
      </w:r>
      <w:r>
        <w:rPr>
          <w:rFonts w:ascii="Times New Roman" w:cs="Times New Roman" w:eastAsia="Times New Roman" w:hAnsi="Times New Roman"/>
          <w:b w:val="false"/>
          <w:bCs w:val="false"/>
          <w:i w:val="false"/>
          <w:iCs w:val="false"/>
          <w:sz w:val="28"/>
          <w:szCs w:val="28"/>
        </w:rPr>
        <w:t xml:space="preserve">Из работы [1] и собственных наблюдений на пяти исследованных в Главе 3 активах можно перечислить следующие свойства, отличающие финансовые ряды от ряда дневных температур или иных природных рядов:</w:t>
      </w:r>
    </w:p>
    <w:p>
      <w:pPr>
        <w:spacing w:after="0" w:before="0" w:line="360" w:lineRule="auto"/>
        <w:ind w:left="708" w:hanging="284"/>
        <w:jc w:val="both"/>
      </w:pPr>
      <w:r>
        <w:rPr>
          <w:rFonts w:ascii="Times New Roman" w:cs="Times New Roman" w:eastAsia="Times New Roman" w:hAnsi="Times New Roman"/>
          <w:sz w:val="28"/>
          <w:szCs w:val="28"/>
        </w:rPr>
        <w:t xml:space="preserve">— статистические характеристики ряда (среднее, дисперсия, корреляционная структура) не остаются постоянными — они меняются вместе со сменой макроэкономического режима, что эмпирически выражается в смещении распределения дневных доходностей в течение года;</w:t>
      </w:r>
    </w:p>
    <w:p>
      <w:pPr>
        <w:spacing w:after="0" w:before="0" w:line="360" w:lineRule="auto"/>
        <w:ind w:left="708" w:hanging="284"/>
        <w:jc w:val="both"/>
      </w:pPr>
      <w:r>
        <w:rPr>
          <w:rFonts w:ascii="Times New Roman" w:cs="Times New Roman" w:eastAsia="Times New Roman" w:hAnsi="Times New Roman"/>
          <w:sz w:val="28"/>
          <w:szCs w:val="28"/>
        </w:rPr>
        <w:t xml:space="preserve">— волатильность ряда сама по себе изменчива и группируется в кластеры — после большого однодневного движения с заметной вероятностью следует ещё одно крупное движение, в любую сторону;</w:t>
      </w:r>
    </w:p>
    <w:p>
      <w:pPr>
        <w:spacing w:after="0" w:before="0" w:line="360" w:lineRule="auto"/>
        <w:ind w:left="708" w:hanging="284"/>
        <w:jc w:val="both"/>
      </w:pPr>
      <w:r>
        <w:rPr>
          <w:rFonts w:ascii="Times New Roman" w:cs="Times New Roman" w:eastAsia="Times New Roman" w:hAnsi="Times New Roman"/>
          <w:sz w:val="28"/>
          <w:szCs w:val="28"/>
        </w:rPr>
        <w:t xml:space="preserve">— распределение дневных доходностей имеет тяжёлые хвосты — экстремальные движения происходят чаще, чем предсказывает нормальное распределение с той же дисперсией;</w:t>
      </w:r>
    </w:p>
    <w:p>
      <w:pPr>
        <w:spacing w:after="0" w:before="0" w:line="360" w:lineRule="auto"/>
        <w:ind w:left="708" w:hanging="284"/>
        <w:jc w:val="both"/>
      </w:pPr>
      <w:r>
        <w:rPr>
          <w:rFonts w:ascii="Times New Roman" w:cs="Times New Roman" w:eastAsia="Times New Roman" w:hAnsi="Times New Roman"/>
          <w:sz w:val="28"/>
          <w:szCs w:val="28"/>
        </w:rPr>
        <w:t xml:space="preserve">— сами доходности имеют слабую автокорреляцию (рынок «не помнит» направление вчерашнего дня), но квадраты доходностей коррелируют сильно — это и есть формальное описание кластеризации волатильности;</w:t>
      </w:r>
    </w:p>
    <w:p>
      <w:pPr>
        <w:spacing w:after="0" w:before="0" w:line="360" w:lineRule="auto"/>
        <w:ind w:left="708" w:hanging="284"/>
        <w:jc w:val="both"/>
      </w:pPr>
      <w:r>
        <w:rPr>
          <w:rFonts w:ascii="Times New Roman" w:cs="Times New Roman" w:eastAsia="Times New Roman" w:hAnsi="Times New Roman"/>
          <w:sz w:val="28"/>
          <w:szCs w:val="28"/>
        </w:rPr>
        <w:t xml:space="preserve">— крупные новостные события (решения регуляторов, геополитические потрясения, корпоративные отчёты) приводят к скачкообразным изменениям свойств ряда, не описываемым гладкими стохастическими моделями.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Численная иллюстрация. </w:t>
      </w:r>
      <w:r>
        <w:rPr>
          <w:rFonts w:ascii="Times New Roman" w:cs="Times New Roman" w:eastAsia="Times New Roman" w:hAnsi="Times New Roman"/>
          <w:b w:val="false"/>
          <w:bCs w:val="false"/>
          <w:i w:val="false"/>
          <w:iCs w:val="false"/>
          <w:sz w:val="28"/>
          <w:szCs w:val="28"/>
        </w:rPr>
        <w:t xml:space="preserve">Тяжёлые хвосты количественно проявляются в значении выборочного эксцесса. Для нормального распределения эксцесс равен 3; для логарифмических доходностей BTC-USD на интервале с 2022 по 2026 год выборочный эксцесс составил приблизительно 7.8, для серебра (тикер SLV) — около 5.4, для золота (GC=F) — 4.1. Также для всех исследованных активов наблюдается слабая отрицательная асимметрия (skewness ≈ −0.2 ÷ −0.4), что соответствует тому экономическому факту, что крупные отрицательные движения цены случаются на финансовых рынках чаще, чем симметричные положительные.</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Показатель Хёрста. </w:t>
      </w:r>
      <w:r>
        <w:rPr>
          <w:rFonts w:ascii="Times New Roman" w:cs="Times New Roman" w:eastAsia="Times New Roman" w:hAnsi="Times New Roman"/>
          <w:b w:val="false"/>
          <w:bCs w:val="false"/>
          <w:i w:val="false"/>
          <w:iCs w:val="false"/>
          <w:sz w:val="28"/>
          <w:szCs w:val="28"/>
        </w:rPr>
        <w:t xml:space="preserve">Дополнительной характеристикой временного ряда служит показатель Хёрста H ∈ (0, 1) [17], характеризующий долгосрочную память процесса. Значение H = 0.5 соответствует случайному блужданию (отсутствие памяти), H &gt; 0.5 — персистентному поведению (тренд устойчив), H &lt; 0.5 — антиперсистентному (mean-reverting). Для большинства ликвидных финансовых рядов на дневном горизонте показатель Хёрста близок к 0.5, что и даёт формальное обоснование низкой автокорреляции доходностей.</w:t>
      </w:r>
    </w:p>
    <w:p>
      <w:pPr>
        <w:spacing w:after="120" w:before="240" w:line="360" w:lineRule="auto"/>
        <w:ind w:firstLine="708"/>
      </w:pPr>
      <w:r>
        <w:rPr>
          <w:rFonts w:ascii="Times New Roman" w:cs="Times New Roman" w:eastAsia="Times New Roman" w:hAnsi="Times New Roman"/>
          <w:b/>
          <w:bCs/>
          <w:sz w:val="28"/>
          <w:szCs w:val="28"/>
        </w:rPr>
        <w:t xml:space="preserve">1.2. Классические статистические методы</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Семейство ARIMA. </w:t>
      </w:r>
      <w:r>
        <w:rPr>
          <w:rFonts w:ascii="Times New Roman" w:cs="Times New Roman" w:eastAsia="Times New Roman" w:hAnsi="Times New Roman"/>
          <w:b w:val="false"/>
          <w:bCs w:val="false"/>
          <w:i w:val="false"/>
          <w:iCs w:val="false"/>
          <w:sz w:val="28"/>
          <w:szCs w:val="28"/>
        </w:rPr>
        <w:t xml:space="preserve">Класс ARIMA(p, d, q) из классической работы Бокса и Дженкинса [1] — это первое, что обычно пробуют на финансовом ряду. Логика построения тут трёхэтапная. Сначала ряд d раз продифференцируется через оператор лага: ∇ᵈYₜ = (1 − L)ᵈYₜ, где L действует как LXₜ = Xₜ₋₁; обычно d = 1 или 2 уже даёт нечто близкое к стационарному. Потом то, что получилось, аппроксимируется линейной комбинацией: Xₜ = c + Σᵢ₌₁^p φᵢ Xₜ₋ᵢ + Σⱼ₌₁^q θⱼ εₜ₋ⱼ + εₜ. Здесь φᵢ и θⱼ — параметры авторегрессии и скользящего среднего, которые подбираются методом максимального правдоподобия, а тройку (p, d, q) — по AIC или BIC.</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Применение к финансовым данным. </w:t>
      </w:r>
      <w:r>
        <w:rPr>
          <w:rFonts w:ascii="Times New Roman" w:cs="Times New Roman" w:eastAsia="Times New Roman" w:hAnsi="Times New Roman"/>
          <w:b w:val="false"/>
          <w:bCs w:val="false"/>
          <w:i w:val="false"/>
          <w:iCs w:val="false"/>
          <w:sz w:val="28"/>
          <w:szCs w:val="28"/>
        </w:rPr>
        <w:t xml:space="preserve">В данной работе ARIMA рассматривалась как baseline для сравнения. На золоте с горизонтом 30 дней автоподбор параметров через AIC давал MAPE 1.6–1.9 % — заметно хуже того, что получается с ансамблем из Главы 3. Главная проблема ARIMA в нашем случае — линейность: модель не умеет учитывать структурные сдвиги, а на сырье они случаются регулярно (решения ФРС, геополитика, шоки спроса). Плюс к этому неприятно, что оптимальная тройка (p, d, q) скачет при сдвиге обучающего окна всего на месяц, — для production это означало бы постоянную пере-оценку гиперпараметров.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Гетероскедастичность и GARCH. </w:t>
      </w:r>
      <w:r>
        <w:rPr>
          <w:rFonts w:ascii="Times New Roman" w:cs="Times New Roman" w:eastAsia="Times New Roman" w:hAnsi="Times New Roman"/>
          <w:b w:val="false"/>
          <w:bCs w:val="false"/>
          <w:i w:val="false"/>
          <w:iCs w:val="false"/>
          <w:sz w:val="28"/>
          <w:szCs w:val="28"/>
        </w:rPr>
        <w:t xml:space="preserve">Финансовые временные ряды демонстрируют переменную во времени волатильность. Для её моделирования используется семейство GARCH(p, q): σ²ₜ = α₀ + Σᵢ₌₁^p αᵢ ε²ₜ₋ᵢ + Σⱼ₌₁^q βⱼ σ²ₜ₋ⱼ. В рамках данной работы GARCH применялся косвенно — как индикатор для разделения временного ряда на режимы низкой и высокой волатильности, что используется в режим-зависимых весах ансамблирования (см. §3.3).</w:t>
      </w:r>
    </w:p>
    <w:p>
      <w:pPr>
        <w:spacing w:after="120" w:before="240" w:line="360" w:lineRule="auto"/>
        <w:ind w:firstLine="708"/>
      </w:pPr>
      <w:r>
        <w:rPr>
          <w:rFonts w:ascii="Times New Roman" w:cs="Times New Roman" w:eastAsia="Times New Roman" w:hAnsi="Times New Roman"/>
          <w:b/>
          <w:bCs/>
          <w:sz w:val="28"/>
          <w:szCs w:val="28"/>
        </w:rPr>
        <w:t xml:space="preserve">1.3. Глубокое обучение для временных рядов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Рекуррентные нейронные сети. </w:t>
      </w:r>
      <w:r>
        <w:rPr>
          <w:rFonts w:ascii="Times New Roman" w:cs="Times New Roman" w:eastAsia="Times New Roman" w:hAnsi="Times New Roman"/>
          <w:b w:val="false"/>
          <w:bCs w:val="false"/>
          <w:i w:val="false"/>
          <w:iCs w:val="false"/>
          <w:sz w:val="28"/>
          <w:szCs w:val="28"/>
        </w:rPr>
        <w:t xml:space="preserve">LSTM (Long Short-Term Memory) появилась в работе Хохрайтера и Шмидхубера [8] и стала стандартным ответом на проблему исчезающего градиента в обычных RNN. Идея — добавить «гейтовый» механизм, который сам решает, что сохранять в памяти и что забывать. Три гейта работают так: входной iₜ = σ(Wᵢ[hₜ₋₁, xₜ] + bᵢ) пропускает новую информацию, забывающий fₜ = σ(W_f[hₜ₋₁, xₜ] + b_f) — стирает ненужную часть прошлого, а выходной oₜ = σ(W_o[hₜ₋₁, xₜ] + b_o) — определяет, что выйдет наружу. Само состояние ячейки обновляется через cₜ = fₜ ⊙ cₜ₋₁ + iₜ ⊙ tanh(W_c[hₜ₋₁, xₜ] + b_c) — старое состояние «фильтруется» через f, к нему добавляется новая информация, пропущенная через i.</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Применимость LSTM. </w:t>
      </w:r>
      <w:r>
        <w:rPr>
          <w:rFonts w:ascii="Times New Roman" w:cs="Times New Roman" w:eastAsia="Times New Roman" w:hAnsi="Times New Roman"/>
          <w:b w:val="false"/>
          <w:bCs w:val="false"/>
          <w:i w:val="false"/>
          <w:iCs w:val="false"/>
          <w:sz w:val="28"/>
          <w:szCs w:val="28"/>
        </w:rPr>
        <w:t xml:space="preserve">На ранних этапах разработки LSTM рассматривалась как основная архитектура — рекуррентная сеть с гейтовым механизмом является классическим выбором для задач прогнозирования временных рядов. Однако в ходе экспериментов выявились два узких места. Во-первых, обучение каждой модели на CPU без GPU-ускорения занимало 90–120 секунд для одного актива, что неприемлемо в режиме онлайн-сервиса. Во-вторых, последовательная природа вычислений (cₜ зависит от cₜ₋₁) принципиально не позволяет распараллелить обучение по временной оси внутри одной последовательности. На длинных окнах (более 90 дней) LSTM нередко «забывала» начало последовательности — эффект, отмеченный в [3].</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Темпоральные свёрточные сети (TCN). </w:t>
      </w:r>
      <w:r>
        <w:rPr>
          <w:rFonts w:ascii="Times New Roman" w:cs="Times New Roman" w:eastAsia="Times New Roman" w:hAnsi="Times New Roman"/>
          <w:b w:val="false"/>
          <w:bCs w:val="false"/>
          <w:i w:val="false"/>
          <w:iCs w:val="false"/>
          <w:sz w:val="28"/>
          <w:szCs w:val="28"/>
        </w:rPr>
        <w:t xml:space="preserve">Альтернатива LSTM, которую я в итоге и выбрал — TCN из работы Бая, Колтера и Колтуна [2]. В её основе две вещи: причинная свёртка и dilation. Свёртка с расширением d по последовательности (x₁, …, x_T) c ядром размера k записывается как F(t) = Σᵢ₌₀^{k−1} fᵢ · x_{t − d·i}, t = d·(k−1) + 1, …, T. «Причинность» здесь означает только одно: F(t) использует исключительно элементы с индексом ≤ t — то есть никакого подглядывания в будущее, что критично для прогноза временного ряда (иначе обучение «утечёт» через target).</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Рецептивное поле и residual-связи. </w:t>
      </w:r>
      <w:r>
        <w:rPr>
          <w:rFonts w:ascii="Times New Roman" w:cs="Times New Roman" w:eastAsia="Times New Roman" w:hAnsi="Times New Roman"/>
          <w:b w:val="false"/>
          <w:bCs w:val="false"/>
          <w:i w:val="false"/>
          <w:iCs w:val="false"/>
          <w:sz w:val="28"/>
          <w:szCs w:val="28"/>
        </w:rPr>
        <w:t xml:space="preserve">Главное преимущество TCN — рецептивное поле растёт экспоненциально, тогда как глубина сети — линейно. Для блока из двух причинных свёрток с ядром k и dilation d поле получается r = 2(k − 1)d + 1. Если взять последовательность dilation rates 1, 2, 4, 8 с k = 3, итог r_total = 1 + 2·2·(1+2+4+8) = 61 шаг — что в моём случае ровно покрывает SEQ_LEN = 60 (так и было задумано). Чтобы глубокая сеть нормально обучалась, между блоками вставлены residual-связи из работы Хе и др. [18]: вместо y = F(x) выход блока равен y = F(x) + x. Это даёт оптимизатору возможность «отказаться» от блока, просто пропустив через него вход без изменений, — что на практике помогает уйти от исчезающего градиента и заметно стабилизирует обучение.</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Сравнение с LSTM. </w:t>
      </w:r>
      <w:r>
        <w:rPr>
          <w:rFonts w:ascii="Times New Roman" w:cs="Times New Roman" w:eastAsia="Times New Roman" w:hAnsi="Times New Roman"/>
          <w:b w:val="false"/>
          <w:bCs w:val="false"/>
          <w:i w:val="false"/>
          <w:iCs w:val="false"/>
          <w:sz w:val="28"/>
          <w:szCs w:val="28"/>
        </w:rPr>
        <w:t xml:space="preserve">Главное вычислительное преимущество TCN перед LSTM — параллелизуемость: на этапе обучения все позиции последовательности обрабатываются одновременно, что даёт квадратное ускорение по сравнению с последовательной природой LSTM. На моих экспериментах тренировка TCN-модели на CPU занимает 25–30 секунд против 90–120 для LSTM, что становится критичным фактором для онлайн-сервиса. Дополнительное преимущество — отсутствие проблемы исчезающего градиента благодаря residual-связям и более стабильное поведение функции потерь.</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Архитектуры на основе механизма внимания. </w:t>
      </w:r>
      <w:r>
        <w:rPr>
          <w:rFonts w:ascii="Times New Roman" w:cs="Times New Roman" w:eastAsia="Times New Roman" w:hAnsi="Times New Roman"/>
          <w:b w:val="false"/>
          <w:bCs w:val="false"/>
          <w:i w:val="false"/>
          <w:iCs w:val="false"/>
          <w:sz w:val="28"/>
          <w:szCs w:val="28"/>
        </w:rPr>
        <w:t xml:space="preserve">Дополнительный класс архитектур — трансформеры [19], основанные на механизме self-attention. Внимание задаётся как Attention(Q, K, V) = softmax(QKᵀ / √dₖ) V, где Q, K, V — матрицы запросов, ключей и значений соответственно, dₖ — размерность ключа. В отличие от RNN и TCN, трансформер имеет полное рецептивное поле уже в первом слое, но требует O(T²) памяти, что ограничивает применимость к длинным последовательностям. В данной работе трансформеры применяются косвенно — через foundation-модели Chronos и TimesFM (см. §1.6), где они используются для предобучения на крупных корпусах.</w:t>
      </w:r>
    </w:p>
    <w:p>
      <w:pPr>
        <w:spacing w:after="120" w:before="240" w:line="360" w:lineRule="auto"/>
        <w:ind w:firstLine="708"/>
      </w:pPr>
      <w:r>
        <w:rPr>
          <w:rFonts w:ascii="Times New Roman" w:cs="Times New Roman" w:eastAsia="Times New Roman" w:hAnsi="Times New Roman"/>
          <w:b/>
          <w:bCs/>
          <w:sz w:val="28"/>
          <w:szCs w:val="28"/>
        </w:rPr>
        <w:t xml:space="preserve">1.4. Градиентный бустинг</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Функциональный градиентный спуск. </w:t>
      </w:r>
      <w:r>
        <w:rPr>
          <w:rFonts w:ascii="Times New Roman" w:cs="Times New Roman" w:eastAsia="Times New Roman" w:hAnsi="Times New Roman"/>
          <w:b w:val="false"/>
          <w:bCs w:val="false"/>
          <w:i w:val="false"/>
          <w:iCs w:val="false"/>
          <w:sz w:val="28"/>
          <w:szCs w:val="28"/>
        </w:rPr>
        <w:t xml:space="preserve">Удобный формализм бустинга предложил Фридман [20]: это итеративная минимизация функции потерь L(y, F(x)), но не в пространстве параметров (как в обычном SGD), а в пространстве функций. На шаге m модель улучшается как Fₘ(x) = Fₘ₋₁(x) + γₘ hₘ(x), где hₘ — слабый ученик (обычно неглубокое дерево решений), который подгоняется под отрицательный градиент функции потерь rᵢₘ = −∂L(yᵢ, F(xᵢ)) / ∂F(xᵢ), а γₘ — оптимальный шаг, выбираемый одномерным поиском. Любопытно, что при квадратичной функции потерь L = (y − F)² этот градиент равен обычному остатку rᵢₘ = yᵢ − Fₘ₋₁(xᵢ) — отсюда и пошло историческое название «boosting on residuals», предшествовавшее общему формализму Фридмана.</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CatBoost: ordered boosting. </w:t>
      </w:r>
      <w:r>
        <w:rPr>
          <w:rFonts w:ascii="Times New Roman" w:cs="Times New Roman" w:eastAsia="Times New Roman" w:hAnsi="Times New Roman"/>
          <w:b w:val="false"/>
          <w:bCs w:val="false"/>
          <w:i w:val="false"/>
          <w:iCs w:val="false"/>
          <w:sz w:val="28"/>
          <w:szCs w:val="28"/>
        </w:rPr>
        <w:t xml:space="preserve">Реализация CatBoost от Yandex Research [9] вводит две принципиальные модификации классического алгоритма. Первая — ordered boosting: для каждого объекта обучающей выборки прогноз формируется только моделями, обученными на предшествующих по случайной перестановке объектах. Это устраняет смещение, возникающее при использовании прогноза модели на тех же объектах, на которых она была обучена (target leakage). Вторая модификация — кодирование категориальных признаков через target statistics со сглаживанием: для категории c значение признака заменяется на (Σᵢ:cᵢ=c yᵢ + a·prior) / (Nc + a), где a — параметр сглаживания, prior — априорная оценка целевой переменной. Оба механизма направлены на борьбу с переобучением при работе с малыми и шумными выборками, что характерно для финансовых временных рядов.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Применение в проекте. </w:t>
      </w:r>
      <w:r>
        <w:rPr>
          <w:rFonts w:ascii="Times New Roman" w:cs="Times New Roman" w:eastAsia="Times New Roman" w:hAnsi="Times New Roman"/>
          <w:b w:val="false"/>
          <w:bCs w:val="false"/>
          <w:i w:val="false"/>
          <w:iCs w:val="false"/>
          <w:sz w:val="28"/>
          <w:szCs w:val="28"/>
        </w:rPr>
        <w:t xml:space="preserve">CatBoost был добавлен как «второе мнение» к нейросетевому прогнозу, а не как основной метод. Мотивация — эмпирическая: при тестировании на тикере GC=F отдельно работавший CatBoost давал MAPE 1.4 %, что уступает TCN (≈1.0 %), но ошибки двух моделей оказались слабо коррелированы (коэффициент Пирсона ≈ 0.35 на out-of-fold предсказаниях). Признаки для CatBoost формируются как набор лагов (1, 5, 10, 30 дней), скользящих средних и технических индикаторов (RSI, MACD, ATR), которые TCN-модель сама не рассчитывает.</w:t>
      </w:r>
    </w:p>
    <w:p>
      <w:pPr>
        <w:spacing w:after="120" w:before="240" w:line="360" w:lineRule="auto"/>
        <w:ind w:firstLine="708"/>
      </w:pPr>
      <w:r>
        <w:rPr>
          <w:rFonts w:ascii="Times New Roman" w:cs="Times New Roman" w:eastAsia="Times New Roman" w:hAnsi="Times New Roman"/>
          <w:b/>
          <w:bCs/>
          <w:sz w:val="28"/>
          <w:szCs w:val="28"/>
        </w:rPr>
        <w:t xml:space="preserve">1.5. Декомпозиция смещения-дисперсии и теория ансамблирования</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Bias-variance decomposition. </w:t>
      </w:r>
      <w:r>
        <w:rPr>
          <w:rFonts w:ascii="Times New Roman" w:cs="Times New Roman" w:eastAsia="Times New Roman" w:hAnsi="Times New Roman"/>
          <w:b w:val="false"/>
          <w:bCs w:val="false"/>
          <w:i w:val="false"/>
          <w:iCs w:val="false"/>
          <w:sz w:val="28"/>
          <w:szCs w:val="28"/>
        </w:rPr>
        <w:t xml:space="preserve">Для квадратичной потери ожидаемую ошибку прогноза f̂(x) можно разложить на три понятных компонента. Зафиксируем x и запишем целевое значение как y = f(x) + ε, где ε — шум с нулевым средним и дисперсией σ². Обозначим m(x) = E_D[f̂(x)] — среднее предсказание модели по всем возможным обучающим выборкам D. Тогда несложными выкладками получаем:</w:t>
      </w:r>
    </w:p>
    <w:p>
      <w:pPr>
        <w:spacing w:after="60" w:before="60" w:line="360" w:lineRule="auto"/>
        <w:jc w:val="center"/>
      </w:pPr>
      <w:r>
        <w:rPr>
          <w:rFonts w:ascii="Times New Roman" w:cs="Times New Roman" w:eastAsia="Times New Roman" w:hAnsi="Times New Roman"/>
          <w:i/>
          <w:iCs/>
          <w:sz w:val="28"/>
          <w:szCs w:val="28"/>
        </w:rPr>
        <w:t xml:space="preserve">E[(y − f̂(x))²] = E[(y − m + m − f̂)²]</w:t>
      </w:r>
    </w:p>
    <w:p>
      <w:pPr>
        <w:spacing w:after="60" w:before="0" w:line="360" w:lineRule="auto"/>
        <w:jc w:val="center"/>
      </w:pPr>
      <w:r>
        <w:rPr>
          <w:rFonts w:ascii="Times New Roman" w:cs="Times New Roman" w:eastAsia="Times New Roman" w:hAnsi="Times New Roman"/>
          <w:i/>
          <w:iCs/>
          <w:sz w:val="28"/>
          <w:szCs w:val="28"/>
        </w:rPr>
        <w:t xml:space="preserve">= E[(y − m)²] + 2·E[(y − m)(m − f̂)] + E[(m − f̂)²].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Перекрёстный член здесь зануляется: m — это и есть среднее f̂, так что E_D[m − f̂] = 0. Первое слагаемое раскрывается ещё дальше: E[(y − m)²] = E[(f(x) + ε − m)²] = (m − f(x))² + σ². Итог:</w:t>
      </w:r>
    </w:p>
    <w:p>
      <w:pPr>
        <w:spacing w:after="60" w:before="60" w:line="360" w:lineRule="auto"/>
        <w:jc w:val="center"/>
      </w:pPr>
      <w:r>
        <w:rPr>
          <w:rFonts w:ascii="Times New Roman" w:cs="Times New Roman" w:eastAsia="Times New Roman" w:hAnsi="Times New Roman"/>
          <w:i/>
          <w:iCs/>
          <w:sz w:val="28"/>
          <w:szCs w:val="28"/>
        </w:rPr>
        <w:t xml:space="preserve">E[(y − f̂(x))²] = (m(x) − f(x))² + Var_D[f̂(x)] + σ²,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Первое слагаемое — bias² — это систематическая ошибка модели, которая никуда не денется, даже если у нас будет бесконечно много обучающих данных. Второе — variance — измеряет, насколько прогноз «дёргается» в зависимости от того, какую именно обучающую выборку мы взяли. Третье — σ², неустранимый шум данных, на который модель не может повлиять вообще. Из этого разложения следует известный компромисс: сложные модели имеют низкий bias, но высокую variance; простые — наоборот; оптимум где-то посередине.</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Декомпозиция Крога-Ведельсби. </w:t>
      </w:r>
      <w:r>
        <w:rPr>
          <w:rFonts w:ascii="Times New Roman" w:cs="Times New Roman" w:eastAsia="Times New Roman" w:hAnsi="Times New Roman"/>
          <w:b w:val="false"/>
          <w:bCs w:val="false"/>
          <w:i w:val="false"/>
          <w:iCs w:val="false"/>
          <w:sz w:val="28"/>
          <w:szCs w:val="28"/>
        </w:rPr>
        <w:t xml:space="preserve">Для ансамбля из M моделей со средневзвешенным предсказанием f̄(x) = Σᵢ wᵢ fᵢ(x), Σwᵢ = 1, Крог и Ведельсби в своей работе 1995 года [21] получили красивое разложение для квадратичной ошибки. Вывод опирается на простое алгебраическое тождество (a − b)² = (a − c)² + (c − b)² + 2(a − c)(c − b), которое применяется к разности (y − f̄):</w:t>
      </w:r>
    </w:p>
    <w:p>
      <w:pPr>
        <w:spacing w:after="60" w:before="60" w:line="360" w:lineRule="auto"/>
        <w:jc w:val="center"/>
      </w:pPr>
      <w:r>
        <w:rPr>
          <w:rFonts w:ascii="Times New Roman" w:cs="Times New Roman" w:eastAsia="Times New Roman" w:hAnsi="Times New Roman"/>
          <w:i/>
          <w:iCs/>
          <w:sz w:val="28"/>
          <w:szCs w:val="28"/>
        </w:rPr>
        <w:t xml:space="preserve">Σᵢ wᵢ (y − fᵢ)² = (y − f̄)² + Σᵢ wᵢ (fᵢ − f̄)².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Взяв ожидание от обеих частей и переставив слагаемые, приходим к главному результату:</w:t>
      </w:r>
    </w:p>
    <w:p>
      <w:pPr>
        <w:spacing w:after="60" w:before="60" w:line="360" w:lineRule="auto"/>
        <w:jc w:val="center"/>
      </w:pPr>
      <w:r>
        <w:rPr>
          <w:rFonts w:ascii="Times New Roman" w:cs="Times New Roman" w:eastAsia="Times New Roman" w:hAnsi="Times New Roman"/>
          <w:i/>
          <w:iCs/>
          <w:sz w:val="28"/>
          <w:szCs w:val="28"/>
        </w:rPr>
        <w:t xml:space="preserve">E[(y − f̄)²] = Σᵢ wᵢ E[(y − fᵢ)²] − Σᵢ wᵢ E[(fᵢ − f̄)²].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Первое слагаемое — взвешенная средняя ошибка отдельных моделей. Второе называется ambiguity, или амбигуитетностью ансамбля: оно измеряет, насколько компоненты «расходятся во мнениях» относительно ансамблевого предсказания. Поскольку второй член всегда неотрицателен, ошибка ансамбля гарантированно не больше средней ошибки его компонент — и тем меньше, чем сильнее модели не похожи друг на друга. Отсюда главный практический принцип построения ансамбля: одной только точности компонент мало, нужна ещё и diversity между ними.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Применение к данной задаче. </w:t>
      </w:r>
      <w:r>
        <w:rPr>
          <w:rFonts w:ascii="Times New Roman" w:cs="Times New Roman" w:eastAsia="Times New Roman" w:hAnsi="Times New Roman"/>
          <w:b w:val="false"/>
          <w:bCs w:val="false"/>
          <w:i w:val="false"/>
          <w:iCs w:val="false"/>
          <w:sz w:val="28"/>
          <w:szCs w:val="28"/>
        </w:rPr>
        <w:t xml:space="preserve">Описанная теория объясняет архитектурное решение проекта — объединение трёх разнородных моделей (TCN, CatBoost, foundation-модели). Каждая компонента имеет свой источник предсказательной силы (нелинейные временные паттерны для TCN, сложные взаимодействия признаков для CatBoost, общие паттерны временных рядов для foundation-моделей), что обеспечивает низкую корреляцию ошибок и, как следствие, высокую амбигуитетность ансамбля. Эмпирически измеренный коэффициент Пирсона между ошибками TCN и CatBoost на out-of-sample предсказаниях составил 0.35 (см. §3.3), что соответствует существенной амбигуитетности и значимому выигрышу от усреднения.</w:t>
      </w:r>
    </w:p>
    <w:p>
      <w:pPr>
        <w:spacing w:after="120" w:before="240" w:line="360" w:lineRule="auto"/>
        <w:ind w:firstLine="708"/>
      </w:pPr>
      <w:r>
        <w:rPr>
          <w:rFonts w:ascii="Times New Roman" w:cs="Times New Roman" w:eastAsia="Times New Roman" w:hAnsi="Times New Roman"/>
          <w:b/>
          <w:bCs/>
          <w:sz w:val="28"/>
          <w:szCs w:val="28"/>
        </w:rPr>
        <w:t xml:space="preserve">1.6. Foundation-модели для временных рядов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Парадигма больших предобученных моделей. </w:t>
      </w:r>
      <w:r>
        <w:rPr>
          <w:rFonts w:ascii="Times New Roman" w:cs="Times New Roman" w:eastAsia="Times New Roman" w:hAnsi="Times New Roman"/>
          <w:b w:val="false"/>
          <w:bCs w:val="false"/>
          <w:i w:val="false"/>
          <w:iCs w:val="false"/>
          <w:sz w:val="28"/>
          <w:szCs w:val="28"/>
        </w:rPr>
        <w:t xml:space="preserve">Foundation-модели — относительно новый класс архитектур, появившийся в результате переноса парадигмы предобученных языковых моделей (BERT, GPT) на задачу прогнозирования временных рядов. TimesFM [4] и Chronos [5] предобучаются на крупных корпусах разнородных временных рядов (от энергопотребления до медицинских показателей и трафика), и применяются на новых рядах в zero-shot режиме — без дообучения на конкретный целевой ряд. Принципиальное отличие от классических подходов состоит в том, что одна и та же модель применяется к широкому классу временных рядов и предполагается, что общие паттерны (тренды, сезонности, режимные сдвиги) переносятся между задачами.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Применимость и компромиссы. </w:t>
      </w:r>
      <w:r>
        <w:rPr>
          <w:rFonts w:ascii="Times New Roman" w:cs="Times New Roman" w:eastAsia="Times New Roman" w:hAnsi="Times New Roman"/>
          <w:b w:val="false"/>
          <w:bCs w:val="false"/>
          <w:i w:val="false"/>
          <w:iCs w:val="false"/>
          <w:sz w:val="28"/>
          <w:szCs w:val="28"/>
        </w:rPr>
        <w:t xml:space="preserve">TimesFM и Chronos подключаются опционально, по флагу use_foundation в форме запроса. На дневном прогнозе золота zero-shot Chronos уступает специализированной TCN-модели на 0.2–0.4 пункта MAPE, но даёт независимый от моих признаков сигнал, который добавляет полезную информацию ансамблю (повышает амбигуитетность по Крогу-Ведельсби). Принципиальные минусы — заметное замедление расчёта (+20 секунд на одном тикере) и зависимость от установленной версии тяжёлых библиотек.</w:t>
      </w:r>
    </w:p>
    <w:p>
      <w:pPr>
        <w:spacing w:after="120" w:before="240" w:line="360" w:lineRule="auto"/>
        <w:ind w:firstLine="708"/>
      </w:pPr>
      <w:r>
        <w:rPr>
          <w:rFonts w:ascii="Times New Roman" w:cs="Times New Roman" w:eastAsia="Times New Roman" w:hAnsi="Times New Roman"/>
          <w:b/>
          <w:bCs/>
          <w:sz w:val="28"/>
          <w:szCs w:val="28"/>
        </w:rPr>
        <w:t xml:space="preserve">1.7. Метрики оценки качества прогнозов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Качество прогноза в данной работе оценивается набором из пяти взаимодополняющих метрик. Каждая измеряет свой аспект «попадания» прогноза в реальность; ни одна по отдельности не даёт полной картины.</w:t>
      </w:r>
    </w:p>
    <w:p>
      <w:pPr>
        <w:spacing w:after="0" w:before="0" w:line="360" w:lineRule="auto"/>
        <w:ind w:left="708" w:hanging="284"/>
        <w:jc w:val="both"/>
      </w:pPr>
      <w:r>
        <w:rPr>
          <w:rFonts w:ascii="Times New Roman" w:cs="Times New Roman" w:eastAsia="Times New Roman" w:hAnsi="Times New Roman"/>
          <w:sz w:val="28"/>
          <w:szCs w:val="28"/>
        </w:rPr>
        <w:t xml:space="preserve">— MAE (mean absolute error) — средняя по выборке модуля разницы прогноза и факта; измеряется в тех же единицах, что и цена. Удобна для абсолютной оценки в долларах или иной валюте: «ошибка ±18 долларов на унцию золота» легко интерпретируется содержательно.</w:t>
      </w:r>
    </w:p>
    <w:p>
      <w:pPr>
        <w:spacing w:after="0" w:before="0" w:line="360" w:lineRule="auto"/>
        <w:ind w:left="708" w:hanging="284"/>
        <w:jc w:val="both"/>
      </w:pPr>
      <w:r>
        <w:rPr>
          <w:rFonts w:ascii="Times New Roman" w:cs="Times New Roman" w:eastAsia="Times New Roman" w:hAnsi="Times New Roman"/>
          <w:sz w:val="28"/>
          <w:szCs w:val="28"/>
        </w:rPr>
        <w:t xml:space="preserve">— RMSE (root mean squared error) — корень из среднего квадрата отклонений; ту же единицу измерения, что и MAE, но из-за квадратичной формы более чувствителен к редким большим ошибкам, так что на активах с волатильными хвостами (биткоин) RMSE заметно выше MAE.</w:t>
      </w:r>
    </w:p>
    <w:p>
      <w:pPr>
        <w:spacing w:after="0" w:before="0" w:line="360" w:lineRule="auto"/>
        <w:ind w:left="708" w:hanging="284"/>
        <w:jc w:val="both"/>
      </w:pPr>
      <w:r>
        <w:rPr>
          <w:rFonts w:ascii="Times New Roman" w:cs="Times New Roman" w:eastAsia="Times New Roman" w:hAnsi="Times New Roman"/>
          <w:sz w:val="28"/>
          <w:szCs w:val="28"/>
        </w:rPr>
        <w:t xml:space="preserve">— MAPE (mean absolute percentage error) — средняя относительная ошибка, выраженная в процентах. Главное достоинство — переносимость между активами с разными масштабами цены: значение MAPE 1 % одинаково осмысленно для золота (ошибка ≈ 18 долларов на унцию ≈ 1 800 долларов) и для биткоина (ошибка ≈ 1 200 долларов на цене 75 000).</w:t>
      </w:r>
    </w:p>
    <w:p>
      <w:pPr>
        <w:spacing w:after="0" w:before="0" w:line="360" w:lineRule="auto"/>
        <w:ind w:left="708" w:hanging="284"/>
        <w:jc w:val="both"/>
      </w:pPr>
      <w:r>
        <w:rPr>
          <w:rFonts w:ascii="Times New Roman" w:cs="Times New Roman" w:eastAsia="Times New Roman" w:hAnsi="Times New Roman"/>
          <w:sz w:val="28"/>
          <w:szCs w:val="28"/>
        </w:rPr>
        <w:t xml:space="preserve">— R² (коэффициент детерминации) — доля дисперсии цены, объяснённая моделью; равен 1 при идеальном прогнозе и 0 для константного прогноза средним. Отрицательные значения возникают, когда модель прогнозирует хуже, чем «всегда то же среднее», что является диагностическим признаком серьёзной проблемы (переобучение, утечка между фолдами).</w:t>
      </w:r>
    </w:p>
    <w:p>
      <w:pPr>
        <w:spacing w:after="0" w:before="0" w:line="360" w:lineRule="auto"/>
        <w:ind w:left="708" w:hanging="284"/>
        <w:jc w:val="both"/>
      </w:pPr>
      <w:r>
        <w:rPr>
          <w:rFonts w:ascii="Times New Roman" w:cs="Times New Roman" w:eastAsia="Times New Roman" w:hAnsi="Times New Roman"/>
          <w:sz w:val="28"/>
          <w:szCs w:val="28"/>
        </w:rPr>
        <w:t xml:space="preserve">— directional accuracy — доля шагов, на которых прогноз верно предсказывает знак изменения цены. Эта метрика отдельно полезна для трейдинговых сценариев: даже небольшое смещение directional accuracy выше 0.5 может быть выгодно использовано через правильное управление размером позиции, тогда как абсолютная ошибка цены при этом может оставаться существенной.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Все пять метрик считаются на out-of-sample выборках, формируемых walk-forward валидацией (см. §3.5), и усредняются по фолдам. На реализованных в проекте экспериментах высокое directional accuracy и низкое MAPE как правило идут рука об руку, но не всегда: на биткоине наблюдалась пара (MAPE = 1.67 %, directional accuracy = 55.4 %), и это вполне объяснимо — модель неплохо ловит направление крупных движений, но переоценивает или недооценивает их амплитуду.</w:t>
      </w:r>
    </w:p>
    <w:p>
      <w:pPr>
        <w:spacing w:after="120" w:before="240" w:line="360" w:lineRule="auto"/>
        <w:ind w:firstLine="708"/>
      </w:pPr>
      <w:r>
        <w:rPr>
          <w:rFonts w:ascii="Times New Roman" w:cs="Times New Roman" w:eastAsia="Times New Roman" w:hAnsi="Times New Roman"/>
          <w:b/>
          <w:bCs/>
          <w:sz w:val="28"/>
          <w:szCs w:val="28"/>
        </w:rPr>
        <w:t xml:space="preserve">1.8. Калибровка вероятностей и оценка неопределённости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Проблема калибровки. </w:t>
      </w:r>
      <w:r>
        <w:rPr>
          <w:rFonts w:ascii="Times New Roman" w:cs="Times New Roman" w:eastAsia="Times New Roman" w:hAnsi="Times New Roman"/>
          <w:b w:val="false"/>
          <w:bCs w:val="false"/>
          <w:i w:val="false"/>
          <w:iCs w:val="false"/>
          <w:sz w:val="28"/>
          <w:szCs w:val="28"/>
        </w:rPr>
        <w:t xml:space="preserve">Прогнозы вероятностного классификатора (например, классификатора направления цены вверх/вниз) часто оказываются плохо откалиброваны: ситуации, на которых модель «уверена на 70 %», в реальности оборачиваются положительным исходом не в 70 %, а в 55–60 % случаев. Эта систематическая переоценка уверенности рассмотрена в работе [6] и наблюдается у TCN-классификатора в данной курсовой на out-of-sample предсказаниях для всех пяти исследованных активов.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Декомпозиция Brier score. </w:t>
      </w:r>
      <w:r>
        <w:rPr>
          <w:rFonts w:ascii="Times New Roman" w:cs="Times New Roman" w:eastAsia="Times New Roman" w:hAnsi="Times New Roman"/>
          <w:b w:val="false"/>
          <w:bCs w:val="false"/>
          <w:i w:val="false"/>
          <w:iCs w:val="false"/>
          <w:sz w:val="28"/>
          <w:szCs w:val="28"/>
        </w:rPr>
        <w:t xml:space="preserve">Численная мера качества вероятностного прогноза — Brier score, считаемый как BS = (1/N) Σᵢ (pᵢ − yᵢ)². Мёрфи в работе 1973 года [22] заметил, что эту величину можно разложить на три неотрицательных слагаемых: BS = REL − RES + UNC. Здесь REL (reliability) — насколько сильно предсказанные вероятности расходятся с наблюдаемыми частотами в соответствующих бинах; RES (resolution) — насколько хорошо модель умеет разделять классы; UNC (uncertainty) — базовая неопределённость самой целевой переменной, на которую модель повлиять не может. Хорошо откалиброванная модель имеет малое REL; модель с реальной предсказательной силой — большое RES. Задача пост-калибровки в этом языке формулируется кратко: снизить REL и не сломать при этом RES.</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Методы пост-калибровки. </w:t>
      </w:r>
      <w:r>
        <w:rPr>
          <w:rFonts w:ascii="Times New Roman" w:cs="Times New Roman" w:eastAsia="Times New Roman" w:hAnsi="Times New Roman"/>
          <w:b w:val="false"/>
          <w:bCs w:val="false"/>
          <w:i w:val="false"/>
          <w:iCs w:val="false"/>
          <w:sz w:val="28"/>
          <w:szCs w:val="28"/>
        </w:rPr>
        <w:t xml:space="preserve">Для коррекции применяется один из двух подходов — пост-калибровка через масштабирование Платта или через изотоническую регрессию. Масштабирование Платта обучает однопараметрическую логистическую функцию p_calib = σ(A · logit(p_raw) + B), где параметры A, B оцениваются методом максимального правдоподобия на отдельной калибровочной выборке. Изотоническая регрессия не требует параметрического предположения и обучает кусочно-постоянную монотонную функцию, минимизируя Σᵢ (yᵢ − f(pᵢ))² при ограничении f(p₁) ≤ f(p₂) ≤ ... ≤ f(pₙ).</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Выбор метода в реализации. </w:t>
      </w:r>
      <w:r>
        <w:rPr>
          <w:rFonts w:ascii="Times New Roman" w:cs="Times New Roman" w:eastAsia="Times New Roman" w:hAnsi="Times New Roman"/>
          <w:b w:val="false"/>
          <w:bCs w:val="false"/>
          <w:i w:val="false"/>
          <w:iCs w:val="false"/>
          <w:sz w:val="28"/>
          <w:szCs w:val="28"/>
        </w:rPr>
        <w:t xml:space="preserve">В модуле calibration.py выбор делается автоматически по объёму калибровочной выборки: при n_oos ≥ 1000 применяется изотоническая регрессия (как более гибкая, способная учесть произвольные нелинейности), при меньшем — масштабирование Платта (как более устойчивое к шуму на малых данных за счёт жёсткой параметризации). Точка переключения 1000 взята из эмпирического исследования [6] и подтверждена локальными экспериментами на ряду BTC-USD, где для горизонта 30 дней n_oos составляет около 1200, и переход на изотоническую регрессию даёт снижение Brier score с 0.221 до 0.196.</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Конформное прогнозирование. </w:t>
      </w:r>
      <w:r>
        <w:rPr>
          <w:rFonts w:ascii="Times New Roman" w:cs="Times New Roman" w:eastAsia="Times New Roman" w:hAnsi="Times New Roman"/>
          <w:b w:val="false"/>
          <w:bCs w:val="false"/>
          <w:i w:val="false"/>
          <w:iCs w:val="false"/>
          <w:sz w:val="28"/>
          <w:szCs w:val="28"/>
        </w:rPr>
        <w:t xml:space="preserve">Помимо точечного прогноза, в проекте отдаются доверительные интервалы для предсказанной цены. Для интервалов используется split-conformal prediction по схеме из [7] и [10]. Формально, имея калибровочную выборку (Xᵢ, yᵢ)ᴺ и предобученную модель μ̂, вычисляется множество non-conformity scores Sᵢ = |yᵢ − μ̂(Xᵢ)|. Для уровня значимости α квантиль q̂ = ⌈(N + 1)(1 − α)⌉ / N задаёт ширину интервала. Для нового объекта X^* возвращается интервал [μ̂(X^*) − q̂, μ̂(X^*) + q̂].</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Теорема валидности. </w:t>
      </w:r>
      <w:r>
        <w:rPr>
          <w:rFonts w:ascii="Times New Roman" w:cs="Times New Roman" w:eastAsia="Times New Roman" w:hAnsi="Times New Roman"/>
          <w:b w:val="false"/>
          <w:bCs w:val="false"/>
          <w:i w:val="false"/>
          <w:iCs w:val="false"/>
          <w:sz w:val="28"/>
          <w:szCs w:val="28"/>
        </w:rPr>
        <w:t xml:space="preserve">Главное, ради чего вообще используется конформное прогнозирование — это теорема валидности. Она утверждает: если пары (Xᵢ, yᵢ)ᴺ вместе с тестовой парой обладают свойством обмениваемости (exchangeability), то маргинальная вероятность того, что истинное y^* попадёт в построенный интервал, удовлетворяет P(y^* ∈ [μ̂(X^*) − q̂, μ̂(X^*) + q̂]) ≥ 1 − α. Что особенно ценно — это распределение-свободный результат: никаких предположений о распределении X или y, требуется только обмениваемость. Для скользящего окна exchangeability формально не выполняется, но на отложенной валидации фактическое покрытие интервалов вышло 87–91 % при заявленном уровне α = 0.10 — то есть метод работает на практике достаточно близко к теоретической гарантии, чтобы его можно было использовать.</w:t>
      </w:r>
    </w:p>
    <w:p>
      <w:pPr>
        <w:spacing w:after="120" w:before="240" w:line="360" w:lineRule="auto"/>
        <w:ind w:firstLine="708"/>
      </w:pPr>
      <w:r>
        <w:rPr>
          <w:rFonts w:ascii="Times New Roman" w:cs="Times New Roman" w:eastAsia="Times New Roman" w:hAnsi="Times New Roman"/>
          <w:b/>
          <w:bCs/>
          <w:sz w:val="28"/>
          <w:szCs w:val="28"/>
        </w:rPr>
        <w:t xml:space="preserve">1.9. Sentiment-анализ как дополнительный источник информации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Эффект новостного фона. </w:t>
      </w:r>
      <w:r>
        <w:rPr>
          <w:rFonts w:ascii="Times New Roman" w:cs="Times New Roman" w:eastAsia="Times New Roman" w:hAnsi="Times New Roman"/>
          <w:b w:val="false"/>
          <w:bCs w:val="false"/>
          <w:i w:val="false"/>
          <w:iCs w:val="false"/>
          <w:sz w:val="28"/>
          <w:szCs w:val="28"/>
        </w:rPr>
        <w:t xml:space="preserve">Цена не движется только в ответ на собственную динамику — на неё влияют новости. Чем «отрицательнее» эмоциональный фон публикаций о компании или сырьевом активе, тем выше вероятность того, что в ближайшие дни рынок отыграет это движением вниз; соответственно, положительный фон стимулирует рост котировок. Чтобы учесть этот эффект количественно, в проект встроен модуль sentiment-анализа: он скачивает заголовки и краткие выдержки публикаций по запрошенному тикеру за последние 7 дней и оценивает каждую публикацию числом s ∈ [−1, +1].</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Архитектура трансформера в основе FinBERT. </w:t>
      </w:r>
      <w:r>
        <w:rPr>
          <w:rFonts w:ascii="Times New Roman" w:cs="Times New Roman" w:eastAsia="Times New Roman" w:hAnsi="Times New Roman"/>
          <w:b w:val="false"/>
          <w:bCs w:val="false"/>
          <w:i w:val="false"/>
          <w:iCs w:val="false"/>
          <w:sz w:val="28"/>
          <w:szCs w:val="28"/>
        </w:rPr>
        <w:t xml:space="preserve">Тональность оценивает модель FinBERT [12] — это BERT-base [19], которую дообучили на размеченных корпусах финансовых новостей. Сам BERT — это стек трансформерных энкодеров на основе self-attention; формально внимание считается как Attention(Q, K, V) = softmax(QKᵀ / √dₖ) V. Обучение разделено на две стадии: сначала на огромном корпусе текстов модель учится восстанавливать случайно «замаскированные» слова (masked language modeling) и определять, идут ли два предложения подряд (next-sentence prediction); затем уже на этой основе её дообучают под конкретную задачу — в нашем случае классификацию финансового sentiment.</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Выбор FinBERT. </w:t>
      </w:r>
      <w:r>
        <w:rPr>
          <w:rFonts w:ascii="Times New Roman" w:cs="Times New Roman" w:eastAsia="Times New Roman" w:hAnsi="Times New Roman"/>
          <w:b w:val="false"/>
          <w:bCs w:val="false"/>
          <w:i w:val="false"/>
          <w:iCs w:val="false"/>
          <w:sz w:val="28"/>
          <w:szCs w:val="28"/>
        </w:rPr>
        <w:t xml:space="preserve">Выбор именно специализированной модели FinBERT, а не общих instruct-моделей или классических лексических методов вроде VADER, объясняется тем, что финансовая лексика существенно отличается от общеупотребительной — слово «слабый» применительно к компании и применительно к погоде имеет противоположные оттенки, и без специализированного обучения модель путается. Усреднённое значение s_avg по всем доступным сообщениям далее применяется как мультипликативный bias к итоговому прогнозу ансамбля; конкретная формула приведена в §3.4.</w:t>
      </w:r>
    </w:p>
    <w:p>
      <w:pPr>
        <w:pageBreakBefore/>
        <w:spacing w:after="240" w:before="0" w:line="360" w:lineRule="auto"/>
        <w:jc w:val="center"/>
      </w:pPr>
      <w:r>
        <w:rPr>
          <w:rFonts w:ascii="Times New Roman" w:cs="Times New Roman" w:eastAsia="Times New Roman" w:hAnsi="Times New Roman"/>
          <w:b/>
          <w:bCs/>
          <w:caps/>
          <w:sz w:val="28"/>
          <w:szCs w:val="28"/>
        </w:rPr>
        <w:t xml:space="preserve">Глава 2. Архитектура веб-сервиса</w:t>
      </w:r>
    </w:p>
    <w:p>
      <w:pPr>
        <w:spacing w:after="120" w:before="240" w:line="360" w:lineRule="auto"/>
        <w:ind w:firstLine="708"/>
      </w:pPr>
      <w:r>
        <w:rPr>
          <w:rFonts w:ascii="Times New Roman" w:cs="Times New Roman" w:eastAsia="Times New Roman" w:hAnsi="Times New Roman"/>
          <w:b/>
          <w:bCs/>
          <w:sz w:val="28"/>
          <w:szCs w:val="28"/>
        </w:rPr>
        <w:t xml:space="preserve">2.1. Стек технологий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Стек технологий проекта складывался поэтапно — отправной точкой был Python (по причине богатой экосистемы для машинного обучения), а уже от него подбирались остальные компоненты. Итоговый набор:</w:t>
      </w:r>
    </w:p>
    <w:p>
      <w:pPr>
        <w:spacing w:after="0" w:before="0" w:line="360" w:lineRule="auto"/>
        <w:ind w:left="708" w:hanging="284"/>
        <w:jc w:val="both"/>
      </w:pPr>
      <w:r>
        <w:rPr>
          <w:rFonts w:ascii="Times New Roman" w:cs="Times New Roman" w:eastAsia="Times New Roman" w:hAnsi="Times New Roman"/>
          <w:sz w:val="28"/>
          <w:szCs w:val="28"/>
        </w:rPr>
        <w:t xml:space="preserve">— бэкенд — Python 3.12 как основной язык, FastAPI [14] как HTTP-фреймворк, SQLAlchemy для ORM-доступа к базе, Celery + Redis для отложенных задач;</w:t>
      </w:r>
    </w:p>
    <w:p>
      <w:pPr>
        <w:spacing w:after="0" w:before="0" w:line="360" w:lineRule="auto"/>
        <w:ind w:left="708" w:hanging="284"/>
        <w:jc w:val="both"/>
      </w:pPr>
      <w:r>
        <w:rPr>
          <w:rFonts w:ascii="Times New Roman" w:cs="Times New Roman" w:eastAsia="Times New Roman" w:hAnsi="Times New Roman"/>
          <w:sz w:val="28"/>
          <w:szCs w:val="28"/>
        </w:rPr>
        <w:t xml:space="preserve">— хранилище — PostgreSQL 15 [16] с использованием JSONB-полей под подробные результаты прогнозов;</w:t>
      </w:r>
    </w:p>
    <w:p>
      <w:pPr>
        <w:spacing w:after="0" w:before="0" w:line="360" w:lineRule="auto"/>
        <w:ind w:left="708" w:hanging="284"/>
        <w:jc w:val="both"/>
      </w:pPr>
      <w:r>
        <w:rPr>
          <w:rFonts w:ascii="Times New Roman" w:cs="Times New Roman" w:eastAsia="Times New Roman" w:hAnsi="Times New Roman"/>
          <w:sz w:val="28"/>
          <w:szCs w:val="28"/>
        </w:rPr>
        <w:t xml:space="preserve">— машинное обучение — TensorFlow/Keras для TCN-модели, CatBoost от Yandex Research для градиентного бустинга, библиотека scikit-learn для классических методов и для пост-калибровки;</w:t>
      </w:r>
    </w:p>
    <w:p>
      <w:pPr>
        <w:spacing w:after="0" w:before="0" w:line="360" w:lineRule="auto"/>
        <w:ind w:left="708" w:hanging="284"/>
        <w:jc w:val="both"/>
      </w:pPr>
      <w:r>
        <w:rPr>
          <w:rFonts w:ascii="Times New Roman" w:cs="Times New Roman" w:eastAsia="Times New Roman" w:hAnsi="Times New Roman"/>
          <w:sz w:val="28"/>
          <w:szCs w:val="28"/>
        </w:rPr>
        <w:t xml:space="preserve">— фронтенд — Next.js 16 [15] в режиме статической генерации с базовым путём «/v2», React 19, TypeScript, TanStack Query для управления сетевыми состояниями;</w:t>
      </w:r>
    </w:p>
    <w:p>
      <w:pPr>
        <w:spacing w:after="0" w:before="0" w:line="360" w:lineRule="auto"/>
        <w:ind w:left="708" w:hanging="284"/>
        <w:jc w:val="both"/>
      </w:pPr>
      <w:r>
        <w:rPr>
          <w:rFonts w:ascii="Times New Roman" w:cs="Times New Roman" w:eastAsia="Times New Roman" w:hAnsi="Times New Roman"/>
          <w:sz w:val="28"/>
          <w:szCs w:val="28"/>
        </w:rPr>
        <w:t xml:space="preserve">— инфраструктура — nginx с TLS, развёртывание на двух виртуальных серверах с приватным каналом через WireGuard, мониторинг через Prometheus и Grafana с уведомлениями в Telegram.</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FastAPI выбран не как «самый быстрый», а как фреймворк, который из коробки решает три практических задачи: автоматическую валидацию входных данных через Pydantic-модели (что в проекте критично — пользователь передаёт даты, тикеры, числовые параметры в форме прогноза, и любая ошибка должна возвращаться сразу с понятным описанием), асинхронность и автоматическую генерацию OpenAPI-документации, которой в дальнейшем пользовались тесты. Альтернативой рассматривался Flask, от которого пришлось отказаться из-за необходимости вручную писать слой валидации и сериализации.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PostgreSQL выбран в первую очередь ради JSONB-поля result_json в таблице prediction_history: один прогноз содержит более тридцати взаимосвязанных значений (массивы дат, ценовых прогнозов, доверительных интервалов, метрик качества, технических индикаторов), и помещать каждое поле в отдельный столбец избыточно, а реляционно нормировать — неудобно для чтения «целиком».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Next.js в режиме output: «export» был выбран после отказа от классических Jinja-шаблонов на стороне FastAPI: статическая генерация позволяет отдавать HTML/JS-бандл напрямую с nginx без участия Python, что упрощает развёртывание и сокращает время отклика страниц. TanStack Query взят за поддержку фоновой синхронизации запросов и автоматическую дедупликацию параллельных вызовов одного и того же эндпоинта.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Celery с Redis в качестве брокера — стандартный для Python способ запускать отложенные задачи. В альтернативу рассматривался asyncio-only вариант (без отдельного воркера), но оказалось, что обучение TCN-модели — это CPU-bound операция длительностью 30–90 секунд, и держать её внутри основного event-loop FastAPI неприемлемо: один такой запрос блокировал бы все остальные.</w:t>
      </w:r>
    </w:p>
    <w:p>
      <w:pPr>
        <w:spacing w:after="120" w:before="240" w:line="360" w:lineRule="auto"/>
        <w:ind w:firstLine="708"/>
      </w:pPr>
      <w:r>
        <w:rPr>
          <w:rFonts w:ascii="Times New Roman" w:cs="Times New Roman" w:eastAsia="Times New Roman" w:hAnsi="Times New Roman"/>
          <w:b/>
          <w:bCs/>
          <w:sz w:val="28"/>
          <w:szCs w:val="28"/>
        </w:rPr>
        <w:t xml:space="preserve">2.2. Архитектура backend-части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Backend веб-сервиса реализован на основе фреймворка FastAPI и поддерживает асинхронное выполнение запросов. Основные функциональные модули:</w:t>
      </w:r>
    </w:p>
    <w:p>
      <w:pPr>
        <w:spacing w:after="0" w:before="0" w:line="360" w:lineRule="auto"/>
        <w:ind w:left="708" w:hanging="284"/>
        <w:jc w:val="both"/>
      </w:pPr>
      <w:r>
        <w:rPr>
          <w:rFonts w:ascii="Times New Roman" w:cs="Times New Roman" w:eastAsia="Times New Roman" w:hAnsi="Times New Roman"/>
          <w:sz w:val="28"/>
          <w:szCs w:val="28"/>
        </w:rPr>
        <w:t xml:space="preserve">— модуль API (app/main.py) — реализует HTTP-эндпоинты для регистрации и аутентификации пользователей, запуска прогноза, получения статуса задачи и истории прогнозов;</w:t>
      </w:r>
    </w:p>
    <w:p>
      <w:pPr>
        <w:spacing w:after="0" w:before="0" w:line="360" w:lineRule="auto"/>
        <w:ind w:left="708" w:hanging="284"/>
        <w:jc w:val="both"/>
      </w:pPr>
      <w:r>
        <w:rPr>
          <w:rFonts w:ascii="Times New Roman" w:cs="Times New Roman" w:eastAsia="Times New Roman" w:hAnsi="Times New Roman"/>
          <w:sz w:val="28"/>
          <w:szCs w:val="28"/>
        </w:rPr>
        <w:t xml:space="preserve">— модуль предсказания (app/prediction.py) — содержит реализацию TCN-модели, ансамблирования с CatBoost и foundation-моделями, применение sentiment-bias;</w:t>
      </w:r>
    </w:p>
    <w:p>
      <w:pPr>
        <w:spacing w:after="0" w:before="0" w:line="360" w:lineRule="auto"/>
        <w:ind w:left="708" w:hanging="284"/>
        <w:jc w:val="both"/>
      </w:pPr>
      <w:r>
        <w:rPr>
          <w:rFonts w:ascii="Times New Roman" w:cs="Times New Roman" w:eastAsia="Times New Roman" w:hAnsi="Times New Roman"/>
          <w:sz w:val="28"/>
          <w:szCs w:val="28"/>
        </w:rPr>
        <w:t xml:space="preserve">— модуль sentiment-анализа (app/sentiment.py) — выполняет сбор новостей по запрошенному тикеру и оценку их эмоциональной окраски;</w:t>
      </w:r>
    </w:p>
    <w:p>
      <w:pPr>
        <w:spacing w:after="0" w:before="0" w:line="360" w:lineRule="auto"/>
        <w:ind w:left="708" w:hanging="284"/>
        <w:jc w:val="both"/>
      </w:pPr>
      <w:r>
        <w:rPr>
          <w:rFonts w:ascii="Times New Roman" w:cs="Times New Roman" w:eastAsia="Times New Roman" w:hAnsi="Times New Roman"/>
          <w:sz w:val="28"/>
          <w:szCs w:val="28"/>
        </w:rPr>
        <w:t xml:space="preserve">— модуль фоновых задач (app/celery_worker.py) — определяет Celery-таски и запускает воркер для асинхронного выполнения долгих задач прогнозирования;</w:t>
      </w:r>
    </w:p>
    <w:p>
      <w:pPr>
        <w:spacing w:after="0" w:before="0" w:line="360" w:lineRule="auto"/>
        <w:ind w:left="708" w:hanging="284"/>
        <w:jc w:val="both"/>
      </w:pPr>
      <w:r>
        <w:rPr>
          <w:rFonts w:ascii="Times New Roman" w:cs="Times New Roman" w:eastAsia="Times New Roman" w:hAnsi="Times New Roman"/>
          <w:sz w:val="28"/>
          <w:szCs w:val="28"/>
        </w:rPr>
        <w:t xml:space="preserve">— модуль данных (app/data.py) — реализует сбор данных через Yahoo Finance API, их кеширование и предобработку.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работы с базой данных используется ORM SQLAlchemy с системой миграций на основе Alembic. Все долгие фоновые задачи (например, обучение моделей и выполнение прогнозов на больших окнах) делегируются Celery-воркерам через Redis-брокер, что позволяет HTTP-эндпоинту FastAPI быстро возвращать управление клиенту с идентификатором задачи task_id, а клиент затем опрашивает статус задачи через отдельный эндпоинт.</w:t>
      </w:r>
    </w:p>
    <w:p>
      <w:pPr>
        <w:spacing w:after="120" w:before="240" w:line="360" w:lineRule="auto"/>
        <w:ind w:firstLine="708"/>
      </w:pPr>
      <w:r>
        <w:rPr>
          <w:rFonts w:ascii="Times New Roman" w:cs="Times New Roman" w:eastAsia="Times New Roman" w:hAnsi="Times New Roman"/>
          <w:b/>
          <w:bCs/>
          <w:sz w:val="28"/>
          <w:szCs w:val="28"/>
        </w:rPr>
        <w:t xml:space="preserve">2.3. Модель данных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Основные таблицы базы данных:</w:t>
      </w:r>
    </w:p>
    <w:p>
      <w:pPr>
        <w:spacing w:after="0" w:before="0" w:line="360" w:lineRule="auto"/>
        <w:ind w:left="708" w:hanging="284"/>
        <w:jc w:val="both"/>
      </w:pPr>
      <w:r>
        <w:rPr>
          <w:rFonts w:ascii="Times New Roman" w:cs="Times New Roman" w:eastAsia="Times New Roman" w:hAnsi="Times New Roman"/>
          <w:sz w:val="28"/>
          <w:szCs w:val="28"/>
        </w:rPr>
        <w:t xml:space="preserve">— users — пользователи системы (id, username, email, hashed_password, role_id, session_token);</w:t>
      </w:r>
    </w:p>
    <w:p>
      <w:pPr>
        <w:spacing w:after="0" w:before="0" w:line="360" w:lineRule="auto"/>
        <w:ind w:left="708" w:hanging="284"/>
        <w:jc w:val="both"/>
      </w:pPr>
      <w:r>
        <w:rPr>
          <w:rFonts w:ascii="Times New Roman" w:cs="Times New Roman" w:eastAsia="Times New Roman" w:hAnsi="Times New Roman"/>
          <w:sz w:val="28"/>
          <w:szCs w:val="28"/>
        </w:rPr>
        <w:t xml:space="preserve">— roles — роли пользователей (user, admin);</w:t>
      </w:r>
    </w:p>
    <w:p>
      <w:pPr>
        <w:spacing w:after="0" w:before="0" w:line="360" w:lineRule="auto"/>
        <w:ind w:left="708" w:hanging="284"/>
        <w:jc w:val="both"/>
      </w:pPr>
      <w:r>
        <w:rPr>
          <w:rFonts w:ascii="Times New Roman" w:cs="Times New Roman" w:eastAsia="Times New Roman" w:hAnsi="Times New Roman"/>
          <w:sz w:val="28"/>
          <w:szCs w:val="28"/>
        </w:rPr>
        <w:t xml:space="preserve">— tickers — справочник финансовых инструментов (id, symbol);</w:t>
      </w:r>
    </w:p>
    <w:p>
      <w:pPr>
        <w:spacing w:after="0" w:before="0" w:line="360" w:lineRule="auto"/>
        <w:ind w:left="708" w:hanging="284"/>
        <w:jc w:val="both"/>
      </w:pPr>
      <w:r>
        <w:rPr>
          <w:rFonts w:ascii="Times New Roman" w:cs="Times New Roman" w:eastAsia="Times New Roman" w:hAnsi="Times New Roman"/>
          <w:sz w:val="28"/>
          <w:szCs w:val="28"/>
        </w:rPr>
        <w:t xml:space="preserve">— model_info — метаданные обученных моделей (id, name, parameters_json, mae, rmse);</w:t>
      </w:r>
    </w:p>
    <w:p>
      <w:pPr>
        <w:spacing w:after="0" w:before="0" w:line="360" w:lineRule="auto"/>
        <w:ind w:left="708" w:hanging="284"/>
        <w:jc w:val="both"/>
      </w:pPr>
      <w:r>
        <w:rPr>
          <w:rFonts w:ascii="Times New Roman" w:cs="Times New Roman" w:eastAsia="Times New Roman" w:hAnsi="Times New Roman"/>
          <w:sz w:val="28"/>
          <w:szCs w:val="28"/>
        </w:rPr>
        <w:t xml:space="preserve">— prediction_history — история прогнозов пользователя (id, user_id, ticker, start_date, end_date, days_ahead, model_name, mape, result_json, created_at).</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оптимизации поиска по истории прогнозов установлены индексы по полю user_id и комбинации (user_id, created_at). Для хранения подробных результатов прогноза (массивы прогнозируемых значений, доверительные интервалы, технические индикаторы) используется поле result_json типа JSONB таблицы prediction_history; это позволяет хранить структурированные результаты в одном поле без излишнего раздувания схемы.</w:t>
      </w:r>
    </w:p>
    <w:p>
      <w:pPr>
        <w:spacing w:after="120" w:before="240" w:line="360" w:lineRule="auto"/>
        <w:ind w:firstLine="708"/>
      </w:pPr>
      <w:r>
        <w:rPr>
          <w:rFonts w:ascii="Times New Roman" w:cs="Times New Roman" w:eastAsia="Times New Roman" w:hAnsi="Times New Roman"/>
          <w:b/>
          <w:bCs/>
          <w:sz w:val="28"/>
          <w:szCs w:val="28"/>
        </w:rPr>
        <w:t xml:space="preserve">2.4. Архитектура frontend-части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Клиентская часть проекта реализована как одностраничное приложение на Next.js 16 в режиме статической генерации (output: «export»). Этот режим был выбран целенаправленно: при нём результатом сборки является обычный набор HTML-, JS- и CSS-файлов, который можно отдавать с любого статического веб-сервера (в данном случае nginx) без необходимости держать рядом Node.js-процесс. Это упрощает развёртывание и снижает поверхность атаки. Базовый путь «/v2» задаётся через basePath в файле next.config.ts; такой префикс введён, чтобы в будущем можно было сосуществовать со старой Jinja-версией интерфейса по тем же доменным именам.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Реализованный набор страниц:</w:t>
      </w:r>
    </w:p>
    <w:p>
      <w:pPr>
        <w:spacing w:after="0" w:before="0" w:line="360" w:lineRule="auto"/>
        <w:ind w:left="708" w:hanging="284"/>
        <w:jc w:val="both"/>
      </w:pPr>
      <w:r>
        <w:rPr>
          <w:rFonts w:ascii="Times New Roman" w:cs="Times New Roman" w:eastAsia="Times New Roman" w:hAnsi="Times New Roman"/>
          <w:sz w:val="28"/>
          <w:szCs w:val="28"/>
        </w:rPr>
        <w:t xml:space="preserve">— /v2/ — главная с кратким описанием сервиса и навигацией;</w:t>
      </w:r>
    </w:p>
    <w:p>
      <w:pPr>
        <w:spacing w:after="0" w:before="0" w:line="360" w:lineRule="auto"/>
        <w:ind w:left="708" w:hanging="284"/>
        <w:jc w:val="both"/>
      </w:pPr>
      <w:r>
        <w:rPr>
          <w:rFonts w:ascii="Times New Roman" w:cs="Times New Roman" w:eastAsia="Times New Roman" w:hAnsi="Times New Roman"/>
          <w:sz w:val="28"/>
          <w:szCs w:val="28"/>
        </w:rPr>
        <w:t xml:space="preserve">— /v2/login/ и /v2/register/ — формы входа и регистрации;</w:t>
      </w:r>
    </w:p>
    <w:p>
      <w:pPr>
        <w:spacing w:after="0" w:before="0" w:line="360" w:lineRule="auto"/>
        <w:ind w:left="708" w:hanging="284"/>
        <w:jc w:val="both"/>
      </w:pPr>
      <w:r>
        <w:rPr>
          <w:rFonts w:ascii="Times New Roman" w:cs="Times New Roman" w:eastAsia="Times New Roman" w:hAnsi="Times New Roman"/>
          <w:sz w:val="28"/>
          <w:szCs w:val="28"/>
        </w:rPr>
        <w:t xml:space="preserve">— /v2/dashboard/ — личный кабинет с историей прогнозов пользователя;</w:t>
      </w:r>
    </w:p>
    <w:p>
      <w:pPr>
        <w:spacing w:after="0" w:before="0" w:line="360" w:lineRule="auto"/>
        <w:ind w:left="708" w:hanging="284"/>
        <w:jc w:val="both"/>
      </w:pPr>
      <w:r>
        <w:rPr>
          <w:rFonts w:ascii="Times New Roman" w:cs="Times New Roman" w:eastAsia="Times New Roman" w:hAnsi="Times New Roman"/>
          <w:sz w:val="28"/>
          <w:szCs w:val="28"/>
        </w:rPr>
        <w:t xml:space="preserve">— /v2/predict/ — форма запуска нового прогноза (тикер, диапазон дат, горизонт, флаг foundation-моделей);</w:t>
      </w:r>
    </w:p>
    <w:p>
      <w:pPr>
        <w:spacing w:after="0" w:before="0" w:line="360" w:lineRule="auto"/>
        <w:ind w:left="708" w:hanging="284"/>
        <w:jc w:val="both"/>
      </w:pPr>
      <w:r>
        <w:rPr>
          <w:rFonts w:ascii="Times New Roman" w:cs="Times New Roman" w:eastAsia="Times New Roman" w:hAnsi="Times New Roman"/>
          <w:sz w:val="28"/>
          <w:szCs w:val="28"/>
        </w:rPr>
        <w:t xml:space="preserve">— /v2/predict/waiting/?task_id=X — страница ожидания результата, с автоматическим опросом сервера каждые 2 секунды до получения статуса SUCCESS или FAILURE.</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Сетевая работа на стороне клиента организована через библиотеку TanStack Query, которая берёт на себя кеширование ответов в памяти, дедупликацию параллельных запросов на один и тот же эндпоинт и фоновую регулярную синхронизацию (например, в дашборде история прогнозов автоматически обновляется каждые 30 секунд без перезагрузки страницы). Для типовых запросов созданы специальные React-хуки (useForecast, useTaskStatus, useHistory) — они инкапсулируют логику обращения к API и ставят перед компонентами UI типизированный интерфейс данных.</w:t>
      </w:r>
    </w:p>
    <w:p>
      <w:pPr>
        <w:spacing w:after="120" w:before="240" w:line="360" w:lineRule="auto"/>
        <w:ind w:firstLine="708"/>
      </w:pPr>
      <w:r>
        <w:rPr>
          <w:rFonts w:ascii="Times New Roman" w:cs="Times New Roman" w:eastAsia="Times New Roman" w:hAnsi="Times New Roman"/>
          <w:b/>
          <w:bCs/>
          <w:sz w:val="28"/>
          <w:szCs w:val="28"/>
        </w:rPr>
        <w:t xml:space="preserve">2.5. Аутентификация и безопасность</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Аутентификация в проекте устроена классически — логин с паролем плюс серверная сессия в cookie. Пароли хешируются через Argon2id (использовалась библиотека argon2-cffi) со следующими параметрами: memory_cost = 65 536 (то есть 64 МБ памяти на одну проверку), time_cost = 3, parallelism = 4. Эти значения взяты по актуальной на момент работы рекомендации OWASP; на моём сервере они дают примерно 100–300 миллисекунд на проверку — это уже достаточно медленно, чтобы перебор стал невыгодным, и при этом пользователь не замечает задержки при штатном входе.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Реализовано две дополнительных меры, не связанных напрямую с алгоритмом хеширования. Первое — при каждом успешном входе сервер вызывает needs_rehash() и при положительном ответе пересчитывает хеш под текущие параметры; так удалось добавить поддержку Argon2id поверх существовавшей в репозитории SHA-256-схемы без принудительного сброса паролей всем пользователям. Второе — если пользователь с указанным логином не найден, сервер всё равно вызывает verify_password() с заведомо несуществующим хешом-«заглушкой»; это уравнивает время ответа в обоих случаях и не позволяет атакующему по разнице времени различить «такого пользователя нет» от «пароль неверный».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Сессионный cookie выставляется с HttpOnly (чтобы JavaScript на странице не мог его прочитать в случае XSS-уязвимости в каком-либо из компонентов фронтенда), SameSite=Lax (типичная защита от CSRF, при которой cookie не отправляется в запросах с других доменов, инициированных пользователем) и Secure в production-конфигурации (cookie передаётся только по HTTPS). Срок жизни сессии — 30 дней; при выходе из системы сервер инвалидирует токен в базе, чтобы перехваченный cookie нельзя было использовать повторно.</w:t>
      </w:r>
    </w:p>
    <w:p>
      <w:pPr>
        <w:spacing w:after="120" w:before="240" w:line="360" w:lineRule="auto"/>
        <w:ind w:firstLine="708"/>
      </w:pPr>
      <w:r>
        <w:rPr>
          <w:rFonts w:ascii="Times New Roman" w:cs="Times New Roman" w:eastAsia="Times New Roman" w:hAnsi="Times New Roman"/>
          <w:b/>
          <w:bCs/>
          <w:sz w:val="28"/>
          <w:szCs w:val="28"/>
        </w:rPr>
        <w:t xml:space="preserve">2.6. Развёртывание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Веб-сервис развёрнут по двухсерверной топологии:</w:t>
      </w:r>
    </w:p>
    <w:p>
      <w:pPr>
        <w:spacing w:after="0" w:before="0" w:line="360" w:lineRule="auto"/>
        <w:ind w:left="708" w:hanging="284"/>
        <w:jc w:val="both"/>
      </w:pPr>
      <w:r>
        <w:rPr>
          <w:rFonts w:ascii="Times New Roman" w:cs="Times New Roman" w:eastAsia="Times New Roman" w:hAnsi="Times New Roman"/>
          <w:sz w:val="28"/>
          <w:szCs w:val="28"/>
        </w:rPr>
        <w:t xml:space="preserve">— основной сервер (Хельсинки): обрабатывает все пользовательские запросы, содержит nginx с TLS, FastAPI на порту 8000, Celery-воркеры, Redis в качестве брокера и кеша, основную базу данных PostgreSQL;</w:t>
      </w:r>
    </w:p>
    <w:p>
      <w:pPr>
        <w:spacing w:after="0" w:before="0" w:line="360" w:lineRule="auto"/>
        <w:ind w:left="708" w:hanging="284"/>
        <w:jc w:val="both"/>
      </w:pPr>
      <w:r>
        <w:rPr>
          <w:rFonts w:ascii="Times New Roman" w:cs="Times New Roman" w:eastAsia="Times New Roman" w:hAnsi="Times New Roman"/>
          <w:sz w:val="28"/>
          <w:szCs w:val="28"/>
        </w:rPr>
        <w:t xml:space="preserve">— вспомогательный сервер (Токио): обрабатывает высокочастотный слайс данных (опциональное расширение, не входящее в основную область курсовой работы).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Связь между серверами обеспечивается через VPN-туннель WireGuard. Все долгие фоновые задачи (обучение моделей, выполнение прогнозов на длинных горизонтах) делегируются Celery-воркерам, что позволяет HTTP-эндпоинту быстро возвращать управление клиенту. Клиент получает идентификатор задачи task_id и далее опрашивает её статус через отдельный эндпоинт /api/task/{task_id}, что обеспечивает отзывчивость пользовательского интерфейса даже при длительных вычислениях.</w:t>
      </w:r>
    </w:p>
    <w:p>
      <w:pPr>
        <w:pageBreakBefore/>
        <w:spacing w:after="240" w:before="0" w:line="360" w:lineRule="auto"/>
        <w:jc w:val="center"/>
      </w:pPr>
      <w:r>
        <w:rPr>
          <w:rFonts w:ascii="Times New Roman" w:cs="Times New Roman" w:eastAsia="Times New Roman" w:hAnsi="Times New Roman"/>
          <w:b/>
          <w:bCs/>
          <w:caps/>
          <w:sz w:val="28"/>
          <w:szCs w:val="28"/>
        </w:rPr>
        <w:t xml:space="preserve">Глава 3. Реализация и эксперименты</w:t>
      </w:r>
    </w:p>
    <w:p>
      <w:pPr>
        <w:spacing w:after="120" w:before="240" w:line="360" w:lineRule="auto"/>
        <w:ind w:firstLine="708"/>
      </w:pPr>
      <w:r>
        <w:rPr>
          <w:rFonts w:ascii="Times New Roman" w:cs="Times New Roman" w:eastAsia="Times New Roman" w:hAnsi="Times New Roman"/>
          <w:b/>
          <w:bCs/>
          <w:sz w:val="28"/>
          <w:szCs w:val="28"/>
        </w:rPr>
        <w:t xml:space="preserve">3.1. Сбор и предобработка данных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Сбор исторических данных выполняется через библиотеку yfinance, обёртывающую публичный API Yahoo Finance [13]. Поддерживаются произвольные тикеры в формате Yahoo Finance: например, GC=F (фьючерс на золото), SI=F (фьючерс на серебро), CL=F (фьючерс на нефть), BTC-USD (биткоин в долларах США), AAPL (акции Apple Inc.) и другие активы.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каждого тикера загружаются дневные OHLCV-свечи (Open, High, Low, Close, Volume) за указанный период. Предобработка данных включает следующие этапы:</w:t>
      </w:r>
    </w:p>
    <w:p>
      <w:pPr>
        <w:spacing w:after="0" w:before="0" w:line="360" w:lineRule="auto"/>
        <w:ind w:left="708" w:hanging="284"/>
        <w:jc w:val="both"/>
      </w:pPr>
      <w:r>
        <w:rPr>
          <w:rFonts w:ascii="Times New Roman" w:cs="Times New Roman" w:eastAsia="Times New Roman" w:hAnsi="Times New Roman"/>
          <w:sz w:val="28"/>
          <w:szCs w:val="28"/>
        </w:rPr>
        <w:t xml:space="preserve">— заполнение пропусков методом forward-fill (для нерабочих дней биржи);</w:t>
      </w:r>
    </w:p>
    <w:p>
      <w:pPr>
        <w:spacing w:after="0" w:before="0" w:line="360" w:lineRule="auto"/>
        <w:ind w:left="708" w:hanging="284"/>
        <w:jc w:val="both"/>
      </w:pPr>
      <w:r>
        <w:rPr>
          <w:rFonts w:ascii="Times New Roman" w:cs="Times New Roman" w:eastAsia="Times New Roman" w:hAnsi="Times New Roman"/>
          <w:sz w:val="28"/>
          <w:szCs w:val="28"/>
        </w:rPr>
        <w:t xml:space="preserve">— нормализацию признаков с помощью MinMaxScaler в диапазон [0, 1] для последующей подачи в нейронную сеть;</w:t>
      </w:r>
    </w:p>
    <w:p>
      <w:pPr>
        <w:spacing w:after="0" w:before="0" w:line="360" w:lineRule="auto"/>
        <w:ind w:left="708" w:hanging="284"/>
        <w:jc w:val="both"/>
      </w:pPr>
      <w:r>
        <w:rPr>
          <w:rFonts w:ascii="Times New Roman" w:cs="Times New Roman" w:eastAsia="Times New Roman" w:hAnsi="Times New Roman"/>
          <w:sz w:val="28"/>
          <w:szCs w:val="28"/>
        </w:rPr>
        <w:t xml:space="preserve">— расчёт технических индикаторов: RSI (Relative Strength Index, 14-периодный), MACD (Moving Average Convergence Divergence), Bollinger Bands (полосы Боллинджера), ATR (Average True Range);</w:t>
      </w:r>
    </w:p>
    <w:p>
      <w:pPr>
        <w:spacing w:after="0" w:before="0" w:line="360" w:lineRule="auto"/>
        <w:ind w:left="708" w:hanging="284"/>
        <w:jc w:val="both"/>
      </w:pPr>
      <w:r>
        <w:rPr>
          <w:rFonts w:ascii="Times New Roman" w:cs="Times New Roman" w:eastAsia="Times New Roman" w:hAnsi="Times New Roman"/>
          <w:sz w:val="28"/>
          <w:szCs w:val="28"/>
        </w:rPr>
        <w:t xml:space="preserve">— формирование признаков-лагов и скользящих статистик для модели градиентного бустинга;</w:t>
      </w:r>
    </w:p>
    <w:p>
      <w:pPr>
        <w:spacing w:after="0" w:before="0" w:line="360" w:lineRule="auto"/>
        <w:ind w:left="708" w:hanging="284"/>
        <w:jc w:val="both"/>
      </w:pPr>
      <w:r>
        <w:rPr>
          <w:rFonts w:ascii="Times New Roman" w:cs="Times New Roman" w:eastAsia="Times New Roman" w:hAnsi="Times New Roman"/>
          <w:sz w:val="28"/>
          <w:szCs w:val="28"/>
        </w:rPr>
        <w:t xml:space="preserve">— разбиение на обучающую и валидационную выборки с учётом временной природы данных (без перемешивания).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Длина окна (sequence length) для TCN-модели составляет SEQ_LEN = 60 торговых дней, что соответствует приблизительно трём календарным месяцам. Этот параметр выбран эмпирически: на меньших окнах модель не успевает уловить среднесрочные паттерны, на больших — теряет чувствительность к недавним изменениям и страдает от переобучения.</w:t>
      </w:r>
    </w:p>
    <w:p>
      <w:pPr>
        <w:spacing w:after="120" w:before="240" w:line="360" w:lineRule="auto"/>
        <w:ind w:firstLine="708"/>
      </w:pPr>
      <w:r>
        <w:rPr>
          <w:rFonts w:ascii="Times New Roman" w:cs="Times New Roman" w:eastAsia="Times New Roman" w:hAnsi="Times New Roman"/>
          <w:b/>
          <w:bCs/>
          <w:sz w:val="28"/>
          <w:szCs w:val="28"/>
        </w:rPr>
        <w:t xml:space="preserve">3.2. Реализация TCN-модели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TCN-модель реализована на TensorFlow/Keras в модуле app/prediction.py. Архитектура состоит из последовательно соединённых элементов:</w:t>
      </w:r>
    </w:p>
    <w:p>
      <w:pPr>
        <w:spacing w:after="0" w:before="0" w:line="360" w:lineRule="auto"/>
        <w:ind w:left="708" w:hanging="284"/>
        <w:jc w:val="both"/>
      </w:pPr>
      <w:r>
        <w:rPr>
          <w:rFonts w:ascii="Times New Roman" w:cs="Times New Roman" w:eastAsia="Times New Roman" w:hAnsi="Times New Roman"/>
          <w:sz w:val="28"/>
          <w:szCs w:val="28"/>
        </w:rPr>
        <w:t xml:space="preserve">— входной слой формы (SEQ_LEN, n_features), где SEQ_LEN = 60, а n_features равно числу признаков после предобработки и для текущего набора признаков составляет 14 (OHLCV даёт 5 признаков, RSI/MACD/ATR — ещё 4, плюс полосы Боллинджера и пять лагов цены закрытия);</w:t>
      </w:r>
    </w:p>
    <w:p>
      <w:pPr>
        <w:spacing w:after="0" w:before="0" w:line="360" w:lineRule="auto"/>
        <w:ind w:left="708" w:hanging="284"/>
        <w:jc w:val="both"/>
      </w:pPr>
      <w:r>
        <w:rPr>
          <w:rFonts w:ascii="Times New Roman" w:cs="Times New Roman" w:eastAsia="Times New Roman" w:hAnsi="Times New Roman"/>
          <w:sz w:val="28"/>
          <w:szCs w:val="28"/>
        </w:rPr>
        <w:t xml:space="preserve">— четыре блока TCN с dilation rates 1, 2, 4, 8 — каждый блок состоит из двух причинных свёрток с ядром размера 3, нормализации, ReLU-активации и residual-связи, проходящей мимо нелинейности;</w:t>
      </w:r>
    </w:p>
    <w:p>
      <w:pPr>
        <w:spacing w:after="0" w:before="0" w:line="360" w:lineRule="auto"/>
        <w:ind w:left="708" w:hanging="284"/>
        <w:jc w:val="both"/>
      </w:pPr>
      <w:r>
        <w:rPr>
          <w:rFonts w:ascii="Times New Roman" w:cs="Times New Roman" w:eastAsia="Times New Roman" w:hAnsi="Times New Roman"/>
          <w:sz w:val="28"/>
          <w:szCs w:val="28"/>
        </w:rPr>
        <w:t xml:space="preserve">— Dropout с p = 0.2 после каждого блока — значение 0.2 выбрано после серии экспериментов; при p = 0.1 модель переобучалась на коротких рядах биткоина (валидационный MAPE рос на 2-й–3-й эпохе обучения), а при p = 0.3 недообучалась на стабильных рядах золота (валидационный MAPE не падал ниже 1.4 % за все эпохи);</w:t>
      </w:r>
    </w:p>
    <w:p>
      <w:pPr>
        <w:spacing w:after="0" w:before="0" w:line="360" w:lineRule="auto"/>
        <w:ind w:left="708" w:hanging="284"/>
        <w:jc w:val="both"/>
      </w:pPr>
      <w:r>
        <w:rPr>
          <w:rFonts w:ascii="Times New Roman" w:cs="Times New Roman" w:eastAsia="Times New Roman" w:hAnsi="Times New Roman"/>
          <w:sz w:val="28"/>
          <w:szCs w:val="28"/>
        </w:rPr>
        <w:t xml:space="preserve">— финальный полносвязный слой с одним выходным нейроном — регрессия цены на h дней вперёд.</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Целевая переменная y_{t+h} прогнозируется по окну признаков [x_{t − SEQ_LEN + 1}, …, x_t]. Параметр h задаётся пользователем в форме прогноза и варьируется от 1 до 30 дней; при h = 0 расчёт ограничивается только бэктестом по исторической части без прогноза вперёд.</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Функция потерь — Huber loss с δ = 1.0. Этот выбор обусловлен тем, что финансовые ряды содержат значимые выбросы (большие однодневные движения), на которых обычная MSE-loss даёт квадратичный вклад в градиент и приводит к смещению модели в сторону «подгонки под выбросы». Huber переключается с квадратичной функции на линейную при отклонении больше δ = 1, что делает обучение устойчивее.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Оптимизатор — Adam с начальной learning rate 1e-3 и косинусным затуханием до 1e-5 за 100 эпох. Применяется ранняя остановка по валидационной потере с patience = 10 эпох, что в среднем приводит к фактическому числу эпох обучения 30–50 (точное значение зависит от тикера). Размер батча — 64.</w:t>
      </w:r>
    </w:p>
    <w:p>
      <w:pPr>
        <w:spacing w:after="120" w:before="240" w:line="360" w:lineRule="auto"/>
        <w:ind w:firstLine="708"/>
      </w:pPr>
      <w:r>
        <w:rPr>
          <w:rFonts w:ascii="Times New Roman" w:cs="Times New Roman" w:eastAsia="Times New Roman" w:hAnsi="Times New Roman"/>
          <w:b/>
          <w:bCs/>
          <w:sz w:val="28"/>
          <w:szCs w:val="28"/>
        </w:rPr>
        <w:t xml:space="preserve">3.3. Ансамблирование разнородных моделей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Финальный прогноз ŷ_ensemble получается как взвешенная сумма выходов трёх моделей: TCN (вес 0.5), CatBoost (вес 0.3), foundation-модель (вес 0.2). Если флаг use_foundation в запросе пользователя выключен, ансамбль состоит только из двух компонентов с весами 0.65 и 0.35 соответственно.</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Формальная постановка задачи подбора весов. </w:t>
      </w:r>
      <w:r>
        <w:rPr>
          <w:rFonts w:ascii="Times New Roman" w:cs="Times New Roman" w:eastAsia="Times New Roman" w:hAnsi="Times New Roman"/>
          <w:b w:val="false"/>
          <w:bCs w:val="false"/>
          <w:i w:val="false"/>
          <w:iCs w:val="false"/>
          <w:sz w:val="28"/>
          <w:szCs w:val="28"/>
        </w:rPr>
        <w:t xml:space="preserve">Пусть на калибровочной выборке размера n получены матрица предсказаний компонент F ∈ ℝⁿˣᴹ (где F_{i,j} = fⱼ(xᵢ) — прогноз j-й модели на i-м объекте) и вектор фактических значений y ∈ ℝⁿ. Оптимальный вектор весов w ∈ ℝᴹ определяется как решение задачи оптимизации с ограничениями:</w:t>
      </w:r>
    </w:p>
    <w:p>
      <w:pPr>
        <w:spacing w:after="60" w:before="60" w:line="360" w:lineRule="auto"/>
        <w:jc w:val="center"/>
      </w:pPr>
      <w:r>
        <w:rPr>
          <w:rFonts w:ascii="Times New Roman" w:cs="Times New Roman" w:eastAsia="Times New Roman" w:hAnsi="Times New Roman"/>
          <w:i/>
          <w:iCs/>
          <w:sz w:val="28"/>
          <w:szCs w:val="28"/>
        </w:rPr>
        <w:t xml:space="preserve">minimize ||y − Fw||² при ограничениях w ⪰ 0 и Σⱼ wⱼ = 1.</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Это задача неотрицательного метода наименьших квадратов (Non-Negative Least Squares, NNLS) с дополнительным simplex-ограничением. Условие неотрицательности w ⪰ 0 интерпретируется как требование, чтобы каждая модель вносила в ансамбль положительный вклад (отрицательные веса означали бы инвертирование прогноза модели, что противоречит её обучению как «прогноза вверх»). Условие Σwⱼ = 1 нормализует ансамбль так, чтобы он был выпуклой комбинацией компонент.</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Решение строится итеративно с использованием алгоритма Лоусона-Хансона (1974). Полученный набор весов является глобальным оптимумом задачи, поскольку целевая функция выпуклая, а допустимое множество — компактный многогранник. На практике веса подбирались сеточным поиском по двумерной решётке (шаг 0.05) на отдельной валидационной части истории по тикеру GC=F с целевой метрикой MAPE; найденная пара w_tcn ∈ [0.45, 0.55], w_cb ∈ [0.25, 0.35] оказалась оптимальной для всех пяти тикеров из Таблицы 3.1 в пределах статистической погрешности, поэтому веса не подбираются индивидуально для каждого актива.</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Эмпирическое обоснование диверсификации. </w:t>
      </w:r>
      <w:r>
        <w:rPr>
          <w:rFonts w:ascii="Times New Roman" w:cs="Times New Roman" w:eastAsia="Times New Roman" w:hAnsi="Times New Roman"/>
          <w:b w:val="false"/>
          <w:bCs w:val="false"/>
          <w:i w:val="false"/>
          <w:iCs w:val="false"/>
          <w:sz w:val="28"/>
          <w:szCs w:val="28"/>
        </w:rPr>
        <w:t xml:space="preserve">Согласно теореме Крога-Ведельсби (см. §1.5), эффективность ансамбля определяется балансом точности отдельных компонент и их «амбигуитетности» — расхождения между предсказаниями. Численная оценка этой амбигуитетности — коэффициент корреляции Пирсона между ошибками компонент: ρ(e_TCN, e_CB) = Cov(e_TCN, e_CB) / √(Var(e_TCN)·Var(e_CB)), где eⱼ = y − fⱼ(x). Низкая корреляция эквивалентна высокой амбигуитетности и оправдывает ансамблирование. На out-of-sample предсказаниях GC=F измеренный коэффициент Пирсона ρ(e_TCN, e_CB) = 0.34, что подтверждает достаточную независимость ошибок: в области малой коррелированности комбинирование снижает дисперсию итогового прогноза приблизительно на множитель (1 + ρ) / 2 ≈ 0.67, что соответствует снижению RMSE на 18 % при равных весах двух моделей.</w:t>
      </w:r>
    </w:p>
    <w:p>
      <w:pPr>
        <w:spacing w:after="120" w:before="240" w:line="360" w:lineRule="auto"/>
        <w:ind w:firstLine="708"/>
      </w:pPr>
      <w:r>
        <w:rPr>
          <w:rFonts w:ascii="Times New Roman" w:cs="Times New Roman" w:eastAsia="Times New Roman" w:hAnsi="Times New Roman"/>
          <w:b/>
          <w:bCs/>
          <w:sz w:val="28"/>
          <w:szCs w:val="28"/>
        </w:rPr>
        <w:t xml:space="preserve">3.4. Sentiment-bias correction</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Sentiment-анализ применяется к новостным заголовкам, связанным с прогнозируемым тикером. Источник новостей — публичный API Yahoo News, метод оценки тональности — pretrained-модель FinBERT [12], специализированная на финансовом контексте. Для каждого новостного заголовка вычисляется sentiment-score s ∈ [−1, +1], где отрицательные значения соответствуют негативной тональности, положительные — позитивной.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Усреднённое значение s_avg по всем последним новостям используется для корректировки итогового прогноза по следующей формуле:</w:t>
      </w:r>
    </w:p>
    <w:p>
      <w:pPr>
        <w:spacing w:after="60" w:before="60" w:line="360" w:lineRule="auto"/>
        <w:jc w:val="center"/>
      </w:pPr>
      <w:r>
        <w:rPr>
          <w:rFonts w:ascii="Times New Roman" w:cs="Times New Roman" w:eastAsia="Times New Roman" w:hAnsi="Times New Roman"/>
          <w:i/>
          <w:iCs/>
          <w:sz w:val="28"/>
          <w:szCs w:val="28"/>
        </w:rPr>
        <w:t xml:space="preserve">ŷ_corrected = ŷ_ensemble · (1 + α · s_avg · min(1, n / N_full))</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где α — коэффициент чувствительности (в реализации α = 0.005), n — фактическое число новостей за рассматриваемый период, N_full — порог насыщения (в реализации N_full = 50). Множитель min(1, n / N_full) обеспечивает плавное «включение» поправки при росте количества новостей и предотвращает переоценку sentiment-сигнала на скудных данных, когда новостной фон может быть нерепрезентативен.</w:t>
      </w:r>
    </w:p>
    <w:p>
      <w:pPr>
        <w:spacing w:after="120" w:before="240" w:line="360" w:lineRule="auto"/>
        <w:ind w:firstLine="708"/>
      </w:pPr>
      <w:r>
        <w:rPr>
          <w:rFonts w:ascii="Times New Roman" w:cs="Times New Roman" w:eastAsia="Times New Roman" w:hAnsi="Times New Roman"/>
          <w:b/>
          <w:bCs/>
          <w:sz w:val="28"/>
          <w:szCs w:val="28"/>
        </w:rPr>
        <w:t xml:space="preserve">3.5. Walk-forward валидация и калибровка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Стандартная кросс-валидация с перемешиванием для финансовых рядов неприменима — она допускает «утечку из будущего», при которой признаки, рассчитанные на более поздней дате, попадают в обучающую выборку для прогноза на более ранний момент времени. В проекте реализована схема walk-forward: на каждой итерации модель обучается на интервале [t₀, t₁], затем выдаёт прогноз на [t₁ + 1, t₁ + h], после чего обучающая граница t₁ сдвигается на h дней вперёд и цикл повторяется. Параметры схемы в реализации проекта: t₀ — начало доступной истории по тикеру (как правило, 1500 торговых дней назад), t₁ — момент за h дней до текущей даты, h = 30 дней (горизонт прогноза по умолчанию).</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предотвращения утечки между соседними фолдами введён embargo в один день: последний день обучающего интервала не используется ни для расчёта признаков, ни для целевой переменной соседнего тестового интервала. Эта мера небольшая по объёму отброшенных данных (1 день из 1500), но надёжно избавляет от ситуации, когда скользящая средняя за 30 дней, рассчитанная на t₁, частично пересекается с тестовым окном.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Все out-of-sample предсказания (для всех фолдов) собираются в единую выборку, которая используется одновременно для оценки итогового качества модели и для обучения пост-калибратора (см. §1.4). Такой двойной приём — без отдельного «сложения» части истории под калибровку — обоснован тем, что walk-forward автоматически даёт честную «незаражённую» выборку, на которой модель ещё не обучалась.</w:t>
      </w:r>
    </w:p>
    <w:p>
      <w:pPr>
        <w:spacing w:after="120" w:before="240" w:line="360" w:lineRule="auto"/>
        <w:ind w:firstLine="708"/>
      </w:pPr>
      <w:r>
        <w:rPr>
          <w:rFonts w:ascii="Times New Roman" w:cs="Times New Roman" w:eastAsia="Times New Roman" w:hAnsi="Times New Roman"/>
          <w:b/>
          <w:bCs/>
          <w:sz w:val="28"/>
          <w:szCs w:val="28"/>
        </w:rPr>
        <w:t xml:space="preserve">3.6. Эксперименты на различных активах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Эксперименты проведены на пяти финансовых инструментах различных классов: GC=F (фьючерс на золото — целевой актив темы работы), SLV (биржевой фонд iShares Silver Trust на серебро), USO (биржевой фонд United States Oil Fund на нефть), BTC-USD (биткоин), AAPL (акции Apple Inc.). Биржевые фонды SLV и USO выбраны вместо соответствующих фьючерсов SI=F и CL=F: фьючерсные ряды на интервале более полутора лет содержат структурные пропуски (в момент перехода между контрактами), а ETF-обёртки таких пропусков не имеют и обеспечивают непрерывную дневную историю достаточной длины.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Параметры эксперимента: окно обучения 1500 торговых дней (приблизительно шесть лет, период с 31 марта 2022 года по 9 мая 2026 года), горизонт прогноза 30 дней, walk-forward валидация с шагом 30 дней. Эксперименты прогнаны автоматически через утилиту tools/run_real_experiments.py, результаты сохранены в файл docs/coursework/experiments/real_experiments.json для воспроизводимости. Сводная таблица — Таблица 3.1.</w:t>
      </w:r>
    </w:p>
    <w:p>
      <w:pPr>
        <w:spacing w:after="80" w:before="240" w:line="360" w:lineRule="auto"/>
      </w:pPr>
      <w:r>
        <w:rPr>
          <w:rFonts w:ascii="Times New Roman" w:cs="Times New Roman" w:eastAsia="Times New Roman" w:hAnsi="Times New Roman"/>
          <w:sz w:val="28"/>
          <w:szCs w:val="28"/>
        </w:rPr>
        <w:t xml:space="preserve">Таблица 3.1 — Точность прогнозов ансамбля моделей по различным активам</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312"/>
        <w:gridCol w:w="1640"/>
        <w:gridCol w:w="1203"/>
        <w:gridCol w:w="1372"/>
        <w:gridCol w:w="1203"/>
        <w:gridCol w:w="1203"/>
        <w:gridCol w:w="1422"/>
      </w:tblGrid>
      <w:tr>
        <w:trPr>
          <w:tblHeader/>
        </w:trP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Тикер</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Актив</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MAE</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RMSE</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MAPE, %</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R²</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Dir. acc, %</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GC=F</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Золото</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55.82</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86.20</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1.25</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0.9760</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59.9</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SLV</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Серебро (ETF)</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1.80</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3.23</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2.78</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0.9642</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59.9</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USO</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Нефть (ETF)</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1.94</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3.15</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2.00</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0.9815</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55.3</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BTC-USD</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Биткоин</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1510.97</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2076.67</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1.69</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0.9872</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48.5</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AAPL</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Apple</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2.72</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3.75</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1.07</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0.9569</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51.8</w:t>
            </w:r>
          </w:p>
        </w:tc>
      </w:tr>
    </w:tbl>
    <w:p>
      <w:pPr>
        <w:spacing w:before="120"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Из приведённых результатов следует ряд содержательных выводов. Во-первых, наименьшая относительная ошибка по метрике MAPE среди активов на дневных свечах достигается на акциях AAPL (1.07 %) и фьючерсе на золото GC=F (1.25 %); это согласуется с известным эмпирическим фактом, что более регулируемые рынки (акции крупных компаний и драгоценные металлы) дают более предсказуемое ценовое поведение по сравнению с биржевыми фондами на сырьё или криптовалютой. Во-вторых, на четырёх из пяти активов directional accuracy превышает базовую ставку 0.5, причём на целевом активе темы (золото) и на ETF серебра она достигает 59.9 %, что является существенным эмпирическим преимуществом. Только биткоин показывает directional accuracy 48.5 %, что оказывается ниже коинфлипа — для криптовалюты с её специфической режимной структурой ансамбль на данном горизонте оказывается недостаточно настроенным.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Коэффициент детерминации R² во всех случаях превышает 0.95, что свидетельствует о высоком качестве именно регрессионной составляющей прогноза (то есть модель хорошо предсказывает абсолютное значение цены). Это согласуется с типовой ситуацией в задачах прогнозирования финансовых временных рядов: высокий R² ещё не означает автоматически высокий directional accuracy, поскольку при прогнозировании на 30 дней вперёд значительная часть «правильности» точечного прогноза обеспечивается медленным трендом, на котором ансамбль обучается, и который не имеет отношения к ловле направления каждой отдельной свечи.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Различие в качестве прогнозов между активами объясняется их структурными особенностями. Биткоин (BTC-USD) даёт максимальные абсолютные значения MAE и RMSE — что естественно, учитывая что цена биткоина в долларах на порядки выше цены остальных тестовых активов; в относительных метриках (MAPE 1.69 %) он сравним с другими сырьевыми активами. Биржевой фонд на серебро (SLV) показывает наибольший MAPE (2.78 %) среди дневных активов, что отражает большую относительную волатильность серебра по сравнению с золотом. Акции Apple (AAPL) дают одно из лучших абсолютных качеств (R² = 0.957) при высоких альтернативных метриках — характерное поведение качественной голубой фишки с устойчивым информационным фоном.</w:t>
      </w:r>
    </w:p>
    <w:p>
      <w:pPr>
        <w:spacing w:after="120" w:before="240" w:line="360" w:lineRule="auto"/>
        <w:ind w:firstLine="708"/>
      </w:pPr>
      <w:r>
        <w:rPr>
          <w:rFonts w:ascii="Times New Roman" w:cs="Times New Roman" w:eastAsia="Times New Roman" w:hAnsi="Times New Roman"/>
          <w:b/>
          <w:bCs/>
          <w:sz w:val="28"/>
          <w:szCs w:val="28"/>
        </w:rPr>
        <w:t xml:space="preserve">3.7. Интеграция в веб-сервис</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Пользовательский сценарий запуска прогноза реализован следующим образом:</w:t>
      </w:r>
    </w:p>
    <w:p>
      <w:pPr>
        <w:spacing w:after="0" w:before="0" w:line="360" w:lineRule="auto"/>
        <w:ind w:left="708" w:hanging="360"/>
        <w:jc w:val="both"/>
      </w:pPr>
      <w:r>
        <w:rPr>
          <w:rFonts w:ascii="Times New Roman" w:cs="Times New Roman" w:eastAsia="Times New Roman" w:hAnsi="Times New Roman"/>
          <w:sz w:val="28"/>
          <w:szCs w:val="28"/>
        </w:rPr>
        <w:t xml:space="preserve">1. Пользователь авторизуется через форму /v2/login/, передавая логин и пароль; при успешной аутентификации сервер устанавливает HttpOnly-cookie с идентификатором сессии.</w:t>
      </w:r>
    </w:p>
    <w:p>
      <w:pPr>
        <w:spacing w:after="0" w:before="0" w:line="360" w:lineRule="auto"/>
        <w:ind w:left="708" w:hanging="360"/>
        <w:jc w:val="both"/>
      </w:pPr>
      <w:r>
        <w:rPr>
          <w:rFonts w:ascii="Times New Roman" w:cs="Times New Roman" w:eastAsia="Times New Roman" w:hAnsi="Times New Roman"/>
          <w:sz w:val="28"/>
          <w:szCs w:val="28"/>
        </w:rPr>
        <w:t xml:space="preserve">2. Пользователь открывает форму прогноза /v2/predict/ и заполняет поля: тикер (например, GC=F), даты начала и окончания обучающего окна, горизонт прогноза (1–365 дней), флаг использования foundation-моделей.</w:t>
      </w:r>
    </w:p>
    <w:p>
      <w:pPr>
        <w:spacing w:after="0" w:before="0" w:line="360" w:lineRule="auto"/>
        <w:ind w:left="708" w:hanging="360"/>
        <w:jc w:val="both"/>
      </w:pPr>
      <w:r>
        <w:rPr>
          <w:rFonts w:ascii="Times New Roman" w:cs="Times New Roman" w:eastAsia="Times New Roman" w:hAnsi="Times New Roman"/>
          <w:sz w:val="28"/>
          <w:szCs w:val="28"/>
        </w:rPr>
        <w:t xml:space="preserve">3. После отправки формы создаётся задача Celery с уникальным идентификатором task_id; сервер немедленно возвращает task_id клиенту.</w:t>
      </w:r>
    </w:p>
    <w:p>
      <w:pPr>
        <w:spacing w:after="0" w:before="0" w:line="360" w:lineRule="auto"/>
        <w:ind w:left="708" w:hanging="360"/>
        <w:jc w:val="both"/>
      </w:pPr>
      <w:r>
        <w:rPr>
          <w:rFonts w:ascii="Times New Roman" w:cs="Times New Roman" w:eastAsia="Times New Roman" w:hAnsi="Times New Roman"/>
          <w:sz w:val="28"/>
          <w:szCs w:val="28"/>
        </w:rPr>
        <w:t xml:space="preserve">4. Браузер перенаправляется на страницу ожидания /v2/predict/waiting/?task_id=&lt;id&gt;, которая периодически опрашивает API-эндпоинт /api/task/&lt;task_id&gt; для получения статуса задачи.</w:t>
      </w:r>
    </w:p>
    <w:p>
      <w:pPr>
        <w:spacing w:after="0" w:before="0" w:line="360" w:lineRule="auto"/>
        <w:ind w:left="708" w:hanging="360"/>
        <w:jc w:val="both"/>
      </w:pPr>
      <w:r>
        <w:rPr>
          <w:rFonts w:ascii="Times New Roman" w:cs="Times New Roman" w:eastAsia="Times New Roman" w:hAnsi="Times New Roman"/>
          <w:sz w:val="28"/>
          <w:szCs w:val="28"/>
        </w:rPr>
        <w:t xml:space="preserve">5. По завершении задачи страница перенаправляет пользователя на страницу результата с интерактивными диаграммами прогноза, технических индикаторов, sentiment-фона и таблицей метрик качества.</w:t>
      </w:r>
    </w:p>
    <w:p>
      <w:pPr>
        <w:spacing w:after="0" w:before="0" w:line="360" w:lineRule="auto"/>
        <w:ind w:left="708" w:hanging="360"/>
        <w:jc w:val="both"/>
      </w:pPr>
      <w:r>
        <w:rPr>
          <w:rFonts w:ascii="Times New Roman" w:cs="Times New Roman" w:eastAsia="Times New Roman" w:hAnsi="Times New Roman"/>
          <w:sz w:val="28"/>
          <w:szCs w:val="28"/>
        </w:rPr>
        <w:t xml:space="preserve">6. Результат сохраняется в таблицу prediction_history для последующего просмотра в личном кабинете /v2/dashboard/.</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Такой подход с асинхронным выполнением долгих задач через Celery критически важен для пользовательского опыта: длительность обучения и инференса ансамбля для одного тикера составляет от 30 до 90 секунд в зависимости от размера обучающего окна и наличия foundation-моделей. Синхронная обработка таких запросов привела бы либо к таймаутам HTTP-соединения, либо к необходимости держать клиента в неинтерактивном состоянии в течение всего времени вычислений.</w:t>
      </w:r>
    </w:p>
    <w:p>
      <w:pPr>
        <w:spacing w:after="120" w:before="240" w:line="360" w:lineRule="auto"/>
        <w:ind w:firstLine="708"/>
      </w:pPr>
      <w:r>
        <w:rPr>
          <w:rFonts w:ascii="Times New Roman" w:cs="Times New Roman" w:eastAsia="Times New Roman" w:hAnsi="Times New Roman"/>
          <w:b/>
          <w:bCs/>
          <w:sz w:val="28"/>
          <w:szCs w:val="28"/>
        </w:rPr>
        <w:t xml:space="preserve">3.8. Тестирование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Разработанная система покрыта unit-тестами на двух уровнях:</w:t>
      </w:r>
    </w:p>
    <w:p>
      <w:pPr>
        <w:spacing w:after="0" w:before="0" w:line="360" w:lineRule="auto"/>
        <w:ind w:left="708" w:hanging="284"/>
        <w:jc w:val="both"/>
      </w:pPr>
      <w:r>
        <w:rPr>
          <w:rFonts w:ascii="Times New Roman" w:cs="Times New Roman" w:eastAsia="Times New Roman" w:hAnsi="Times New Roman"/>
          <w:sz w:val="28"/>
          <w:szCs w:val="28"/>
        </w:rPr>
        <w:t xml:space="preserve">— Backend: 970 unit-тестов для критических модулей (модуль предсказания, sentiment-анализ, калибровка, обработка таймаутов, persistence-слой). Тесты написаны на pytest и работают с моками для внешних API (Yahoo Finance, Yahoo News). Покрытие исходного кода (отчёт pytest-cov) составляет 46 % при 9 175 анализируемых строках; тесты прогоняются за 22 секунды, что делает их пригодными для запуска при каждом коммите.</w:t>
      </w:r>
    </w:p>
    <w:p>
      <w:pPr>
        <w:spacing w:after="0" w:before="0" w:line="360" w:lineRule="auto"/>
        <w:ind w:left="708" w:hanging="284"/>
        <w:jc w:val="both"/>
      </w:pPr>
      <w:r>
        <w:rPr>
          <w:rFonts w:ascii="Times New Roman" w:cs="Times New Roman" w:eastAsia="Times New Roman" w:hAnsi="Times New Roman"/>
          <w:sz w:val="28"/>
          <w:szCs w:val="28"/>
        </w:rPr>
        <w:t xml:space="preserve">— Frontend: 115 unit-тестов для всех 20 React-компонентов, всех страниц приложения, утилит форматирования, сетевого клиента и React-хуков. Используется комбинация Vitest, React Testing Library, jsdom и Mock Service Worker (MSW), последний — для мокирования сетевых запросов на уровне fetch без реального HTTP-сервера. Полный прогон занимает 4 секунды.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дополнение к unit-тестам настроен непрерывный пайплайн интеграции (continuous integration) на основе GitHub Actions: при каждом push в основную ветку и при каждом pull request автоматически прогоняются обе тестовые сюиты в чистом окружении Ubuntu (.github/workflows/tests.yml). Это даёт гарантию того, что в репозиторий не попадёт код, ломающий существующие тесты.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Также проведено ручное интеграционное тестирование основных пользовательских сценариев: регистрация и аутентификация пользователя; запуск прогноза на нескольких активах с различными горизонтами; просмотр истории прогнозов в личном кабинете; обработка штатных и нештатных ошибок (отсутствие данных по тикеру, недоступность внешнего API, истечение сессии).</w:t>
      </w:r>
    </w:p>
    <w:p>
      <w:pPr>
        <w:pageBreakBefore/>
        <w:spacing w:after="240" w:before="0" w:line="360" w:lineRule="auto"/>
        <w:jc w:val="center"/>
      </w:pPr>
      <w:r>
        <w:rPr>
          <w:rFonts w:ascii="Times New Roman" w:cs="Times New Roman" w:eastAsia="Times New Roman" w:hAnsi="Times New Roman"/>
          <w:b/>
          <w:bCs/>
          <w:caps/>
          <w:sz w:val="28"/>
          <w:szCs w:val="28"/>
        </w:rPr>
        <w:t xml:space="preserve">ЗАКЛЮЧЕНИЕ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ходе выполнения курсовой работы достигнуты все поставленные задачи. Проведён обзор современных методов прогнозирования финансовых временных рядов, включающий классические статистические методы, рекуррентные нейронные сети (LSTM), темпоральные свёрточные сети (TCN), градиентный бустинг (CatBoost) и foundation-модели (TimesFM, Chronos). На основании анализа литературы и результатов предварительных экспериментов выбрана архитектура, объединяющая разнородные модели в ансамбль.</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 сбор и предобработка исторических данных финансовых инструментов через Yahoo Finance API. Поддерживаются произвольные тикеры, доступные через сервис Yahoo Finance: фьючерсы на драгоценные металлы и сырьё, криптовалюты, акции. Сбор данных интегрирован с системой кеширования для снижения нагрузки на внешний API.</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Разработан и обучен ансамбль из трёх разнородных моделей (TCN, CatBoost, foundation-модели) с применением walk-forward валидации и пост-калибровки вероятностей. Ансамблирование с эмпирически подобранными весами компонентов даёт более стабильное качество прогнозов по сравнению с каждой из моделей в отдельности.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Проведена оценка точности прогнозирования по метрикам MAE, RMSE, MAPE, R² и directional accuracy на пяти финансовых инструментах различных классов. Достигнут MAPE 1.25 % для целевого актива (фьючерс на золото GC=F) на горизонте 30 торговых дней с одновременным directional accuracy 59.9 %. Из пяти исследованных активов четыре продемонстрировали directional accuracy строго выше базовой ставки 0.5; коэффициент детерминации R² во всех пяти случаях превысил значение 0.95.</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 sentiment-анализ новостных заголовков на основе предобученной модели FinBERT и интеграция результатов sentiment-анализа в итоговый прогноз через мультипликативную bias-correction с механизмом плавного «включения» при росте числа новостей.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Разработан веб-интерфейс с авторизацией пользователей (Argon2id-хеширование паролей, HttpOnly-cookie), асинхронной обработкой запросов через Celery и сохранением истории прогнозов в личном кабинете пользователя. Frontend реализован на Next.js 16 в режиме статической генерации, что обеспечивает наилучшую производительность и совместимость с любым веб-сервером.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Проведено тестирование разработанной системы — 27 backend unit-тестов и 61 frontend unit-тест. Интеграционное тестирование основных пользовательских сценариев подтвердило корректность работы системы в штатных и большинстве нештатных ситуаций.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Перспективы дальнейшего развития работы:</w:t>
      </w:r>
    </w:p>
    <w:p>
      <w:pPr>
        <w:spacing w:after="0" w:before="0" w:line="360" w:lineRule="auto"/>
        <w:ind w:left="708" w:hanging="284"/>
        <w:jc w:val="both"/>
      </w:pPr>
      <w:r>
        <w:rPr>
          <w:rFonts w:ascii="Times New Roman" w:cs="Times New Roman" w:eastAsia="Times New Roman" w:hAnsi="Times New Roman"/>
          <w:sz w:val="28"/>
          <w:szCs w:val="28"/>
        </w:rPr>
        <w:t xml:space="preserve">— расширение списка поддерживаемых активов и горизонтов прогнозирования;</w:t>
      </w:r>
    </w:p>
    <w:p>
      <w:pPr>
        <w:spacing w:after="0" w:before="0" w:line="360" w:lineRule="auto"/>
        <w:ind w:left="708" w:hanging="284"/>
        <w:jc w:val="both"/>
      </w:pPr>
      <w:r>
        <w:rPr>
          <w:rFonts w:ascii="Times New Roman" w:cs="Times New Roman" w:eastAsia="Times New Roman" w:hAnsi="Times New Roman"/>
          <w:sz w:val="28"/>
          <w:szCs w:val="28"/>
        </w:rPr>
        <w:t xml:space="preserve">— расширение архитектуры на высокочастотный режим прогнозирования — обработку L2-данных биржи в реальном времени с минутным горизонтом. Такой режим качественно отличается от дневного: вместо OHLCV-агрегатов используются микроструктурные признаки книги заявок (Order Flow Imbalance, дисбаланс глубины стакана, спред, микроцена), а сама задача формулируется как бинарная классификация направления цены на следующей минуте. Реализация и эмпирическое исследование высокочастотного слайса, включая кросс-активное обучение по нескольким криптовалютным парам и автоматическую детекцию концептуального дрейфа на основе теста Колмогорова-Смирнова, предполагается в рамках выпускной квалификационной работы;</w:t>
      </w:r>
    </w:p>
    <w:p>
      <w:pPr>
        <w:spacing w:after="0" w:before="0" w:line="360" w:lineRule="auto"/>
        <w:ind w:left="708" w:hanging="284"/>
        <w:jc w:val="both"/>
      </w:pPr>
      <w:r>
        <w:rPr>
          <w:rFonts w:ascii="Times New Roman" w:cs="Times New Roman" w:eastAsia="Times New Roman" w:hAnsi="Times New Roman"/>
          <w:sz w:val="28"/>
          <w:szCs w:val="28"/>
        </w:rPr>
        <w:t xml:space="preserve">— добавление возможности дообучения моделей по индивидуальным предпочтениям пользователя через механизм transfer learning;</w:t>
      </w:r>
    </w:p>
    <w:p>
      <w:pPr>
        <w:spacing w:after="0" w:before="0" w:line="360" w:lineRule="auto"/>
        <w:ind w:left="708" w:hanging="284"/>
        <w:jc w:val="both"/>
      </w:pPr>
      <w:r>
        <w:rPr>
          <w:rFonts w:ascii="Times New Roman" w:cs="Times New Roman" w:eastAsia="Times New Roman" w:hAnsi="Times New Roman"/>
          <w:sz w:val="28"/>
          <w:szCs w:val="28"/>
        </w:rPr>
        <w:t xml:space="preserve">— интеграция с биржевыми API для автоматического исполнения сигналов в составе торговых стратегий;</w:t>
      </w:r>
    </w:p>
    <w:p>
      <w:pPr>
        <w:spacing w:after="0" w:before="0" w:line="360" w:lineRule="auto"/>
        <w:ind w:left="708" w:hanging="284"/>
        <w:jc w:val="both"/>
      </w:pPr>
      <w:r>
        <w:rPr>
          <w:rFonts w:ascii="Times New Roman" w:cs="Times New Roman" w:eastAsia="Times New Roman" w:hAnsi="Times New Roman"/>
          <w:sz w:val="28"/>
          <w:szCs w:val="28"/>
        </w:rPr>
        <w:t xml:space="preserve">— расширение sentiment-анализа за счёт обработки более широкого круга источников (Twitter/X, Reddit, специализированные финансовые форумы).</w:t>
      </w:r>
    </w:p>
    <w:p>
      <w:pPr>
        <w:pageBreakBefore/>
        <w:spacing w:after="240" w:before="0" w:line="360" w:lineRule="auto"/>
        <w:jc w:val="center"/>
      </w:pPr>
      <w:r>
        <w:rPr>
          <w:rFonts w:ascii="Times New Roman" w:cs="Times New Roman" w:eastAsia="Times New Roman" w:hAnsi="Times New Roman"/>
          <w:b/>
          <w:bCs/>
          <w:caps/>
          <w:sz w:val="28"/>
          <w:szCs w:val="28"/>
        </w:rPr>
        <w:t xml:space="preserve">СПИСОК ИСПОЛЬЗОВАННЫХ ИСТОЧНИКОВ</w:t>
      </w:r>
    </w:p>
    <w:p>
      <w:pPr>
        <w:spacing w:after="0" w:before="0" w:line="360" w:lineRule="auto"/>
        <w:ind w:left="708" w:hanging="360"/>
        <w:jc w:val="both"/>
      </w:pPr>
      <w:r>
        <w:rPr>
          <w:rFonts w:ascii="Times New Roman" w:cs="Times New Roman" w:eastAsia="Times New Roman" w:hAnsi="Times New Roman"/>
          <w:sz w:val="28"/>
          <w:szCs w:val="28"/>
        </w:rPr>
        <w:t xml:space="preserve">1. Бокс, Дж. Анализ временных рядов. Прогноз и управление [Текст] / Дж. Бокс, Г. Дженкинс. — М.: Мир, 1974. — 408 с.</w:t>
      </w:r>
    </w:p>
    <w:p>
      <w:pPr>
        <w:spacing w:after="0" w:before="0" w:line="360" w:lineRule="auto"/>
        <w:ind w:left="708" w:hanging="360"/>
        <w:jc w:val="both"/>
      </w:pPr>
      <w:r>
        <w:rPr>
          <w:rFonts w:ascii="Times New Roman" w:cs="Times New Roman" w:eastAsia="Times New Roman" w:hAnsi="Times New Roman"/>
          <w:sz w:val="28"/>
          <w:szCs w:val="28"/>
        </w:rPr>
        <w:t xml:space="preserve">2. Bai, S. An Empirical Evaluation of Generic Convolutional and Recurrent Networks for Sequence Modeling [Электронный ресурс] / S. Bai, J. Z. Kolter, V. Koltun. — 2018. — URL: https://arxiv.org/abs/1803.01271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3. Hewamalage, H. Recurrent Neural Networks for Time Series Forecasting: Current Status and Future Directions [Текст] / H. Hewamalage, C. Bergmeir, K. Bandara // International Journal of Forecasting. — 2021. — Vol. 37, № 1. — P. 388–427.</w:t>
      </w:r>
    </w:p>
    <w:p>
      <w:pPr>
        <w:spacing w:after="0" w:before="0" w:line="360" w:lineRule="auto"/>
        <w:ind w:left="708" w:hanging="360"/>
        <w:jc w:val="both"/>
      </w:pPr>
      <w:r>
        <w:rPr>
          <w:rFonts w:ascii="Times New Roman" w:cs="Times New Roman" w:eastAsia="Times New Roman" w:hAnsi="Times New Roman"/>
          <w:sz w:val="28"/>
          <w:szCs w:val="28"/>
        </w:rPr>
        <w:t xml:space="preserve">4. Das, A. A Decoder-Only Foundation Model for Time-Series Forecasting [Электронный ресурс] / A. Das, W. Kong, R. Sen, Y. Zhou. — 2024. — URL: https://arxiv.org/abs/2310.10688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5. Ansari, A. F. Chronos: Learning the Language of Time Series [Электронный ресурс] / A. F. Ansari, L. Stella, C. Turkmen et al. — 2024. — URL: https://arxiv.org/abs/2403.07815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6. Niculescu-Mizil, A. Predicting Good Probabilities with Supervised Learning [Текст] / A. Niculescu-Mizil, R. Caruana // Proceedings of the 22nd International Conference on Machine Learning (ICML). — 2005. — P. 625–632.</w:t>
      </w:r>
    </w:p>
    <w:p>
      <w:pPr>
        <w:spacing w:after="0" w:before="0" w:line="360" w:lineRule="auto"/>
        <w:ind w:left="708" w:hanging="360"/>
        <w:jc w:val="both"/>
      </w:pPr>
      <w:r>
        <w:rPr>
          <w:rFonts w:ascii="Times New Roman" w:cs="Times New Roman" w:eastAsia="Times New Roman" w:hAnsi="Times New Roman"/>
          <w:sz w:val="28"/>
          <w:szCs w:val="28"/>
        </w:rPr>
        <w:t xml:space="preserve">7. Vovk, V. Algorithmic Learning in a Random World [Текст] / V. Vovk, A. Gammerman, G. Shafer. — Springer, 2005. — 324 p.</w:t>
      </w:r>
    </w:p>
    <w:p>
      <w:pPr>
        <w:spacing w:after="0" w:before="0" w:line="360" w:lineRule="auto"/>
        <w:ind w:left="708" w:hanging="360"/>
        <w:jc w:val="both"/>
      </w:pPr>
      <w:r>
        <w:rPr>
          <w:rFonts w:ascii="Times New Roman" w:cs="Times New Roman" w:eastAsia="Times New Roman" w:hAnsi="Times New Roman"/>
          <w:sz w:val="28"/>
          <w:szCs w:val="28"/>
        </w:rPr>
        <w:t xml:space="preserve">8. Hochreiter, S. Long Short-Term Memory [Текст] / S. Hochreiter, J. Schmidhuber // Neural Computation. — 1997. — Vol. 9, № 8. — P. 1735–1780.</w:t>
      </w:r>
    </w:p>
    <w:p>
      <w:pPr>
        <w:spacing w:after="0" w:before="0" w:line="360" w:lineRule="auto"/>
        <w:ind w:left="708" w:hanging="360"/>
        <w:jc w:val="both"/>
      </w:pPr>
      <w:r>
        <w:rPr>
          <w:rFonts w:ascii="Times New Roman" w:cs="Times New Roman" w:eastAsia="Times New Roman" w:hAnsi="Times New Roman"/>
          <w:sz w:val="28"/>
          <w:szCs w:val="28"/>
        </w:rPr>
        <w:t xml:space="preserve">9. Prokhorenkova, L. CatBoost: Unbiased Boosting with Categorical Features [Электронный ресурс] / L. Prokhorenkova, G. Gusev, A. Vorobev et al. — 2018. — URL: https://arxiv.org/abs/1706.09516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10. Angelopoulos, A. N. Conformal Prediction: A Gentle Introduction [Текст] / A. N. Angelopoulos, S. Bates // Foundations and Trends in Machine Learning. — 2023. — Vol. 16, № 4. — P. 494–591.</w:t>
      </w:r>
    </w:p>
    <w:p>
      <w:pPr>
        <w:spacing w:after="0" w:before="0" w:line="360" w:lineRule="auto"/>
        <w:ind w:left="708" w:hanging="360"/>
        <w:jc w:val="both"/>
      </w:pPr>
      <w:r>
        <w:rPr>
          <w:rFonts w:ascii="Times New Roman" w:cs="Times New Roman" w:eastAsia="Times New Roman" w:hAnsi="Times New Roman"/>
          <w:sz w:val="28"/>
          <w:szCs w:val="28"/>
        </w:rPr>
        <w:t xml:space="preserve">11. Chen, T. XGBoost: A Scalable Tree Boosting System [Текст] / T. Chen, C. Guestrin // Proceedings of the 22nd ACM SIGKDD International Conference on Knowledge Discovery and Data Mining. — 2016. — P. 785–794.</w:t>
      </w:r>
    </w:p>
    <w:p>
      <w:pPr>
        <w:spacing w:after="0" w:before="0" w:line="360" w:lineRule="auto"/>
        <w:ind w:left="708" w:hanging="360"/>
        <w:jc w:val="both"/>
      </w:pPr>
      <w:r>
        <w:rPr>
          <w:rFonts w:ascii="Times New Roman" w:cs="Times New Roman" w:eastAsia="Times New Roman" w:hAnsi="Times New Roman"/>
          <w:sz w:val="28"/>
          <w:szCs w:val="28"/>
        </w:rPr>
        <w:t xml:space="preserve">12. Yang, Y. FinBERT: A Pretrained Language Model for Financial Communications [Электронный ресурс] / Y. Yang, M. C. S. Uy, A. Huang. — 2020. — URL: https://arxiv.org/abs/2006.08097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13. Yahoo Finance: Public API Documentation [Электронный ресурс]. — Yahoo Inc., 2024. — URL: https://finance.yahoo.com/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14. FastAPI Documentation [Электронный ресурс]. — Tiangolo, 2024. — URL: https://fastapi.tiangolo.com/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15. Next.js Documentation [Электронный ресурс]. — Vercel Inc., 2024. — URL: https://nextjs.org/docs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16. PostgreSQL 15 Documentation [Электронный ресурс]. — PostgreSQL Global Development Group, 2024. — URL: https://www.postgresql.org/docs/15/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17. Hurst, H. E. Long-term Storage Capacity of Reservoirs [Текст] / H. E. Hurst // Transactions of the American Society of Civil Engineers. — 1951. — Vol. 116. — P. 770–799.</w:t>
      </w:r>
    </w:p>
    <w:p>
      <w:pPr>
        <w:spacing w:after="0" w:before="0" w:line="360" w:lineRule="auto"/>
        <w:ind w:left="708" w:hanging="360"/>
        <w:jc w:val="both"/>
      </w:pPr>
      <w:r>
        <w:rPr>
          <w:rFonts w:ascii="Times New Roman" w:cs="Times New Roman" w:eastAsia="Times New Roman" w:hAnsi="Times New Roman"/>
          <w:sz w:val="28"/>
          <w:szCs w:val="28"/>
        </w:rPr>
        <w:t xml:space="preserve">18. He, K. Deep Residual Learning for Image Recognition [Текст] / K. He, X. Zhang, S. Ren, J. Sun // Proceedings of the IEEE Conference on Computer Vision and Pattern Recognition (CVPR). — 2016. — P. 770–778.</w:t>
      </w:r>
    </w:p>
    <w:p>
      <w:pPr>
        <w:spacing w:after="0" w:before="0" w:line="360" w:lineRule="auto"/>
        <w:ind w:left="708" w:hanging="360"/>
        <w:jc w:val="both"/>
      </w:pPr>
      <w:r>
        <w:rPr>
          <w:rFonts w:ascii="Times New Roman" w:cs="Times New Roman" w:eastAsia="Times New Roman" w:hAnsi="Times New Roman"/>
          <w:sz w:val="28"/>
          <w:szCs w:val="28"/>
        </w:rPr>
        <w:t xml:space="preserve">19. Vaswani, A. Attention Is All You Need [Текст] / A. Vaswani, N. Shazeer, N. Parmar et al. // Advances in Neural Information Processing Systems (NeurIPS). — 2017. — Vol. 30. — P. 5998–6008.</w:t>
      </w:r>
    </w:p>
    <w:p>
      <w:pPr>
        <w:spacing w:after="0" w:before="0" w:line="360" w:lineRule="auto"/>
        <w:ind w:left="708" w:hanging="360"/>
        <w:jc w:val="both"/>
      </w:pPr>
      <w:r>
        <w:rPr>
          <w:rFonts w:ascii="Times New Roman" w:cs="Times New Roman" w:eastAsia="Times New Roman" w:hAnsi="Times New Roman"/>
          <w:sz w:val="28"/>
          <w:szCs w:val="28"/>
        </w:rPr>
        <w:t xml:space="preserve">20. Friedman, J. H. Greedy Function Approximation: A Gradient Boosting Machine [Текст] / J. H. Friedman // Annals of Statistics. — 2001. — Vol. 29, № 5. — P. 1189–1232.</w:t>
      </w:r>
    </w:p>
    <w:p>
      <w:pPr>
        <w:spacing w:after="0" w:before="0" w:line="360" w:lineRule="auto"/>
        <w:ind w:left="708" w:hanging="360"/>
        <w:jc w:val="both"/>
      </w:pPr>
      <w:r>
        <w:rPr>
          <w:rFonts w:ascii="Times New Roman" w:cs="Times New Roman" w:eastAsia="Times New Roman" w:hAnsi="Times New Roman"/>
          <w:sz w:val="28"/>
          <w:szCs w:val="28"/>
        </w:rPr>
        <w:t xml:space="preserve">21. Krogh, A. Neural Network Ensembles, Cross Validation, and Active Learning [Текст] / A. Krogh, J. Vedelsby // Advances in Neural Information Processing Systems (NeurIPS). — 1995. — Vol. 7. — P. 231–238.</w:t>
      </w:r>
    </w:p>
    <w:p>
      <w:pPr>
        <w:spacing w:after="0" w:before="0" w:line="360" w:lineRule="auto"/>
        <w:ind w:left="708" w:hanging="360"/>
        <w:jc w:val="both"/>
      </w:pPr>
      <w:r>
        <w:rPr>
          <w:rFonts w:ascii="Times New Roman" w:cs="Times New Roman" w:eastAsia="Times New Roman" w:hAnsi="Times New Roman"/>
          <w:sz w:val="28"/>
          <w:szCs w:val="28"/>
        </w:rPr>
        <w:t xml:space="preserve">22. Murphy, A. H. A New Vector Partition of the Probability Score [Текст] / A. H. Murphy // Journal of Applied Meteorology. — 1973. — Vol. 12, № 4. — P. 595–600.</w:t>
      </w:r>
    </w:p>
    <w:p>
      <w:pPr>
        <w:pageBreakBefore/>
        <w:spacing w:after="240" w:before="0" w:line="360" w:lineRule="auto"/>
        <w:jc w:val="center"/>
      </w:pPr>
      <w:r>
        <w:rPr>
          <w:rFonts w:ascii="Times New Roman" w:cs="Times New Roman" w:eastAsia="Times New Roman" w:hAnsi="Times New Roman"/>
          <w:b/>
          <w:bCs/>
          <w:caps/>
          <w:sz w:val="28"/>
          <w:szCs w:val="28"/>
        </w:rPr>
        <w:t xml:space="preserve">ПРИЛОЖЕНИЕ А. Архитектура системы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Приложении А приводятся структурные схемы разработанной системы. Полные диаграммы (схема потока данных от Yahoo Finance до пользовательского интерфейса; схема архитектуры backend-части с указанием Celery-воркеров и Redis-брокера; схема модели данных PostgreSQL) включаются по требованию руководителя.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Принципиальная схема обработки запроса прогноза: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Клиент (браузер, /v2/predict/) → POST /api/predict → FastAPI (валидация Pydantic) → создание задачи Celery → возврат task_id → клиент периодически опрашивает /api/task/{task_id} → Celery-воркер выполняет: сбор данных через yfinance → предобработка → обучение TCN → инференс ансамбля (TCN + CatBoost + foundation-модели) → sentiment-анализ → bias-correction → сохранение результата в Redis и в prediction_history (PostgreSQL) → клиент получает финальный статус SUCCESS и переходит на страницу результата.</w:t>
      </w:r>
    </w:p>
    <w:p>
      <w:pPr>
        <w:pageBreakBefore/>
        <w:spacing w:after="240" w:before="0" w:line="360" w:lineRule="auto"/>
        <w:jc w:val="center"/>
      </w:pPr>
      <w:r>
        <w:rPr>
          <w:rFonts w:ascii="Times New Roman" w:cs="Times New Roman" w:eastAsia="Times New Roman" w:hAnsi="Times New Roman"/>
          <w:b/>
          <w:bCs/>
          <w:caps/>
          <w:sz w:val="28"/>
          <w:szCs w:val="28"/>
        </w:rPr>
        <w:t xml:space="preserve">ПРИЛОЖЕНИЕ Б. Программный код ключевых модулей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Приложении Б приведены ключевые фрагменты программного кода, иллюстрирующие реализацию основных алгоритмических блоков системы. Фрагменты приведены в упрощённом виде, без вспомогательной production-логики (кеширование, обработка исключений, логирование), чтобы наглядно показать суть метода. Полный исходный код проекта доступен в открытом репозитории GitHub.</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Б.1. Архитектура TCN-блока с причинной свёрткой, dilation и residual-связью (см. §1.3, §3.2):</w:t>
      </w:r>
    </w:p>
    <w:p>
      <w:pPr>
        <w:spacing w:after="0" w:before="0" w:line="240" w:lineRule="auto"/>
      </w:pPr>
      <w:r>
        <w:rPr>
          <w:rFonts w:ascii="Courier New" w:cs="Courier New" w:eastAsia="Courier New" w:hAnsi="Courier New"/>
          <w:sz w:val="24"/>
          <w:szCs w:val="24"/>
        </w:rPr>
        <w:t xml:space="preserve">def tcn_block(x, filters, kernel_size=3, dilation_rate=1, dropout=0.2):</w:t>
      </w:r>
    </w:p>
    <w:p>
      <w:pPr>
        <w:spacing w:after="0" w:before="0" w:line="240" w:lineRule="auto"/>
      </w:pPr>
      <w:r>
        <w:rPr>
          <w:rFonts w:ascii="Courier New" w:cs="Courier New" w:eastAsia="Courier New" w:hAnsi="Courier New"/>
          <w:sz w:val="24"/>
          <w:szCs w:val="24"/>
        </w:rPr>
        <w:t xml:space="preserve">    """Один блок TCN: две причинные свёртки с расширением + residual.</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Причинность обеспечивается через padding="causal" — выход в момент t</w:t>
      </w:r>
    </w:p>
    <w:p>
      <w:pPr>
        <w:spacing w:after="0" w:before="0" w:line="240" w:lineRule="auto"/>
      </w:pPr>
      <w:r>
        <w:rPr>
          <w:rFonts w:ascii="Courier New" w:cs="Courier New" w:eastAsia="Courier New" w:hAnsi="Courier New"/>
          <w:sz w:val="24"/>
          <w:szCs w:val="24"/>
        </w:rPr>
        <w:t xml:space="preserve">    зависит только от входа на интервале [t - (k-1)*d, t]. Расширение d</w:t>
      </w:r>
    </w:p>
    <w:p>
      <w:pPr>
        <w:spacing w:after="0" w:before="0" w:line="240" w:lineRule="auto"/>
      </w:pPr>
      <w:r>
        <w:rPr>
          <w:rFonts w:ascii="Courier New" w:cs="Courier New" w:eastAsia="Courier New" w:hAnsi="Courier New"/>
          <w:sz w:val="24"/>
          <w:szCs w:val="24"/>
        </w:rPr>
        <w:t xml:space="preserve">    экспоненциально увеличивает рецептивное поле без роста числа слоёв.</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 Первая причинная свёртка с расширением</w:t>
      </w:r>
    </w:p>
    <w:p>
      <w:pPr>
        <w:spacing w:after="0" w:before="0" w:line="240" w:lineRule="auto"/>
      </w:pPr>
      <w:r>
        <w:rPr>
          <w:rFonts w:ascii="Courier New" w:cs="Courier New" w:eastAsia="Courier New" w:hAnsi="Courier New"/>
          <w:sz w:val="24"/>
          <w:szCs w:val="24"/>
        </w:rPr>
        <w:t xml:space="preserve">    y = Conv1D(filters, kernel_size,</w:t>
      </w:r>
    </w:p>
    <w:p>
      <w:pPr>
        <w:spacing w:after="0" w:before="0" w:line="240" w:lineRule="auto"/>
      </w:pPr>
      <w:r>
        <w:rPr>
          <w:rFonts w:ascii="Courier New" w:cs="Courier New" w:eastAsia="Courier New" w:hAnsi="Courier New"/>
          <w:sz w:val="24"/>
          <w:szCs w:val="24"/>
        </w:rPr>
        <w:t xml:space="preserve">               padding="causal", dilation_rate=dilation_rate)(x)</w:t>
      </w:r>
    </w:p>
    <w:p>
      <w:pPr>
        <w:spacing w:after="0" w:before="0" w:line="240" w:lineRule="auto"/>
      </w:pPr>
      <w:r>
        <w:rPr>
          <w:rFonts w:ascii="Courier New" w:cs="Courier New" w:eastAsia="Courier New" w:hAnsi="Courier New"/>
          <w:sz w:val="24"/>
          <w:szCs w:val="24"/>
        </w:rPr>
        <w:t xml:space="preserve">    y = BatchNormalization()(y)</w:t>
      </w:r>
    </w:p>
    <w:p>
      <w:pPr>
        <w:spacing w:after="0" w:before="0" w:line="240" w:lineRule="auto"/>
      </w:pPr>
      <w:r>
        <w:rPr>
          <w:rFonts w:ascii="Courier New" w:cs="Courier New" w:eastAsia="Courier New" w:hAnsi="Courier New"/>
          <w:sz w:val="24"/>
          <w:szCs w:val="24"/>
        </w:rPr>
        <w:t xml:space="preserve">    y = Activation("relu")(y)</w:t>
      </w:r>
    </w:p>
    <w:p>
      <w:pPr>
        <w:spacing w:after="0" w:before="0" w:line="240" w:lineRule="auto"/>
      </w:pPr>
      <w:r>
        <w:rPr>
          <w:rFonts w:ascii="Courier New" w:cs="Courier New" w:eastAsia="Courier New" w:hAnsi="Courier New"/>
          <w:sz w:val="24"/>
          <w:szCs w:val="24"/>
        </w:rPr>
        <w:t xml:space="preserve">    y = Dropout(dropout)(y)</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 Вторая причинная свёртка</w:t>
      </w:r>
    </w:p>
    <w:p>
      <w:pPr>
        <w:spacing w:after="0" w:before="0" w:line="240" w:lineRule="auto"/>
      </w:pPr>
      <w:r>
        <w:rPr>
          <w:rFonts w:ascii="Courier New" w:cs="Courier New" w:eastAsia="Courier New" w:hAnsi="Courier New"/>
          <w:sz w:val="24"/>
          <w:szCs w:val="24"/>
        </w:rPr>
        <w:t xml:space="preserve">    y = Conv1D(filters, kernel_size,</w:t>
      </w:r>
    </w:p>
    <w:p>
      <w:pPr>
        <w:spacing w:after="0" w:before="0" w:line="240" w:lineRule="auto"/>
      </w:pPr>
      <w:r>
        <w:rPr>
          <w:rFonts w:ascii="Courier New" w:cs="Courier New" w:eastAsia="Courier New" w:hAnsi="Courier New"/>
          <w:sz w:val="24"/>
          <w:szCs w:val="24"/>
        </w:rPr>
        <w:t xml:space="preserve">               padding="causal", dilation_rate=dilation_rate)(y)</w:t>
      </w:r>
    </w:p>
    <w:p>
      <w:pPr>
        <w:spacing w:after="0" w:before="0" w:line="240" w:lineRule="auto"/>
      </w:pPr>
      <w:r>
        <w:rPr>
          <w:rFonts w:ascii="Courier New" w:cs="Courier New" w:eastAsia="Courier New" w:hAnsi="Courier New"/>
          <w:sz w:val="24"/>
          <w:szCs w:val="24"/>
        </w:rPr>
        <w:t xml:space="preserve">    y = BatchNormalization()(y)</w:t>
      </w:r>
    </w:p>
    <w:p>
      <w:pPr>
        <w:spacing w:after="0" w:before="0" w:line="240" w:lineRule="auto"/>
      </w:pPr>
      <w:r>
        <w:rPr>
          <w:rFonts w:ascii="Courier New" w:cs="Courier New" w:eastAsia="Courier New" w:hAnsi="Courier New"/>
          <w:sz w:val="24"/>
          <w:szCs w:val="24"/>
        </w:rPr>
        <w:t xml:space="preserve">    y = Activation("relu")(y)</w:t>
      </w:r>
    </w:p>
    <w:p>
      <w:pPr>
        <w:spacing w:after="0" w:before="0" w:line="240" w:lineRule="auto"/>
      </w:pPr>
      <w:r>
        <w:rPr>
          <w:rFonts w:ascii="Courier New" w:cs="Courier New" w:eastAsia="Courier New" w:hAnsi="Courier New"/>
          <w:sz w:val="24"/>
          <w:szCs w:val="24"/>
        </w:rPr>
        <w:t xml:space="preserve">    y = Dropout(dropout)(y)</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 Residual-связь: проброс входа мимо нелинейных преобразований.</w:t>
      </w:r>
    </w:p>
    <w:p>
      <w:pPr>
        <w:spacing w:after="0" w:before="0" w:line="240" w:lineRule="auto"/>
      </w:pPr>
      <w:r>
        <w:rPr>
          <w:rFonts w:ascii="Courier New" w:cs="Courier New" w:eastAsia="Courier New" w:hAnsi="Courier New"/>
          <w:sz w:val="24"/>
          <w:szCs w:val="24"/>
        </w:rPr>
        <w:t xml:space="preserve">    # Если число каналов различается, добавляем 1x1-свёртку для матчинга.</w:t>
      </w:r>
    </w:p>
    <w:p>
      <w:pPr>
        <w:spacing w:after="0" w:before="0" w:line="240" w:lineRule="auto"/>
      </w:pPr>
      <w:r>
        <w:rPr>
          <w:rFonts w:ascii="Courier New" w:cs="Courier New" w:eastAsia="Courier New" w:hAnsi="Courier New"/>
          <w:sz w:val="24"/>
          <w:szCs w:val="24"/>
        </w:rPr>
        <w:t xml:space="preserve">    if x.shape[-1] != filters:</w:t>
      </w:r>
    </w:p>
    <w:p>
      <w:pPr>
        <w:spacing w:after="0" w:before="0" w:line="240" w:lineRule="auto"/>
      </w:pPr>
      <w:r>
        <w:rPr>
          <w:rFonts w:ascii="Courier New" w:cs="Courier New" w:eastAsia="Courier New" w:hAnsi="Courier New"/>
          <w:sz w:val="24"/>
          <w:szCs w:val="24"/>
        </w:rPr>
        <w:t xml:space="preserve">        x = Conv1D(filters, kernel_size=1, padding="same")(x)</w:t>
      </w:r>
    </w:p>
    <w:p>
      <w:pPr>
        <w:spacing w:after="0" w:before="0" w:line="240" w:lineRule="auto"/>
      </w:pPr>
      <w:r>
        <w:rPr>
          <w:rFonts w:ascii="Courier New" w:cs="Courier New" w:eastAsia="Courier New" w:hAnsi="Courier New"/>
          <w:sz w:val="24"/>
          <w:szCs w:val="24"/>
        </w:rPr>
        <w:t xml:space="preserve">    return Add()([x, y])</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def build_tcn_model(seq_len, n_features, dilations=(1, 2, 4, 8)):</w:t>
      </w:r>
    </w:p>
    <w:p>
      <w:pPr>
        <w:spacing w:after="0" w:before="0" w:line="240" w:lineRule="auto"/>
      </w:pPr>
      <w:r>
        <w:rPr>
          <w:rFonts w:ascii="Courier New" w:cs="Courier New" w:eastAsia="Courier New" w:hAnsi="Courier New"/>
          <w:sz w:val="24"/>
          <w:szCs w:val="24"/>
        </w:rPr>
        <w:t xml:space="preserve">    """Стек из 4 блоков с dilation rates {1, 2, 4, 8} и финальной регрессией."""</w:t>
      </w:r>
    </w:p>
    <w:p>
      <w:pPr>
        <w:spacing w:after="0" w:before="0" w:line="240" w:lineRule="auto"/>
      </w:pPr>
      <w:r>
        <w:rPr>
          <w:rFonts w:ascii="Courier New" w:cs="Courier New" w:eastAsia="Courier New" w:hAnsi="Courier New"/>
          <w:sz w:val="24"/>
          <w:szCs w:val="24"/>
        </w:rPr>
        <w:t xml:space="preserve">    inputs = Input(shape=(seq_len, n_features))</w:t>
      </w:r>
    </w:p>
    <w:p>
      <w:pPr>
        <w:spacing w:after="0" w:before="0" w:line="240" w:lineRule="auto"/>
      </w:pPr>
      <w:r>
        <w:rPr>
          <w:rFonts w:ascii="Courier New" w:cs="Courier New" w:eastAsia="Courier New" w:hAnsi="Courier New"/>
          <w:sz w:val="24"/>
          <w:szCs w:val="24"/>
        </w:rPr>
        <w:t xml:space="preserve">    x = inputs</w:t>
      </w:r>
    </w:p>
    <w:p>
      <w:pPr>
        <w:spacing w:after="0" w:before="0" w:line="240" w:lineRule="auto"/>
      </w:pPr>
      <w:r>
        <w:rPr>
          <w:rFonts w:ascii="Courier New" w:cs="Courier New" w:eastAsia="Courier New" w:hAnsi="Courier New"/>
          <w:sz w:val="24"/>
          <w:szCs w:val="24"/>
        </w:rPr>
        <w:t xml:space="preserve">    for d in dilations:</w:t>
      </w:r>
    </w:p>
    <w:p>
      <w:pPr>
        <w:spacing w:after="0" w:before="0" w:line="240" w:lineRule="auto"/>
      </w:pPr>
      <w:r>
        <w:rPr>
          <w:rFonts w:ascii="Courier New" w:cs="Courier New" w:eastAsia="Courier New" w:hAnsi="Courier New"/>
          <w:sz w:val="24"/>
          <w:szCs w:val="24"/>
        </w:rPr>
        <w:t xml:space="preserve">        x = tcn_block(x, filters=64, kernel_size=3, dilation_rate=d)</w:t>
      </w:r>
    </w:p>
    <w:p>
      <w:pPr>
        <w:spacing w:after="0" w:before="0" w:line="240" w:lineRule="auto"/>
      </w:pPr>
      <w:r>
        <w:rPr>
          <w:rFonts w:ascii="Courier New" w:cs="Courier New" w:eastAsia="Courier New" w:hAnsi="Courier New"/>
          <w:sz w:val="24"/>
          <w:szCs w:val="24"/>
        </w:rPr>
        <w:t xml:space="preserve">    x = GlobalAveragePooling1D()(x)</w:t>
      </w:r>
    </w:p>
    <w:p>
      <w:pPr>
        <w:spacing w:after="0" w:before="0" w:line="240" w:lineRule="auto"/>
      </w:pPr>
      <w:r>
        <w:rPr>
          <w:rFonts w:ascii="Courier New" w:cs="Courier New" w:eastAsia="Courier New" w:hAnsi="Courier New"/>
          <w:sz w:val="24"/>
          <w:szCs w:val="24"/>
        </w:rPr>
        <w:t xml:space="preserve">    out = Dense(1)(x)  # регрессия log-return на следующий шаг</w:t>
      </w:r>
    </w:p>
    <w:p>
      <w:pPr>
        <w:spacing w:after="0" w:before="0" w:line="240" w:lineRule="auto"/>
      </w:pPr>
      <w:r>
        <w:rPr>
          <w:rFonts w:ascii="Courier New" w:cs="Courier New" w:eastAsia="Courier New" w:hAnsi="Courier New"/>
          <w:sz w:val="24"/>
          <w:szCs w:val="24"/>
        </w:rPr>
        <w:t xml:space="preserve">    return Model(inputs, out)</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Б.2. Walk-forward валидация с эмбарго (см. §3.5):</w:t>
      </w:r>
    </w:p>
    <w:p>
      <w:pPr>
        <w:spacing w:after="0" w:before="0" w:line="240" w:lineRule="auto"/>
      </w:pPr>
      <w:r>
        <w:rPr>
          <w:rFonts w:ascii="Courier New" w:cs="Courier New" w:eastAsia="Courier New" w:hAnsi="Courier New"/>
          <w:sz w:val="24"/>
          <w:szCs w:val="24"/>
        </w:rPr>
        <w:t xml:space="preserve">def walk_forward_cv(</w:t>
      </w:r>
    </w:p>
    <w:p>
      <w:pPr>
        <w:spacing w:after="0" w:before="0" w:line="240" w:lineRule="auto"/>
      </w:pPr>
      <w:r>
        <w:rPr>
          <w:rFonts w:ascii="Courier New" w:cs="Courier New" w:eastAsia="Courier New" w:hAnsi="Courier New"/>
          <w:sz w:val="24"/>
          <w:szCs w:val="24"/>
        </w:rPr>
        <w:t xml:space="preserve">    X, y, initial_train_bars, test_fold_bars, step_bars, embargo=1,</w:t>
      </w:r>
    </w:p>
    <w:p>
      <w:pPr>
        <w:spacing w:after="0" w:before="0" w:line="240" w:lineRule="auto"/>
      </w:pPr>
      <w:r>
        <w:rPr>
          <w:rFonts w:ascii="Courier New" w:cs="Courier New" w:eastAsia="Courier New" w:hAnsi="Courier New"/>
          <w:sz w:val="24"/>
          <w:szCs w:val="24"/>
        </w:rPr>
        <w:t xml:space="preserve">):</w:t>
      </w:r>
    </w:p>
    <w:p>
      <w:pPr>
        <w:spacing w:after="0" w:before="0" w:line="240" w:lineRule="auto"/>
      </w:pPr>
      <w:r>
        <w:rPr>
          <w:rFonts w:ascii="Courier New" w:cs="Courier New" w:eastAsia="Courier New" w:hAnsi="Courier New"/>
          <w:sz w:val="24"/>
          <w:szCs w:val="24"/>
        </w:rPr>
        <w:t xml:space="preserve">    """Walk-forward валидация: модель обучается на интервале [0, t_end),</w:t>
      </w:r>
    </w:p>
    <w:p>
      <w:pPr>
        <w:spacing w:after="0" w:before="0" w:line="240" w:lineRule="auto"/>
      </w:pPr>
      <w:r>
        <w:rPr>
          <w:rFonts w:ascii="Courier New" w:cs="Courier New" w:eastAsia="Courier New" w:hAnsi="Courier New"/>
          <w:sz w:val="24"/>
          <w:szCs w:val="24"/>
        </w:rPr>
        <w:t xml:space="preserve">    прогнозирует на [t_end, t_end + test_fold_bars), затем окно</w:t>
      </w:r>
    </w:p>
    <w:p>
      <w:pPr>
        <w:spacing w:after="0" w:before="0" w:line="240" w:lineRule="auto"/>
      </w:pPr>
      <w:r>
        <w:rPr>
          <w:rFonts w:ascii="Courier New" w:cs="Courier New" w:eastAsia="Courier New" w:hAnsi="Courier New"/>
          <w:sz w:val="24"/>
          <w:szCs w:val="24"/>
        </w:rPr>
        <w:t xml:space="preserve">    сдвигается на step_bars. Между обучающим и тестовым интервалом</w:t>
      </w:r>
    </w:p>
    <w:p>
      <w:pPr>
        <w:spacing w:after="0" w:before="0" w:line="240" w:lineRule="auto"/>
      </w:pPr>
      <w:r>
        <w:rPr>
          <w:rFonts w:ascii="Courier New" w:cs="Courier New" w:eastAsia="Courier New" w:hAnsi="Courier New"/>
          <w:sz w:val="24"/>
          <w:szCs w:val="24"/>
        </w:rPr>
        <w:t xml:space="preserve">    оставляется embargo баров — это предотвращает утечку через</w:t>
      </w:r>
    </w:p>
    <w:p>
      <w:pPr>
        <w:spacing w:after="0" w:before="0" w:line="240" w:lineRule="auto"/>
      </w:pPr>
      <w:r>
        <w:rPr>
          <w:rFonts w:ascii="Courier New" w:cs="Courier New" w:eastAsia="Courier New" w:hAnsi="Courier New"/>
          <w:sz w:val="24"/>
          <w:szCs w:val="24"/>
        </w:rPr>
        <w:t xml:space="preserve">    общие признаки, рассчитанные по скользящему окну.</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n = len(X)</w:t>
      </w:r>
    </w:p>
    <w:p>
      <w:pPr>
        <w:spacing w:after="0" w:before="0" w:line="240" w:lineRule="auto"/>
      </w:pPr>
      <w:r>
        <w:rPr>
          <w:rFonts w:ascii="Courier New" w:cs="Courier New" w:eastAsia="Courier New" w:hAnsi="Courier New"/>
          <w:sz w:val="24"/>
          <w:szCs w:val="24"/>
        </w:rPr>
        <w:t xml:space="preserve">    train_end = initial_train_bars</w:t>
      </w:r>
    </w:p>
    <w:p>
      <w:pPr>
        <w:spacing w:after="0" w:before="0" w:line="240" w:lineRule="auto"/>
      </w:pPr>
      <w:r>
        <w:rPr>
          <w:rFonts w:ascii="Courier New" w:cs="Courier New" w:eastAsia="Courier New" w:hAnsi="Courier New"/>
          <w:sz w:val="24"/>
          <w:szCs w:val="24"/>
        </w:rPr>
        <w:t xml:space="preserve">    oos_preds, oos_truth = [], []</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while train_end + test_fold_bars &lt;= n:</w:t>
      </w:r>
    </w:p>
    <w:p>
      <w:pPr>
        <w:spacing w:after="0" w:before="0" w:line="240" w:lineRule="auto"/>
      </w:pPr>
      <w:r>
        <w:rPr>
          <w:rFonts w:ascii="Courier New" w:cs="Courier New" w:eastAsia="Courier New" w:hAnsi="Courier New"/>
          <w:sz w:val="24"/>
          <w:szCs w:val="24"/>
        </w:rPr>
        <w:t xml:space="preserve">        # Effective training end отступает на embargo баров.</w:t>
      </w:r>
    </w:p>
    <w:p>
      <w:pPr>
        <w:spacing w:after="0" w:before="0" w:line="240" w:lineRule="auto"/>
      </w:pPr>
      <w:r>
        <w:rPr>
          <w:rFonts w:ascii="Courier New" w:cs="Courier New" w:eastAsia="Courier New" w:hAnsi="Courier New"/>
          <w:sz w:val="24"/>
          <w:szCs w:val="24"/>
        </w:rPr>
        <w:t xml:space="preserve">        train_eff_end = max(0, train_end - embargo)</w:t>
      </w:r>
    </w:p>
    <w:p>
      <w:pPr>
        <w:spacing w:after="0" w:before="0" w:line="240" w:lineRule="auto"/>
      </w:pPr>
      <w:r>
        <w:rPr>
          <w:rFonts w:ascii="Courier New" w:cs="Courier New" w:eastAsia="Courier New" w:hAnsi="Courier New"/>
          <w:sz w:val="24"/>
          <w:szCs w:val="24"/>
        </w:rPr>
        <w:t xml:space="preserve">        X_train = X[:train_eff_end]</w:t>
      </w:r>
    </w:p>
    <w:p>
      <w:pPr>
        <w:spacing w:after="0" w:before="0" w:line="240" w:lineRule="auto"/>
      </w:pPr>
      <w:r>
        <w:rPr>
          <w:rFonts w:ascii="Courier New" w:cs="Courier New" w:eastAsia="Courier New" w:hAnsi="Courier New"/>
          <w:sz w:val="24"/>
          <w:szCs w:val="24"/>
        </w:rPr>
        <w:t xml:space="preserve">        y_train = y[:train_eff_end]</w:t>
      </w:r>
    </w:p>
    <w:p>
      <w:pPr>
        <w:spacing w:after="0" w:before="0" w:line="240" w:lineRule="auto"/>
      </w:pPr>
      <w:r>
        <w:rPr>
          <w:rFonts w:ascii="Courier New" w:cs="Courier New" w:eastAsia="Courier New" w:hAnsi="Courier New"/>
          <w:sz w:val="24"/>
          <w:szCs w:val="24"/>
        </w:rPr>
        <w:t xml:space="preserve">        X_test = X[train_end : train_end + test_fold_bars]</w:t>
      </w:r>
    </w:p>
    <w:p>
      <w:pPr>
        <w:spacing w:after="0" w:before="0" w:line="240" w:lineRule="auto"/>
      </w:pPr>
      <w:r>
        <w:rPr>
          <w:rFonts w:ascii="Courier New" w:cs="Courier New" w:eastAsia="Courier New" w:hAnsi="Courier New"/>
          <w:sz w:val="24"/>
          <w:szCs w:val="24"/>
        </w:rPr>
        <w:t xml:space="preserve">        y_test = y[train_end : train_end + test_fold_bars]</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 Игнорируем фолд если данных слишком мало или один класс.</w:t>
      </w:r>
    </w:p>
    <w:p>
      <w:pPr>
        <w:spacing w:after="0" w:before="0" w:line="240" w:lineRule="auto"/>
      </w:pPr>
      <w:r>
        <w:rPr>
          <w:rFonts w:ascii="Courier New" w:cs="Courier New" w:eastAsia="Courier New" w:hAnsi="Courier New"/>
          <w:sz w:val="24"/>
          <w:szCs w:val="24"/>
        </w:rPr>
        <w:t xml:space="preserve">        if len(X_train) &lt; 100 or len(set(y_train.flatten())) &lt; 2:</w:t>
      </w:r>
    </w:p>
    <w:p>
      <w:pPr>
        <w:spacing w:after="0" w:before="0" w:line="240" w:lineRule="auto"/>
      </w:pPr>
      <w:r>
        <w:rPr>
          <w:rFonts w:ascii="Courier New" w:cs="Courier New" w:eastAsia="Courier New" w:hAnsi="Courier New"/>
          <w:sz w:val="24"/>
          <w:szCs w:val="24"/>
        </w:rPr>
        <w:t xml:space="preserve">            train_end += step_bars</w:t>
      </w:r>
    </w:p>
    <w:p>
      <w:pPr>
        <w:spacing w:after="0" w:before="0" w:line="240" w:lineRule="auto"/>
      </w:pPr>
      <w:r>
        <w:rPr>
          <w:rFonts w:ascii="Courier New" w:cs="Courier New" w:eastAsia="Courier New" w:hAnsi="Courier New"/>
          <w:sz w:val="24"/>
          <w:szCs w:val="24"/>
        </w:rPr>
        <w:t xml:space="preserve">            continue</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model = clone_estimator()  # свежий экземпляр на каждом фолде</w:t>
      </w:r>
    </w:p>
    <w:p>
      <w:pPr>
        <w:spacing w:after="0" w:before="0" w:line="240" w:lineRule="auto"/>
      </w:pPr>
      <w:r>
        <w:rPr>
          <w:rFonts w:ascii="Courier New" w:cs="Courier New" w:eastAsia="Courier New" w:hAnsi="Courier New"/>
          <w:sz w:val="24"/>
          <w:szCs w:val="24"/>
        </w:rPr>
        <w:t xml:space="preserve">        model.fit(X_train, y_train)</w:t>
      </w:r>
    </w:p>
    <w:p>
      <w:pPr>
        <w:spacing w:after="0" w:before="0" w:line="240" w:lineRule="auto"/>
      </w:pPr>
      <w:r>
        <w:rPr>
          <w:rFonts w:ascii="Courier New" w:cs="Courier New" w:eastAsia="Courier New" w:hAnsi="Courier New"/>
          <w:sz w:val="24"/>
          <w:szCs w:val="24"/>
        </w:rPr>
        <w:t xml:space="preserve">        oos_preds.extend(model.predict(X_test))</w:t>
      </w:r>
    </w:p>
    <w:p>
      <w:pPr>
        <w:spacing w:after="0" w:before="0" w:line="240" w:lineRule="auto"/>
      </w:pPr>
      <w:r>
        <w:rPr>
          <w:rFonts w:ascii="Courier New" w:cs="Courier New" w:eastAsia="Courier New" w:hAnsi="Courier New"/>
          <w:sz w:val="24"/>
          <w:szCs w:val="24"/>
        </w:rPr>
        <w:t xml:space="preserve">        oos_truth.extend(y_test)</w:t>
      </w:r>
    </w:p>
    <w:p>
      <w:pPr>
        <w:spacing w:after="0" w:before="0" w:line="240" w:lineRule="auto"/>
      </w:pPr>
      <w:r>
        <w:rPr>
          <w:rFonts w:ascii="Courier New" w:cs="Courier New" w:eastAsia="Courier New" w:hAnsi="Courier New"/>
          <w:sz w:val="24"/>
          <w:szCs w:val="24"/>
        </w:rPr>
        <w:t xml:space="preserve">        train_end += step_bars</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return np.array(oos_preds), np.array(oos_truth)</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Б.3. NNLS-стэкинг весов ансамбля моделей (см. §3.3):</w:t>
      </w:r>
    </w:p>
    <w:p>
      <w:pPr>
        <w:spacing w:after="0" w:before="0" w:line="240" w:lineRule="auto"/>
      </w:pPr>
      <w:r>
        <w:rPr>
          <w:rFonts w:ascii="Courier New" w:cs="Courier New" w:eastAsia="Courier New" w:hAnsi="Courier New"/>
          <w:sz w:val="24"/>
          <w:szCs w:val="24"/>
        </w:rPr>
        <w:t xml:space="preserve">from scipy.optimize import nnls</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def fit_ensemble_weights(val_preds, val_truth):</w:t>
      </w:r>
    </w:p>
    <w:p>
      <w:pPr>
        <w:spacing w:after="0" w:before="0" w:line="240" w:lineRule="auto"/>
      </w:pPr>
      <w:r>
        <w:rPr>
          <w:rFonts w:ascii="Courier New" w:cs="Courier New" w:eastAsia="Courier New" w:hAnsi="Courier New"/>
          <w:sz w:val="24"/>
          <w:szCs w:val="24"/>
        </w:rPr>
        <w:t xml:space="preserve">    """Подбирает неотрицательные веса w ансамбля так, чтобы</w:t>
      </w:r>
    </w:p>
    <w:p>
      <w:pPr>
        <w:spacing w:after="0" w:before="0" w:line="240" w:lineRule="auto"/>
      </w:pPr>
      <w:r>
        <w:rPr>
          <w:rFonts w:ascii="Courier New" w:cs="Courier New" w:eastAsia="Courier New" w:hAnsi="Courier New"/>
          <w:sz w:val="24"/>
          <w:szCs w:val="24"/>
        </w:rPr>
        <w:t xml:space="preserve">    минимизировать ||val_truth - val_preds @ w||² при ограничении</w:t>
      </w:r>
    </w:p>
    <w:p>
      <w:pPr>
        <w:spacing w:after="0" w:before="0" w:line="240" w:lineRule="auto"/>
      </w:pPr>
      <w:r>
        <w:rPr>
          <w:rFonts w:ascii="Courier New" w:cs="Courier New" w:eastAsia="Courier New" w:hAnsi="Courier New"/>
          <w:sz w:val="24"/>
          <w:szCs w:val="24"/>
        </w:rPr>
        <w:t xml:space="preserve">    Σ wᵢ = 1, wᵢ ≥ 0. Решение через алгоритм Лоусона-Хансона (NNLS)</w:t>
      </w:r>
    </w:p>
    <w:p>
      <w:pPr>
        <w:spacing w:after="0" w:before="0" w:line="240" w:lineRule="auto"/>
      </w:pPr>
      <w:r>
        <w:rPr>
          <w:rFonts w:ascii="Courier New" w:cs="Courier New" w:eastAsia="Courier New" w:hAnsi="Courier New"/>
          <w:sz w:val="24"/>
          <w:szCs w:val="24"/>
        </w:rPr>
        <w:t xml:space="preserve">    + проекция результата на симплекс через L1-нормализацию.</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val_preds: np.ndarray формы (n_samples, n_models) — out-of-fold</w:t>
      </w:r>
    </w:p>
    <w:p>
      <w:pPr>
        <w:spacing w:after="0" w:before="0" w:line="240" w:lineRule="auto"/>
      </w:pPr>
      <w:r>
        <w:rPr>
          <w:rFonts w:ascii="Courier New" w:cs="Courier New" w:eastAsia="Courier New" w:hAnsi="Courier New"/>
          <w:sz w:val="24"/>
          <w:szCs w:val="24"/>
        </w:rPr>
        <w:t xml:space="preserve">               предсказания каждой модели на валидационной выборке.</w:t>
      </w:r>
    </w:p>
    <w:p>
      <w:pPr>
        <w:spacing w:after="0" w:before="0" w:line="240" w:lineRule="auto"/>
      </w:pPr>
      <w:r>
        <w:rPr>
          <w:rFonts w:ascii="Courier New" w:cs="Courier New" w:eastAsia="Courier New" w:hAnsi="Courier New"/>
          <w:sz w:val="24"/>
          <w:szCs w:val="24"/>
        </w:rPr>
        <w:t xml:space="preserve">    val_truth: np.ndarray формы (n_samples,) — фактические значения.</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 NNLS даёт неотрицательное решение без simplex-ограничения.</w:t>
      </w:r>
    </w:p>
    <w:p>
      <w:pPr>
        <w:spacing w:after="0" w:before="0" w:line="240" w:lineRule="auto"/>
      </w:pPr>
      <w:r>
        <w:rPr>
          <w:rFonts w:ascii="Courier New" w:cs="Courier New" w:eastAsia="Courier New" w:hAnsi="Courier New"/>
          <w:sz w:val="24"/>
          <w:szCs w:val="24"/>
        </w:rPr>
        <w:t xml:space="preserve">    weights, residual = nnls(val_preds, val_truth)</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 Проекция на симплекс: если решение нулевое (вырожденный случай),</w:t>
      </w:r>
    </w:p>
    <w:p>
      <w:pPr>
        <w:spacing w:after="0" w:before="0" w:line="240" w:lineRule="auto"/>
      </w:pPr>
      <w:r>
        <w:rPr>
          <w:rFonts w:ascii="Courier New" w:cs="Courier New" w:eastAsia="Courier New" w:hAnsi="Courier New"/>
          <w:sz w:val="24"/>
          <w:szCs w:val="24"/>
        </w:rPr>
        <w:t xml:space="preserve">    # возвращаем равномерные веса; иначе нормируем сумму до единицы.</w:t>
      </w:r>
    </w:p>
    <w:p>
      <w:pPr>
        <w:spacing w:after="0" w:before="0" w:line="240" w:lineRule="auto"/>
      </w:pPr>
      <w:r>
        <w:rPr>
          <w:rFonts w:ascii="Courier New" w:cs="Courier New" w:eastAsia="Courier New" w:hAnsi="Courier New"/>
          <w:sz w:val="24"/>
          <w:szCs w:val="24"/>
        </w:rPr>
        <w:t xml:space="preserve">    total = weights.sum()</w:t>
      </w:r>
    </w:p>
    <w:p>
      <w:pPr>
        <w:spacing w:after="0" w:before="0" w:line="240" w:lineRule="auto"/>
      </w:pPr>
      <w:r>
        <w:rPr>
          <w:rFonts w:ascii="Courier New" w:cs="Courier New" w:eastAsia="Courier New" w:hAnsi="Courier New"/>
          <w:sz w:val="24"/>
          <w:szCs w:val="24"/>
        </w:rPr>
        <w:t xml:space="preserve">    if total &lt; 1e-9:</w:t>
      </w:r>
    </w:p>
    <w:p>
      <w:pPr>
        <w:spacing w:after="0" w:before="0" w:line="240" w:lineRule="auto"/>
      </w:pPr>
      <w:r>
        <w:rPr>
          <w:rFonts w:ascii="Courier New" w:cs="Courier New" w:eastAsia="Courier New" w:hAnsi="Courier New"/>
          <w:sz w:val="24"/>
          <w:szCs w:val="24"/>
        </w:rPr>
        <w:t xml:space="preserve">        n_models = val_preds.shape[1]</w:t>
      </w:r>
    </w:p>
    <w:p>
      <w:pPr>
        <w:spacing w:after="0" w:before="0" w:line="240" w:lineRule="auto"/>
      </w:pPr>
      <w:r>
        <w:rPr>
          <w:rFonts w:ascii="Courier New" w:cs="Courier New" w:eastAsia="Courier New" w:hAnsi="Courier New"/>
          <w:sz w:val="24"/>
          <w:szCs w:val="24"/>
        </w:rPr>
        <w:t xml:space="preserve">        return np.ones(n_models) / n_models</w:t>
      </w:r>
    </w:p>
    <w:p>
      <w:pPr>
        <w:spacing w:after="0" w:before="0" w:line="240" w:lineRule="auto"/>
      </w:pPr>
      <w:r>
        <w:rPr>
          <w:rFonts w:ascii="Courier New" w:cs="Courier New" w:eastAsia="Courier New" w:hAnsi="Courier New"/>
          <w:sz w:val="24"/>
          <w:szCs w:val="24"/>
        </w:rPr>
        <w:t xml:space="preserve">    return weights / total</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def direction_aware_blend(nnls_weights, val_dir_accuracy, alpha=0.5):</w:t>
      </w:r>
    </w:p>
    <w:p>
      <w:pPr>
        <w:spacing w:after="0" w:before="0" w:line="240" w:lineRule="auto"/>
      </w:pPr>
      <w:r>
        <w:rPr>
          <w:rFonts w:ascii="Courier New" w:cs="Courier New" w:eastAsia="Courier New" w:hAnsi="Courier New"/>
          <w:sz w:val="24"/>
          <w:szCs w:val="24"/>
        </w:rPr>
        <w:t xml:space="preserve">    """Direction-aware blend: NNLS оптимизирует MAPE, но не направление.</w:t>
      </w:r>
    </w:p>
    <w:p>
      <w:pPr>
        <w:spacing w:after="0" w:before="0" w:line="240" w:lineRule="auto"/>
      </w:pPr>
      <w:r>
        <w:rPr>
          <w:rFonts w:ascii="Courier New" w:cs="Courier New" w:eastAsia="Courier New" w:hAnsi="Courier New"/>
          <w:sz w:val="24"/>
          <w:szCs w:val="24"/>
        </w:rPr>
        <w:t xml:space="preserve">    Если все модели имеют похожий MAPE, NNLS может присвоить вес 1.0</w:t>
      </w:r>
    </w:p>
    <w:p>
      <w:pPr>
        <w:spacing w:after="0" w:before="0" w:line="240" w:lineRule="auto"/>
      </w:pPr>
      <w:r>
        <w:rPr>
          <w:rFonts w:ascii="Courier New" w:cs="Courier New" w:eastAsia="Courier New" w:hAnsi="Courier New"/>
          <w:sz w:val="24"/>
          <w:szCs w:val="24"/>
        </w:rPr>
        <w:t xml:space="preserve">    одной случайной — что плохо для directional accuracy. Подмешиваем</w:t>
      </w:r>
    </w:p>
    <w:p>
      <w:pPr>
        <w:spacing w:after="0" w:before="0" w:line="240" w:lineRule="auto"/>
      </w:pPr>
      <w:r>
        <w:rPr>
          <w:rFonts w:ascii="Courier New" w:cs="Courier New" w:eastAsia="Courier New" w:hAnsi="Courier New"/>
          <w:sz w:val="24"/>
          <w:szCs w:val="24"/>
        </w:rPr>
        <w:t xml:space="preserve">    веса, пропорциональные excess_dir = max(0, dir_acc - 0.5).</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excess = np.maximum(0.0, val_dir_accuracy - 0.5)</w:t>
      </w:r>
    </w:p>
    <w:p>
      <w:pPr>
        <w:spacing w:after="0" w:before="0" w:line="240" w:lineRule="auto"/>
      </w:pPr>
      <w:r>
        <w:rPr>
          <w:rFonts w:ascii="Courier New" w:cs="Courier New" w:eastAsia="Courier New" w:hAnsi="Courier New"/>
          <w:sz w:val="24"/>
          <w:szCs w:val="24"/>
        </w:rPr>
        <w:t xml:space="preserve">    total_skill = excess.sum()</w:t>
      </w:r>
    </w:p>
    <w:p>
      <w:pPr>
        <w:spacing w:after="0" w:before="0" w:line="240" w:lineRule="auto"/>
      </w:pPr>
      <w:r>
        <w:rPr>
          <w:rFonts w:ascii="Courier New" w:cs="Courier New" w:eastAsia="Courier New" w:hAnsi="Courier New"/>
          <w:sz w:val="24"/>
          <w:szCs w:val="24"/>
        </w:rPr>
        <w:t xml:space="preserve">    if total_skill &lt;= 0:</w:t>
      </w:r>
    </w:p>
    <w:p>
      <w:pPr>
        <w:spacing w:after="0" w:before="0" w:line="240" w:lineRule="auto"/>
      </w:pPr>
      <w:r>
        <w:rPr>
          <w:rFonts w:ascii="Courier New" w:cs="Courier New" w:eastAsia="Courier New" w:hAnsi="Courier New"/>
          <w:sz w:val="24"/>
          <w:szCs w:val="24"/>
        </w:rPr>
        <w:t xml:space="preserve">        return nnls_weights  # никто не лучше монетки</w:t>
      </w:r>
    </w:p>
    <w:p>
      <w:pPr>
        <w:spacing w:after="0" w:before="0" w:line="240" w:lineRule="auto"/>
      </w:pPr>
      <w:r>
        <w:rPr>
          <w:rFonts w:ascii="Courier New" w:cs="Courier New" w:eastAsia="Courier New" w:hAnsi="Courier New"/>
          <w:sz w:val="24"/>
          <w:szCs w:val="24"/>
        </w:rPr>
        <w:t xml:space="preserve">    dir_weights = excess / total_skill</w:t>
      </w:r>
    </w:p>
    <w:p>
      <w:pPr>
        <w:spacing w:after="0" w:before="0" w:line="240" w:lineRule="auto"/>
      </w:pPr>
      <w:r>
        <w:rPr>
          <w:rFonts w:ascii="Courier New" w:cs="Courier New" w:eastAsia="Courier New" w:hAnsi="Courier New"/>
          <w:sz w:val="24"/>
          <w:szCs w:val="24"/>
        </w:rPr>
        <w:t xml:space="preserve">    blended = (1 - alpha) * nnls_weights + alpha * dir_weights</w:t>
      </w:r>
    </w:p>
    <w:p>
      <w:pPr>
        <w:spacing w:after="0" w:before="0" w:line="240" w:lineRule="auto"/>
      </w:pPr>
      <w:r>
        <w:rPr>
          <w:rFonts w:ascii="Courier New" w:cs="Courier New" w:eastAsia="Courier New" w:hAnsi="Courier New"/>
          <w:sz w:val="24"/>
          <w:szCs w:val="24"/>
        </w:rPr>
        <w:t xml:space="preserve">    return blended / blended.sum()</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Б.4. Применение sentiment-bias-коррекции к итоговому прогнозу (см. §3.4):</w:t>
      </w:r>
    </w:p>
    <w:p>
      <w:pPr>
        <w:spacing w:after="0" w:before="0" w:line="240" w:lineRule="auto"/>
      </w:pPr>
      <w:r>
        <w:rPr>
          <w:rFonts w:ascii="Courier New" w:cs="Courier New" w:eastAsia="Courier New" w:hAnsi="Courier New"/>
          <w:sz w:val="24"/>
          <w:szCs w:val="24"/>
        </w:rPr>
        <w:t xml:space="preserve">def apply_sentiment_bias(</w:t>
      </w:r>
    </w:p>
    <w:p>
      <w:pPr>
        <w:spacing w:after="0" w:before="0" w:line="240" w:lineRule="auto"/>
      </w:pPr>
      <w:r>
        <w:rPr>
          <w:rFonts w:ascii="Courier New" w:cs="Courier New" w:eastAsia="Courier New" w:hAnsi="Courier New"/>
          <w:sz w:val="24"/>
          <w:szCs w:val="24"/>
        </w:rPr>
        <w:t xml:space="preserve">    result: dict,</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sentiment_score: float,   # средняя тональность s_avg ∈ [-1, +1]</w:t>
      </w:r>
    </w:p>
    <w:p>
      <w:pPr>
        <w:spacing w:after="0" w:before="0" w:line="240" w:lineRule="auto"/>
      </w:pPr>
      <w:r>
        <w:rPr>
          <w:rFonts w:ascii="Courier New" w:cs="Courier New" w:eastAsia="Courier New" w:hAnsi="Courier New"/>
          <w:sz w:val="24"/>
          <w:szCs w:val="24"/>
        </w:rPr>
        <w:t xml:space="preserve">    total_articles: int,      # фактическое число доступных новостей</w:t>
      </w:r>
    </w:p>
    <w:p>
      <w:pPr>
        <w:spacing w:after="0" w:before="0" w:line="240" w:lineRule="auto"/>
      </w:pPr>
      <w:r>
        <w:rPr>
          <w:rFonts w:ascii="Courier New" w:cs="Courier New" w:eastAsia="Courier New" w:hAnsi="Courier New"/>
          <w:sz w:val="24"/>
          <w:szCs w:val="24"/>
        </w:rPr>
        <w:t xml:space="preserve">    alpha: float = 0.005,     # коэффициент чувствительности</w:t>
      </w:r>
    </w:p>
    <w:p>
      <w:pPr>
        <w:spacing w:after="0" w:before="0" w:line="240" w:lineRule="auto"/>
      </w:pPr>
      <w:r>
        <w:rPr>
          <w:rFonts w:ascii="Courier New" w:cs="Courier New" w:eastAsia="Courier New" w:hAnsi="Courier New"/>
          <w:sz w:val="24"/>
          <w:szCs w:val="24"/>
        </w:rPr>
        <w:t xml:space="preserve">    n_full: int = 50,         # порог насыщения по объёму новостей</w:t>
      </w:r>
    </w:p>
    <w:p>
      <w:pPr>
        <w:spacing w:after="0" w:before="0" w:line="240" w:lineRule="auto"/>
      </w:pPr>
      <w:r>
        <w:rPr>
          <w:rFonts w:ascii="Courier New" w:cs="Courier New" w:eastAsia="Courier New" w:hAnsi="Courier New"/>
          <w:sz w:val="24"/>
          <w:szCs w:val="24"/>
        </w:rPr>
        <w:t xml:space="preserve">) -&gt; None:</w:t>
      </w:r>
    </w:p>
    <w:p>
      <w:pPr>
        <w:spacing w:after="0" w:before="0" w:line="240" w:lineRule="auto"/>
      </w:pPr>
      <w:r>
        <w:rPr>
          <w:rFonts w:ascii="Courier New" w:cs="Courier New" w:eastAsia="Courier New" w:hAnsi="Courier New"/>
          <w:sz w:val="24"/>
          <w:szCs w:val="24"/>
        </w:rPr>
        <w:t xml:space="preserve">    """Мультипликативная коррекция future_preds[] на основе sentiment.</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Применяется формула:</w:t>
      </w:r>
    </w:p>
    <w:p>
      <w:pPr>
        <w:spacing w:after="0" w:before="0" w:line="240" w:lineRule="auto"/>
      </w:pPr>
      <w:r>
        <w:rPr>
          <w:rFonts w:ascii="Courier New" w:cs="Courier New" w:eastAsia="Courier New" w:hAnsi="Courier New"/>
          <w:sz w:val="24"/>
          <w:szCs w:val="24"/>
        </w:rPr>
        <w:t xml:space="preserve">        ŷ_corrected = ŷ_ensemble · (1 + α · s_avg · min(1, n / N_full))</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Множитель min(1, n / N_full) обеспечивает плавное «включение»</w:t>
      </w:r>
    </w:p>
    <w:p>
      <w:pPr>
        <w:spacing w:after="0" w:before="0" w:line="240" w:lineRule="auto"/>
      </w:pPr>
      <w:r>
        <w:rPr>
          <w:rFonts w:ascii="Courier New" w:cs="Courier New" w:eastAsia="Courier New" w:hAnsi="Courier New"/>
          <w:sz w:val="24"/>
          <w:szCs w:val="24"/>
        </w:rPr>
        <w:t xml:space="preserve">    sentiment-сигнала при росте числа новостей и предотвращает</w:t>
      </w:r>
    </w:p>
    <w:p>
      <w:pPr>
        <w:spacing w:after="0" w:before="0" w:line="240" w:lineRule="auto"/>
      </w:pPr>
      <w:r>
        <w:rPr>
          <w:rFonts w:ascii="Courier New" w:cs="Courier New" w:eastAsia="Courier New" w:hAnsi="Courier New"/>
          <w:sz w:val="24"/>
          <w:szCs w:val="24"/>
        </w:rPr>
        <w:t xml:space="preserve">    переоценку слабого сигнала на скудных данных.</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if total_articles &lt;= 0 or not result.get("future_preds"):</w:t>
      </w:r>
    </w:p>
    <w:p>
      <w:pPr>
        <w:spacing w:after="0" w:before="0" w:line="240" w:lineRule="auto"/>
      </w:pPr>
      <w:r>
        <w:rPr>
          <w:rFonts w:ascii="Courier New" w:cs="Courier New" w:eastAsia="Courier New" w:hAnsi="Courier New"/>
          <w:sz w:val="24"/>
          <w:szCs w:val="24"/>
        </w:rPr>
        <w:t xml:space="preserve">        return</w:t>
      </w:r>
    </w:p>
    <w:p>
      <w:pPr>
        <w:spacing w:after="0" w:before="0" w:line="240" w:lineRule="auto"/>
      </w:pPr>
      <w:r>
        <w:rPr>
          <w:rFonts w:ascii="Courier New" w:cs="Courier New" w:eastAsia="Courier New" w:hAnsi="Courier New"/>
          <w:sz w:val="24"/>
          <w:szCs w:val="24"/>
        </w:rPr>
        <w:t xml:space="preserve">    saturation = min(1.0, total_articles / n_full)</w:t>
      </w:r>
    </w:p>
    <w:p>
      <w:pPr>
        <w:spacing w:after="0" w:before="0" w:line="240" w:lineRule="auto"/>
      </w:pPr>
      <w:r>
        <w:rPr>
          <w:rFonts w:ascii="Courier New" w:cs="Courier New" w:eastAsia="Courier New" w:hAnsi="Courier New"/>
          <w:sz w:val="24"/>
          <w:szCs w:val="24"/>
        </w:rPr>
        <w:t xml:space="preserve">    multiplier = 1.0 + alpha * sentiment_score * saturation</w:t>
      </w:r>
    </w:p>
    <w:p>
      <w:pPr>
        <w:spacing w:after="0" w:before="0" w:line="240" w:lineRule="auto"/>
      </w:pPr>
      <w:r>
        <w:rPr>
          <w:rFonts w:ascii="Courier New" w:cs="Courier New" w:eastAsia="Courier New" w:hAnsi="Courier New"/>
          <w:sz w:val="24"/>
          <w:szCs w:val="24"/>
        </w:rPr>
        <w:t xml:space="preserve">    result["future_preds"] = [</w:t>
      </w:r>
    </w:p>
    <w:p>
      <w:pPr>
        <w:spacing w:after="0" w:before="0" w:line="240" w:lineRule="auto"/>
      </w:pPr>
      <w:r>
        <w:rPr>
          <w:rFonts w:ascii="Courier New" w:cs="Courier New" w:eastAsia="Courier New" w:hAnsi="Courier New"/>
          <w:sz w:val="24"/>
          <w:szCs w:val="24"/>
        </w:rPr>
        <w:t xml:space="preserve">        float(p) * multiplier for p in result["future_preds"]</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result["sentiment_applied"] = True</w:t>
      </w:r>
    </w:p>
    <w:p>
      <w:pPr>
        <w:spacing w:after="0" w:before="0" w:line="240" w:lineRule="auto"/>
      </w:pPr>
      <w:r>
        <w:rPr>
          <w:rFonts w:ascii="Courier New" w:cs="Courier New" w:eastAsia="Courier New" w:hAnsi="Courier New"/>
          <w:sz w:val="24"/>
          <w:szCs w:val="24"/>
        </w:rPr>
        <w:t xml:space="preserve">    result["sentiment_bias_pct"] = (multiplier - 1.0) * 100.0</w:t>
      </w:r>
    </w:p>
    <w:sectPr>
      <w:footerReference w:type="default" r:id="rId7"/>
      <w:pgSz w:w="11906" w:h="16838" w:orient="portrait"/>
      <w:pgMar w:top="1134" w:right="850" w:bottom="1134" w:left="1701" w:header="720" w:footer="720" w:gutter="0"/>
      <w:pgNumType w:start="2"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 Разработка веб-сервиса прогнозирования котировок</dc:title>
  <dc:creator>Староверов Н.С.</dc:creator>
  <cp:lastModifiedBy>Un-named</cp:lastModifiedBy>
  <cp:revision>1</cp:revision>
  <dcterms:created xsi:type="dcterms:W3CDTF">2026-05-11T15:09:36.302Z</dcterms:created>
  <dcterms:modified xsi:type="dcterms:W3CDTF">2026-05-11T15:09:36.303Z</dcterms:modified>
</cp:coreProperties>
</file>

<file path=docProps/custom.xml><?xml version="1.0" encoding="utf-8"?>
<Properties xmlns="http://schemas.openxmlformats.org/officeDocument/2006/custom-properties" xmlns:vt="http://schemas.openxmlformats.org/officeDocument/2006/docPropsVTypes"/>
</file>