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FOREST GANG – Paytable Draft</w:t>
      </w:r>
    </w:p>
    <w:p>
      <w:r>
        <w:t>Initial paytable draft for Forest Gang. This is a high-volatility book-style slot with expanding symbols and a 20,000x max win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3 of a Kind</w:t>
            </w:r>
          </w:p>
        </w:tc>
        <w:tc>
          <w:tcPr>
            <w:tcW w:type="dxa" w:w="2160"/>
          </w:tcPr>
          <w:p>
            <w:r>
              <w:t>4 of a Kind</w:t>
            </w:r>
          </w:p>
        </w:tc>
        <w:tc>
          <w:tcPr>
            <w:tcW w:type="dxa" w:w="2160"/>
          </w:tcPr>
          <w:p>
            <w:r>
              <w:t>5 of a Kind</w:t>
            </w:r>
          </w:p>
        </w:tc>
      </w:tr>
      <w:tr>
        <w:tc>
          <w:tcPr>
            <w:tcW w:type="dxa" w:w="2160"/>
          </w:tcPr>
          <w:p>
            <w:r>
              <w:t>Fox (Top Premium)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20x</w:t>
            </w:r>
          </w:p>
        </w:tc>
        <w:tc>
          <w:tcPr>
            <w:tcW w:type="dxa" w:w="2160"/>
          </w:tcPr>
          <w:p>
            <w:r>
              <w:t>250x</w:t>
            </w:r>
          </w:p>
        </w:tc>
      </w:tr>
      <w:tr>
        <w:tc>
          <w:tcPr>
            <w:tcW w:type="dxa" w:w="2160"/>
          </w:tcPr>
          <w:p>
            <w:r>
              <w:t>Wolf</w:t>
            </w:r>
          </w:p>
        </w:tc>
        <w:tc>
          <w:tcPr>
            <w:tcW w:type="dxa" w:w="2160"/>
          </w:tcPr>
          <w:p>
            <w:r>
              <w:t>2.5x</w:t>
            </w:r>
          </w:p>
        </w:tc>
        <w:tc>
          <w:tcPr>
            <w:tcW w:type="dxa" w:w="2160"/>
          </w:tcPr>
          <w:p>
            <w:r>
              <w:t>15x</w:t>
            </w:r>
          </w:p>
        </w:tc>
        <w:tc>
          <w:tcPr>
            <w:tcW w:type="dxa" w:w="2160"/>
          </w:tcPr>
          <w:p>
            <w:r>
              <w:t>175x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2x</w:t>
            </w:r>
          </w:p>
        </w:tc>
        <w:tc>
          <w:tcPr>
            <w:tcW w:type="dxa" w:w="2160"/>
          </w:tcPr>
          <w:p>
            <w:r>
              <w:t>12x</w:t>
            </w:r>
          </w:p>
        </w:tc>
        <w:tc>
          <w:tcPr>
            <w:tcW w:type="dxa" w:w="2160"/>
          </w:tcPr>
          <w:p>
            <w:r>
              <w:t>150x</w:t>
            </w:r>
          </w:p>
        </w:tc>
      </w:tr>
      <w:tr>
        <w:tc>
          <w:tcPr>
            <w:tcW w:type="dxa" w:w="2160"/>
          </w:tcPr>
          <w:p>
            <w:r>
              <w:t>Rabbit</w:t>
            </w:r>
          </w:p>
        </w:tc>
        <w:tc>
          <w:tcPr>
            <w:tcW w:type="dxa" w:w="2160"/>
          </w:tcPr>
          <w:p>
            <w:r>
              <w:t>1.5x</w:t>
            </w:r>
          </w:p>
        </w:tc>
        <w:tc>
          <w:tcPr>
            <w:tcW w:type="dxa" w:w="2160"/>
          </w:tcPr>
          <w:p>
            <w:r>
              <w:t>10x</w:t>
            </w:r>
          </w:p>
        </w:tc>
        <w:tc>
          <w:tcPr>
            <w:tcW w:type="dxa" w:w="2160"/>
          </w:tcPr>
          <w:p>
            <w:r>
              <w:t>100x</w:t>
            </w:r>
          </w:p>
        </w:tc>
      </w:tr>
      <w:tr>
        <w:tc>
          <w:tcPr>
            <w:tcW w:type="dxa" w:w="2160"/>
          </w:tcPr>
          <w:p>
            <w:r>
              <w:t>Squirrel</w:t>
            </w:r>
          </w:p>
        </w:tc>
        <w:tc>
          <w:tcPr>
            <w:tcW w:type="dxa" w:w="2160"/>
          </w:tcPr>
          <w:p>
            <w:r>
              <w:t>1x</w:t>
            </w:r>
          </w:p>
        </w:tc>
        <w:tc>
          <w:tcPr>
            <w:tcW w:type="dxa" w:w="2160"/>
          </w:tcPr>
          <w:p>
            <w:r>
              <w:t>8x</w:t>
            </w:r>
          </w:p>
        </w:tc>
        <w:tc>
          <w:tcPr>
            <w:tcW w:type="dxa" w:w="2160"/>
          </w:tcPr>
          <w:p>
            <w:r>
              <w:t>75x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0.8x</w:t>
            </w:r>
          </w:p>
        </w:tc>
        <w:tc>
          <w:tcPr>
            <w:tcW w:type="dxa" w:w="2160"/>
          </w:tcPr>
          <w:p>
            <w:r>
              <w:t>5x</w:t>
            </w:r>
          </w:p>
        </w:tc>
        <w:tc>
          <w:tcPr>
            <w:tcW w:type="dxa" w:w="2160"/>
          </w:tcPr>
          <w:p>
            <w:r>
              <w:t>40x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0.7x</w:t>
            </w:r>
          </w:p>
        </w:tc>
        <w:tc>
          <w:tcPr>
            <w:tcW w:type="dxa" w:w="2160"/>
          </w:tcPr>
          <w:p>
            <w:r>
              <w:t>4x</w:t>
            </w:r>
          </w:p>
        </w:tc>
        <w:tc>
          <w:tcPr>
            <w:tcW w:type="dxa" w:w="2160"/>
          </w:tcPr>
          <w:p>
            <w:r>
              <w:t>35x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0.6x</w:t>
            </w:r>
          </w:p>
        </w:tc>
        <w:tc>
          <w:tcPr>
            <w:tcW w:type="dxa" w:w="2160"/>
          </w:tcPr>
          <w:p>
            <w:r>
              <w:t>3.5x</w:t>
            </w:r>
          </w:p>
        </w:tc>
        <w:tc>
          <w:tcPr>
            <w:tcW w:type="dxa" w:w="2160"/>
          </w:tcPr>
          <w:p>
            <w:r>
              <w:t>30x</w:t>
            </w:r>
          </w:p>
        </w:tc>
      </w:tr>
      <w:tr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0.5x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25x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0.4x</w:t>
            </w:r>
          </w:p>
        </w:tc>
        <w:tc>
          <w:tcPr>
            <w:tcW w:type="dxa" w:w="2160"/>
          </w:tcPr>
          <w:p>
            <w:r>
              <w:t>2.5x</w:t>
            </w:r>
          </w:p>
        </w:tc>
        <w:tc>
          <w:tcPr>
            <w:tcW w:type="dxa" w:w="2160"/>
          </w:tcPr>
          <w:p>
            <w:r>
              <w:t>20x</w:t>
            </w:r>
          </w:p>
        </w:tc>
      </w:tr>
    </w:tbl>
    <w:p>
      <w:pPr>
        <w:pStyle w:val="Heading2"/>
      </w:pPr>
      <w:r>
        <w:t>Scatter &amp; Bonus Information</w:t>
      </w:r>
    </w:p>
    <w:p>
      <w:r>
        <w:br/>
        <w:t>Scatter Symbol:</w:t>
        <w:br/>
        <w:t>• 3 Scatter symbols trigger the “Deal It” bonus.</w:t>
        <w:br/>
        <w:t>• 4 Scatter symbols trigger the “All In” super bonus.</w:t>
        <w:br/>
        <w:t>• Scatter pays can be added later depending on final RTP balancing.</w:t>
        <w:br/>
      </w:r>
    </w:p>
    <w:p>
      <w:pPr>
        <w:pStyle w:val="Heading2"/>
      </w:pPr>
      <w:r>
        <w:t>Bonus Multipliers</w:t>
      </w:r>
    </w:p>
    <w:p>
      <w:r>
        <w:br/>
        <w:t>Deal It Bonus:</w:t>
        <w:br/>
        <w:t>• Temporary multipliers can randomly apply to winning spins.</w:t>
        <w:br/>
        <w:br/>
        <w:t>All In Bonus:</w:t>
        <w:br/>
        <w:t>• Reel multipliers stay for the whole bonus.</w:t>
        <w:br/>
        <w:t>• Multipliers double when the same reel contributes another expanded win.</w:t>
        <w:br/>
      </w:r>
    </w:p>
    <w:p>
      <w:pPr>
        <w:pStyle w:val="Heading2"/>
      </w:pPr>
      <w:r>
        <w:t>Notes</w:t>
      </w:r>
    </w:p>
    <w:p>
      <w:r>
        <w:br/>
        <w:t>This is an early balancing draft intended for design direction.</w:t>
        <w:br/>
        <w:t>Final values, RTP balancing, reel strips, and volatility tuning should be completed during PAR sheet development.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