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y su fecha de vencimiento, según los días configurados en Parámetros.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