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r>
        <w:rPr>
          <w:i/>
          <w:color w:val="2E7D32"/>
        </w:rPr>
        <w:t>En Artículos y en Precios, al lado del buscador hay un «Buscar por» donde se elige Descripción o Código. La descripción se busca por parecido; el código (interno, de barras o de proveedor) hay que escribirlo completo, porque un código es el artículo o no lo es: buscar «040100» por pedazos devolvía cientos de artículos que solo empiezan igual.</w:t>
      </w:r>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el estado: activo o, si la DGII lo tiene suspendido, inactivo. El teléfono, el correo, el contacto, el tipo de comprobante, la lista de precios y las direcciones no se tocan: eso lo llenó usted.</w:t>
            </w:r>
          </w:p>
        </w:tc>
      </w:tr>
      <w:tr>
        <w:tc>
          <w:tcPr>
            <w:tcW w:type="dxa" w:w="2268"/>
          </w:tcPr>
          <w:p>
            <w:r>
              <w:t>Si no existe</w:t>
            </w:r>
          </w:p>
        </w:tc>
        <w:tc>
          <w:tcPr>
            <w:tcW w:type="dxa" w:w="6803"/>
          </w:tcPr>
          <w:p>
            <w:r>
              <w:t>Lo crea (inactivo si está suspendido). Un RNC de 9 dígitos nace con crédito fiscal (E31) y una cédula de 11 con consumo (E32). El código del cliente es su propio documento.</w:t>
            </w:r>
          </w:p>
        </w:tc>
      </w:tr>
      <w:tr>
        <w:tc>
          <w:tcPr>
            <w:tcW w:type="dxa" w:w="2268"/>
          </w:tcPr>
          <w:p>
            <w:r>
              <w:t>Estado</w:t>
            </w:r>
          </w:p>
        </w:tc>
        <w:tc>
          <w:tcPr>
            <w:tcW w:type="dxa" w:w="6803"/>
          </w:tcPr>
          <w:p>
            <w:r>
              <w:t>Se cargan los contribuyentes ACTIVO, que quedan activos, y los SUSPENDIDO, que quedan inactivos. Los demás estados se ignoran.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SIN ITBIS, como en Stellar: al vender, el ITBIS se calcula sobre cada línea y se suma aparte.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rPr>
          <w:i/>
          <w:color w:val="2E7D32"/>
        </w:rPr>
        <w:t>Las entregas no necesitan nada más: lo que el cliente deja para retirar se retira en una sucursal, la suya o la que él diga, y las sucursales ya están creadas.</w:t>
      </w:r>
    </w:p>
    <w:p>
      <w:r>
        <w:t>5.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6.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7. Usuarios y roles de caja: al menos un cajero (solo vender y cobrar), un supervisor (autoriza descuentos, devoluciones, retiros y notas internas) y un gerente (además autoriza lo de mayor monto).</w:t>
      </w:r>
    </w:p>
    <w:p>
      <w:r>
        <w:t>8. Rangos de comprobantes fiscales por caja (E31, E32, E34, E44 y E45), con los números que le asignó la DGII.</w:t>
      </w:r>
    </w:p>
    <w:p>
      <w:r>
        <w:t>9.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Largo de la contraseña del Central (mínimo y máximo)</w:t>
            </w:r>
          </w:p>
        </w:tc>
        <w:tc>
          <w:tcPr>
            <w:tcW w:type="dxa" w:w="1701"/>
          </w:tcPr>
          <w:p>
            <w:r>
              <w:t>10 · sin tope</w:t>
            </w:r>
          </w:p>
        </w:tc>
        <w:tc>
          <w:tcPr>
            <w:tcW w:type="dxa" w:w="5102"/>
          </w:tcPr>
          <w:p>
            <w:r>
              <w:t>Para los usuarios del Central Manager. El máximo es opcional: vacío, no hay tope.</w:t>
            </w:r>
          </w:p>
        </w:tc>
      </w:tr>
      <w:tr>
        <w:tc>
          <w:tcPr>
            <w:tcW w:type="dxa" w:w="2835"/>
          </w:tcPr>
          <w:p>
            <w:r>
              <w:t>Largo de la clave de caja (mínimo y máximo)</w:t>
            </w:r>
          </w:p>
        </w:tc>
        <w:tc>
          <w:tcPr>
            <w:tcW w:type="dxa" w:w="1701"/>
          </w:tcPr>
          <w:p>
            <w:r>
              <w:t>6 · sin tope</w:t>
            </w:r>
          </w:p>
        </w:tc>
        <w:tc>
          <w:tcPr>
            <w:tcW w:type="dxa" w:w="5102"/>
          </w:tcPr>
          <w:p>
            <w:r>
              <w:t>Para los usuarios de caja, aparte de los del Central: la escriben en el teclado de la caja. Si mínimo y máximo son iguales, la clave debe tener ese largo exacto.</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El código de la promoción no se escribe: lo da la secuencia «Promoción» (PRO000001) al guardarla, y no cambia. Su prefijo y sus dígitos se configuran en Organización → Secuencias de documentos.</w:t>
      </w:r>
    </w:p>
    <w:p>
      <w:pPr>
        <w:pStyle w:val="ListBullet"/>
      </w:pPr>
      <w:r>
        <w:t>Importar (/promociones/importar): carga masiva desde un archivo CSV; se valida todo el archivo y solo se publica si no hay errores. Una línea sin código crea una promoción nueva con el número de la secuencia; con código, actualiza esa promoción, que tiene que existir.</w:t>
      </w:r>
    </w:p>
    <w:p>
      <w:pPr>
        <w:pStyle w:val="ListBullet"/>
      </w:pPr>
      <w:r>
        <w:t>Simular (/promociones/simular): antes de publicar, muestra qué oferta tomaría la caja para un artículo, cantidad, sucursal y fecha.</w:t>
      </w:r>
    </w:p>
    <w:p>
      <w:pPr>
        <w:pStyle w:val="ListBullet"/>
      </w:pPr>
      <w:r>
        <w:t>Los artículos se agregan digitando el código (o el de barras) y Enter: entra de una vez a la lista, con el precio de antes y el que quedaría con la oferta, y el foco vuelve al código para seguir escaneando. El último agregado se ve arriba.</w:t>
      </w:r>
    </w:p>
    <w:p>
      <w:pPr>
        <w:pStyle w:val="ListBullet"/>
      </w:pPr>
      <w:r>
        <w:t>La lista muestra el estado de cada promoción y cuántas cajas ya la recibieron; se filtra por texto, sucursal y rango de fechas.</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Ejemplo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Para hacer una nueva, use «Nueva lista» del menú o el botón del listado: se abre una pantalla completa, no una ventanita.</w:t>
      </w:r>
    </w:p>
    <w:p>
      <w:pPr>
        <w:pStyle w:val="ListNumber"/>
      </w:pPr>
      <w:r>
        <w:t>Escriba los datos de los festejados (cédula o RNC, teléfono, correo) y los del evento (nombre, fecha, lugar).</w:t>
      </w:r>
    </w:p>
    <w:p>
      <w:pPr>
        <w:pStyle w:val="ListNumber"/>
      </w:pPr>
      <w:r>
        <w:t>Agregue los artículos sin soltar el teclado: digite el código y presione Enter (trae la descripción y el precio del día y salta a la cantidad), escriba la cantidad y otro Enter lo pasa a la lista y vuelve al código, vacío y listo para el siguiente. Si no escribe cantidad, vale una unidad. Lo último agregado queda arriba.</w:t>
      </w:r>
    </w:p>
    <w:p>
      <w:pPr>
        <w:pStyle w:val="ListNumber"/>
      </w:pPr>
      <w:r>
        <w:t>Si no se sabe el código, presione la lupa del campo y busque el artículo por código o por descripción. Los artículos siempre se eligen del maestro, nunca se escriben a mano, para que lo pedido sea exactamente lo que la caja cobra.</w:t>
      </w:r>
    </w:p>
    <w:p>
      <w:r>
        <w:rPr>
          <w:i/>
          <w:color w:val="2E7D32"/>
        </w:rPr>
        <w:t>El precio que se ve al agregar es el del día, solo para orientar a los festejados: la lista guarda lo pedido, no precios, y la caja cobra el precio que esté vigente el día de cada compra. Por eso los artículos de una lista ya guardada muestran una raya en vez de precio.</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r>
        <w:t>El listado queda solo para buscar: escriba el número, el evento, el cliente o su documento, o filtre por estado. Al tocar una fila se abre esa lista en su pantalla, con lo comprado y las facturas registradas.</w:t>
      </w:r>
    </w:p>
    <w:p>
      <w:pPr>
        <w:pStyle w:val="Heading2"/>
      </w:pPr>
      <w:r>
        <w:t>2.13. Cotizaciones</w:t>
      </w:r>
    </w:p>
    <w:p>
      <w:r>
        <w:t>Ruta: /cotizaciones. Es el presupuesto que se le arma a un cliente desde cualquier computadora con navegador: no hace falta que sea una caja. Los precios quedan congelados mientras la cotización esté vigente, y después cualquier caja de cualquier sucursal la convierte en factura buscándola por su número (F9).</w:t>
      </w:r>
    </w:p>
    <w:p>
      <w:pPr>
        <w:pStyle w:val="ListNumber"/>
      </w:pPr>
      <w:r>
        <w:t>Para hacer una nueva, use «Nueva cotización» del menú o el botón del listado: se abre una pantalla completa, no una ventanita.</w:t>
      </w:r>
    </w:p>
    <w:p>
      <w:pPr>
        <w:pStyle w:val="ListNumber"/>
      </w:pPr>
      <w:r>
        <w:t>Escriba el nombre del cliente y, si lo tiene, su cédula o RNC, teléfono y correo.</w:t>
      </w:r>
    </w:p>
    <w:p>
      <w:pPr>
        <w:pStyle w:val="ListNumber"/>
      </w:pPr>
      <w:r>
        <w:t>Agregue los artículos sin soltar el teclado: digite el código y presione Enter (trae la descripción y el precio del día y salta a la cantidad), escriba la cantidad y Enter (salta al descuento), y otro Enter lo pasa a la lista y vuelve al código, vacío y listo para el siguiente. La cantidad y el descuento salen vacíos: si no escribe nada, vale una unidad y sin descuento.</w:t>
      </w:r>
    </w:p>
    <w:p>
      <w:pPr>
        <w:pStyle w:val="ListNumber"/>
      </w:pPr>
      <w:r>
        <w:t>Si no se sabe el código, presione la lupa del campo: se abre una ventana para buscar el artículo por código o por descripción, y el que se elija cae en el campo del código. Si lo digitado no existe, esa ventana se abre sola con lo que se escribió.</w:t>
      </w:r>
    </w:p>
    <w:p>
      <w:r>
        <w:t>Lo último agregado queda arriba en la lista. El precio es el del maestro y no se digita: lo que se cotiza es el precio del día. La cantidad y el descuento sí se pueden corregir en la línea, y el total se ve arriba, al lado de la observación.</w:t>
      </w:r>
    </w:p>
    <w:p>
      <w:pPr>
        <w:pStyle w:val="ListNumber"/>
      </w:pPr>
      <w:r>
        <w:t>Guarde: el Central le asigna su número (por ejemplo COT000001) y su fecha de vencimiento, según los días configurados en Parámetros.</w:t>
      </w:r>
    </w:p>
    <w:p>
      <w:pPr>
        <w:pStyle w:val="ListNumber"/>
      </w:pPr>
      <w:r>
        <w:t>Con «Imprimir» sale el PDF en tamaño carta para entregárselo o enviárselo al cliente.</w:t>
      </w:r>
    </w:p>
    <w:p>
      <w:r>
        <w:t>El listado queda solo para buscar: escriba el número, el cliente, su documento o el número de la factura, o filtre por estado. Al tocar una fila se abre esa cotización en su pantalla.</w:t>
      </w:r>
    </w:p>
    <w:p>
      <w:r>
        <w:rPr>
          <w:i/>
          <w:color w:val="2E7D32"/>
        </w:rPr>
        <w:t>Una cotización ya facturada o anulada se abre igual, pero solo para consultarla: no se modifica.</w:t>
      </w:r>
    </w:p>
    <w:p>
      <w:pPr>
        <w:pStyle w:val="Heading2"/>
      </w:pPr>
      <w:r>
        <w:t>2.14. Fidelidad</w:t>
      </w:r>
    </w:p>
    <w:p>
      <w:r>
        <w:t>Ruta: /fidelidad/miembros. Miembros con su nivel, saldo de puntos, movimientos y ajustes. Los niveles y las reglas de acumulación se configuran en los catálogos.</w:t>
      </w:r>
    </w:p>
    <w:p>
      <w:pPr>
        <w:pStyle w:val="Heading2"/>
      </w:pPr>
      <w:r>
        <w:t>2.15. Despacho de pendientes y envíos</w:t>
      </w:r>
    </w:p>
    <w:p>
      <w:r>
        <w:t>Ruta: /despacho/pendientes. Aquí se despacha TODO lo que quedó pendiente de entregar en cualquier sucursal. El despacho se hace en el Central y no en la caja: no emite comprobante fiscal ni toca la gaveta, y quien atiende a un cliente que llama o que llega a otra tienda necesita verlos todos. La caja solo crea el pendiente al cobrar.</w:t>
      </w:r>
    </w:p>
    <w:p>
      <w:r>
        <w:t>En la lista se ven el estado, la fecha comprometida y los atrasos; se filtra por sucursal, método, estado, o solo los abiertos o los atrasados, y se busca por número, factura, cliente, teléfono o destino.</w:t>
      </w:r>
    </w:p>
    <w:p>
      <w:r>
        <w:t>Al abrir un pendiente:</w:t>
      </w:r>
    </w:p>
    <w:p>
      <w:pPr>
        <w:pStyle w:val="ListNumber"/>
      </w:pPr>
      <w:r>
        <w:t>Preparación: se marca En preparación, Preparado y, si es un envío, Despachado cuando sale con el transportista. No se pueden saltar pasos.</w:t>
      </w:r>
    </w:p>
    <w:p>
      <w:pPr>
        <w:pStyle w:val="ListNumber"/>
      </w:pPr>
      <w:r>
        <w:t>Entrega: se escribe cuánto se entrega de cada artículo (puede ser todo o una parte), el serial de los serializados, y el nombre y la cédula de quien recibe. Con una entrega parcial el pendiente queda en Parcial y guarda lo que falta.</w:t>
      </w:r>
    </w:p>
    <w:p>
      <w:pPr>
        <w:pStyle w:val="ListNumber"/>
      </w:pPr>
      <w:r>
        <w:t>Constancia: de cada entrega se imprime un PDF en tamaño carta para que lo firme quien recibe. Se imprime en una impresora normal, no en la de tickets.</w:t>
      </w:r>
    </w:p>
    <w:p>
      <w:pPr>
        <w:pStyle w:val="ListNumber"/>
      </w:pPr>
      <w:r>
        <w:t>Anular: solo si todavía no se ha entregado nada, con motivo. Libera la mercancía para poder devolverla.</w:t>
      </w:r>
    </w:p>
    <w:p>
      <w:r>
        <w:rPr>
          <w:i/>
          <w:color w:val="2E7D32"/>
        </w:rPr>
        <w:t>Anular un pendiente lleva su propio permiso (Central.Despacho.Anular), aparte del de operar el despacho: libera mercancía que ya se facturó.</w:t>
      </w:r>
    </w:p>
    <w:p>
      <w:r>
        <w:rPr>
          <w:i/>
          <w:color w:val="2E7D32"/>
        </w:rPr>
        <w:t>Mientras algo siga pendiente de entregar, no se puede devolver: el cliente todavía no lo tiene. Para devolverlo hay que anular primero el pendiente. Si el negocio lo activa, el Central le avisa por correo al cliente cuando su pedido queda preparado.</w:t>
      </w:r>
    </w:p>
    <w:p>
      <w:pPr>
        <w:pStyle w:val="Heading2"/>
      </w:pPr>
      <w:r>
        <w:t>2.16. Secuencias de documentos</w:t>
      </w:r>
    </w:p>
    <w:p>
      <w:r>
        <w:t>Ruta: /organizacion/secuencias. Aquí se dice cómo se numera cada documento que emite el Central: el prefijo que lleva delante, cuántos dígitos tiene el correlativo y por cuál va.</w:t>
      </w:r>
    </w:p>
    <w:p>
      <w:r>
        <w:rPr>
          <w:i/>
          <w:color w:val="2E7D32"/>
        </w:rPr>
        <w:t>Sin su secuencia, el documento NO se puede crear: el sistema lo rechaza diciendo cuál falta. Es a propósito, para que la numeración la decida el negocio y no se invente sola la primera vez que alguien hace el documento.</w:t>
      </w:r>
    </w:p>
    <w:p>
      <w:r>
        <w:t>El Central le pone su propio número a los documentos que le suben las cajas. Una factura llega con el número de la caja (010110000001) y el Central le agrega el suyo (FAC000001): los dos quedan guardados y se ven juntos en el listado de facturas. Lo mismo con las notas de crédito, los despachos y el cierre de sucursal. Las cotizaciones, las listas de boda y las promociones toman de aquí su número al crearse (COT000001, LB000001, PRO000001).</w:t>
      </w:r>
    </w:p>
    <w:p>
      <w:r>
        <w:rPr>
          <w:i/>
          <w:color w:val="2E7D32"/>
        </w:rPr>
        <w:t>Si al llegar un documento de la caja falta su secuencia, el documento se guarda igual pero sin número del Central: la caja ya lo emitió y perderlo sería peor. Configure la secuencia y los siguientes ya lo traerán.</w:t>
      </w:r>
    </w:p>
    <w:p>
      <w:r>
        <w:t>En el sistema hay tres numeraciones distintas y conviene no confundirlas:</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Numeración</w:t>
            </w:r>
          </w:p>
        </w:tc>
        <w:tc>
          <w:tcPr>
            <w:tcW w:type="dxa" w:w="3402"/>
          </w:tcPr>
          <w:p>
            <w:r/>
            <w:r>
              <w:rPr>
                <w:b/>
                <w:color w:val="1B4D3E"/>
              </w:rPr>
              <w:t>Quién la lleva</w:t>
            </w:r>
          </w:p>
        </w:tc>
        <w:tc>
          <w:tcPr>
            <w:tcW w:type="dxa" w:w="3402"/>
          </w:tcPr>
          <w:p>
            <w:r/>
            <w:r>
              <w:rPr>
                <w:b/>
                <w:color w:val="1B4D3E"/>
              </w:rPr>
              <w:t>Cómo se ve</w:t>
            </w:r>
          </w:p>
        </w:tc>
      </w:tr>
      <w:tr>
        <w:tc>
          <w:tcPr>
            <w:tcW w:type="dxa" w:w="2835"/>
          </w:tcPr>
          <w:p>
            <w:r>
              <w:t>Documentos de la caja</w:t>
            </w:r>
          </w:p>
        </w:tc>
        <w:tc>
          <w:tcPr>
            <w:tcW w:type="dxa" w:w="3402"/>
          </w:tcPr>
          <w:p>
            <w:r>
              <w:t>Cada caja, en su propia base</w:t>
            </w:r>
          </w:p>
        </w:tc>
        <w:tc>
          <w:tcPr>
            <w:tcW w:type="dxa" w:w="3402"/>
          </w:tcPr>
          <w:p>
            <w:r>
              <w:t>Sucursal + caja + tipo + secuencia (010110000001)</w:t>
            </w:r>
          </w:p>
        </w:tc>
      </w:tr>
      <w:tr>
        <w:tc>
          <w:tcPr>
            <w:tcW w:type="dxa" w:w="2835"/>
          </w:tcPr>
          <w:p>
            <w:r>
              <w:t>Documentos del Central</w:t>
            </w:r>
          </w:p>
        </w:tc>
        <w:tc>
          <w:tcPr>
            <w:tcW w:type="dxa" w:w="3402"/>
          </w:tcPr>
          <w:p>
            <w:r>
              <w:t>El Central, en esta pantalla</w:t>
            </w:r>
          </w:p>
        </w:tc>
        <w:tc>
          <w:tcPr>
            <w:tcW w:type="dxa" w:w="3402"/>
          </w:tcPr>
          <w:p>
            <w:r>
              <w:t>Prefijo + correlativo (COT000001)</w:t>
            </w:r>
          </w:p>
        </w:tc>
      </w:tr>
      <w:tr>
        <w:tc>
          <w:tcPr>
            <w:tcW w:type="dxa" w:w="2835"/>
          </w:tcPr>
          <w:p>
            <w:r>
              <w:t>Comprobantes fiscales</w:t>
            </w:r>
          </w:p>
        </w:tc>
        <w:tc>
          <w:tcPr>
            <w:tcW w:type="dxa" w:w="3402"/>
          </w:tcPr>
          <w:p>
            <w:r>
              <w:t>La caja, con el rango que da la DGII</w:t>
            </w:r>
          </w:p>
        </w:tc>
        <w:tc>
          <w:tcPr>
            <w:tcW w:type="dxa" w:w="3402"/>
          </w:tcPr>
          <w:p>
            <w:r>
              <w:t>e-NCF (E320000000001)</w:t>
            </w:r>
          </w:p>
        </w:tc>
      </w:tr>
    </w:tbl>
    <w:p/>
    <w:p>
      <w:r>
        <w:t>La de la caja funciona sin internet: la caja factura aunque el Central esté apagado. La de esta pantalla numera lo que nace en el Central (cotizaciones, listas de boda). Y el e-NCF se administra en Fiscal, que es otra cosa.</w:t>
      </w:r>
    </w:p>
    <w:p>
      <w:pPr>
        <w:pStyle w:val="ListBullet"/>
      </w:pPr>
      <w:r>
        <w:t>El CÓDIGO es con lo que el sistema encuentra la secuencia y no se cambia. El PREFIJO es solo lo que se ve delante del número, y ese sí se puede cambiar cuando quiera: lo que ya se emitió conserva el prefijo con el que salió.</w:t>
      </w:r>
    </w:p>
    <w:p>
      <w:pPr>
        <w:pStyle w:val="ListNumber"/>
      </w:pPr>
      <w:r>
        <w:t>Para agregar la numeración de un documento nuevo, presione «Nueva secuencia» y escriba su código, su prefijo y cómo se llama.</w:t>
      </w:r>
    </w:p>
    <w:p>
      <w:pPr>
        <w:pStyle w:val="ListNumber"/>
      </w:pPr>
      <w:r>
        <w:t>Para continuar una numeración que venía de otro sistema, cambie «Último número entregado». Solo se puede subir: bajarlo repetiría números ya usados.</w:t>
      </w:r>
    </w:p>
    <w:p>
      <w:pPr>
        <w:pStyle w:val="ListNumber"/>
      </w:pPr>
      <w:r>
        <w:t>Desactivar una secuencia impide crear ese documento y conserva el contador.</w:t>
      </w:r>
    </w:p>
    <w:p>
      <w:pPr>
        <w:pStyle w:val="Heading2"/>
      </w:pPr>
      <w:r>
        <w:t>2.17.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2.18.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2.19.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2.20.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 Los precios se muestran con el ITBIS ya sumado, que es lo que el cliente paga.</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La publicidad de la pantalla del cliente</w:t>
      </w:r>
    </w:p>
    <w:p>
      <w:r>
        <w:t>El segundo monitor muestra la venta y, al lado, la publicidad del negocio. Los archivos se copian en la carpeta C:\CGPOS\Publicidad del equipo de esa caja y se muestran en orden alfabético, así que conviene nombrarlos 01-..., 02-... y así.</w:t>
      </w:r>
    </w:p>
    <w:tbl>
      <w:tblPr>
        <w:tblStyle w:val="TableGrid"/>
        <w:tblW w:type="auto" w:w="0"/>
        <w:tblLook w:firstColumn="1" w:firstRow="1" w:lastColumn="0" w:lastRow="0" w:noHBand="0" w:noVBand="1" w:val="04A0"/>
      </w:tblPr>
      <w:tblGrid>
        <w:gridCol w:w="3173"/>
        <w:gridCol w:w="3173"/>
        <w:gridCol w:w="3173"/>
      </w:tblGrid>
      <w:tr>
        <w:tc>
          <w:tcPr>
            <w:tcW w:type="dxa" w:w="1814"/>
          </w:tcPr>
          <w:p>
            <w:r/>
            <w:r>
              <w:rPr>
                <w:b/>
                <w:color w:val="1B4D3E"/>
              </w:rPr>
              <w:t>Qué se puede poner</w:t>
            </w:r>
          </w:p>
        </w:tc>
        <w:tc>
          <w:tcPr>
            <w:tcW w:type="dxa" w:w="3118"/>
          </w:tcPr>
          <w:p>
            <w:r/>
            <w:r>
              <w:rPr>
                <w:b/>
                <w:color w:val="1B4D3E"/>
              </w:rPr>
              <w:t>Formatos</w:t>
            </w:r>
          </w:p>
        </w:tc>
        <w:tc>
          <w:tcPr>
            <w:tcW w:type="dxa" w:w="4592"/>
          </w:tcPr>
          <w:p>
            <w:r/>
            <w:r>
              <w:rPr>
                <w:b/>
                <w:color w:val="1B4D3E"/>
              </w:rPr>
              <w:t>Cuánto dura en pantalla</w:t>
            </w:r>
          </w:p>
        </w:tc>
      </w:tr>
      <w:tr>
        <w:tc>
          <w:tcPr>
            <w:tcW w:type="dxa" w:w="1814"/>
          </w:tcPr>
          <w:p>
            <w:r>
              <w:t>Imágenes</w:t>
            </w:r>
          </w:p>
        </w:tc>
        <w:tc>
          <w:tcPr>
            <w:tcW w:type="dxa" w:w="3118"/>
          </w:tcPr>
          <w:p>
            <w:r>
              <w:t>.png, .jpg, .jpeg, .webp, .svg</w:t>
            </w:r>
          </w:p>
        </w:tc>
        <w:tc>
          <w:tcPr>
            <w:tcW w:type="dxa" w:w="4592"/>
          </w:tcPr>
          <w:p>
            <w:r>
              <w:t>Los segundos del parámetro Pantallas.SegundosPorImagen</w:t>
            </w:r>
          </w:p>
        </w:tc>
      </w:tr>
      <w:tr>
        <w:tc>
          <w:tcPr>
            <w:tcW w:type="dxa" w:w="1814"/>
          </w:tcPr>
          <w:p>
            <w:r>
              <w:t>Videos</w:t>
            </w:r>
          </w:p>
        </w:tc>
        <w:tc>
          <w:tcPr>
            <w:tcW w:type="dxa" w:w="3118"/>
          </w:tcPr>
          <w:p>
            <w:r>
              <w:t>.mp4, .webm</w:t>
            </w:r>
          </w:p>
        </w:tc>
        <w:tc>
          <w:tcPr>
            <w:tcW w:type="dxa" w:w="4592"/>
          </w:tcPr>
          <w:p>
            <w:r>
              <w:t>Lo que dure el video: se reproduce completo y sin sonido</w:t>
            </w:r>
          </w:p>
        </w:tc>
      </w:tr>
    </w:tbl>
    <w:p/>
    <w:p>
      <w:r>
        <w:rPr>
          <w:i/>
          <w:color w:val="2E7D32"/>
        </w:rPr>
        <w:t>Los archivos se pueden cambiar con la caja encendida: entran solos cuando el carrusel termina la vuelta, sin reiniciar nada. Y si cambia los segundos por imagen en el Central, la pantalla lo toma en cuanto la caja sincroniza.</w:t>
      </w:r>
    </w:p>
    <w:p>
      <w:r>
        <w:rPr>
          <w:i/>
          <w:color w:val="2E7D32"/>
        </w:rPr>
        <w:t>Un video .avi o .mov no se ve: conviértalo a .mp4 antes de copiarlo. Sin bocinas no se pierde nada, porque el video va siempre sin sonido.</w:t>
      </w:r>
    </w:p>
    <w:p>
      <w:pPr>
        <w:pStyle w:val="Heading3"/>
      </w:pPr>
      <w:r>
        <w:t>3.1.3.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r>
        <w:rPr>
          <w:i/>
          <w:color w:val="2E7D32"/>
        </w:rPr>
        <w:t>Una caja recién configurada tarda en tener sus datos: mientras el Central se los manda, la pantalla dice «Actualizando los datos de la caja…», en qué anda y cuántos artículos lleva de cuántos. No hay nada que hacer, solo esperar: la pantalla se habilita sola al terminar. Si en vez de eso sale un aviso rojo, ahí sí hay algo que revisar, y debajo dice qué fue lo que no se pudo aplicar.</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factura que le tocará (se toma de verdad al cobrar: si otra venta se cobra antes, esta pasa al siguiente), cantidad de artículos, límite de compra, programa de fidelidad y lista de boda.</w:t>
            </w:r>
          </w:p>
        </w:tc>
      </w:tr>
      <w:tr>
        <w:tc>
          <w:tcPr>
            <w:tcW w:type="dxa" w:w="2835"/>
          </w:tcPr>
          <w:p>
            <w:r>
              <w:t>Encabezado derecho</w:t>
            </w:r>
          </w:p>
        </w:tc>
        <w:tc>
          <w:tcPr>
            <w:tcW w:type="dxa" w:w="6803"/>
          </w:tcPr>
          <w:p>
            <w:r>
              <w:t>Subtotal (la suma de las líneas, sin ITBIS), ITBIS (o el aviso de exenta en régimen especial), descuentos, TOTAL (subtotal más ITBIS) y, en facturas gubernamentales con retención, el total a pagar.</w:t>
            </w:r>
          </w:p>
        </w:tc>
      </w:tr>
      <w:tr>
        <w:tc>
          <w:tcPr>
            <w:tcW w:type="dxa" w:w="2835"/>
          </w:tcPr>
          <w:p>
            <w:r>
              <w:t>Campo de escaneo</w:t>
            </w:r>
          </w:p>
        </w:tc>
        <w:tc>
          <w:tcPr>
            <w:tcW w:type="dxa" w:w="6803"/>
          </w:tcPr>
          <w:p>
            <w:r>
              <w:t>Donde el lector escribe el código. También se puede digitar. A su derecha: catálogo, teclado en pantalla, Buscar (F2), Totalizar (F8) y el botón ☰ que abre el panel de funciones.</w:t>
            </w:r>
          </w:p>
        </w:tc>
      </w:tr>
      <w:tr>
        <w:tc>
          <w:tcPr>
            <w:tcW w:type="dxa" w:w="2835"/>
          </w:tcPr>
          <w:p>
            <w:r>
              <w:t>Grilla de líneas</w:t>
            </w:r>
          </w:p>
        </w:tc>
        <w:tc>
          <w:tcPr>
            <w:tcW w:type="dxa" w:w="6803"/>
          </w:tcPr>
          <w:p>
            <w:r>
              <w:t>Los artículos de la venta: línea, código, descripción, cantidad, precio y subtotal sin ITBIS, y la oferta aplicada.</w:t>
            </w:r>
          </w:p>
        </w:tc>
      </w:tr>
      <w:tr>
        <w:tc>
          <w:tcPr>
            <w:tcW w:type="dxa" w:w="2835"/>
          </w:tcPr>
          <w:p>
            <w:r>
              <w:t>Panel de funciones (☰)</w:t>
            </w:r>
          </w:p>
        </w:tc>
        <w:tc>
          <w:tcPr>
            <w:tcW w:type="dxa" w:w="6803"/>
          </w:tcPr>
          <w:p>
            <w:r>
              <w:t>Se despliega desde la derecha con todas las funciones. Se cierra solo al elegir una, al tocar fuera o al escanear: lo que se lee va a la venta.</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Buscar (F2) y Totalizar (F8) están siempre a la vista, junto al campo de escaneo. Todas las demás están en el panel de funciones, que se abre con el botón ☰. Las teclas F del teclado físico funcionan siempre, con el panel abierto o cerrado.</w:t>
      </w:r>
    </w:p>
    <w:p>
      <w:r>
        <w:t>Teclas de función:</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 y, al totalizar, pide confirmar «¿Cobrar de todas formas?» (queda en la auditoría)</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Más operaciones (en el mismo panel, debajo): catálogo en mosaicos, eliminar línea, eliminar por escaneo, limpiar pantalla, descuento a la línea, descuento a la factura, entrega o envío, anular, suspender, gaveta, reimprimir, retiro de efectivo, cierre de turno y salir.</w:t>
      </w:r>
    </w:p>
    <w:p>
      <w:r>
        <w:rPr>
          <w:i/>
          <w:color w:val="2E7D32"/>
        </w:rPr>
        <w:t>El teclado en pantalla de códigos, documentos y textos cambia entre números y letras con la tecla ABC / 123. El de cantidades y montos es solo numérico.</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Como los precios ya van sin ITBIS, simplemente no se le suma: un artículo de RD$100 se cobra a RD$100 y no a RD$118.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panel de funciones (☰).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 Se le pone una referencia corta, el nombre del cliente o unos dígitos («Sra. María», «102»), que es con lo que se encuentra en la lista al volver. Dos facturas en espera del mismo turno no pueden llamarse igual.</w:t>
      </w:r>
    </w:p>
    <w:p>
      <w:pPr>
        <w:pStyle w:val="ListBullet"/>
      </w:pPr>
      <w:r>
        <w:t>Para retomar una factura con otra venta en pantalla, escriba también la referencia de la que está en pantalla: las dos se intercambian. Si la de pantalla no tiene artículos, simplemente se descarta.</w:t>
      </w:r>
    </w:p>
    <w:p>
      <w:pPr>
        <w:pStyle w:val="ListBullet"/>
      </w:pPr>
      <w:r>
        <w:t>Mientras la venta se arma, la pantalla muestra el número de factura que le tocaría, pero el número se le da de verdad al cobrar, en el orden en que se cobra: una factura en espera no se lleva el número de otro cliente, y una venta que no se cobró no deja un hueco en la numeración. En la auditoría, la venta sin cobrar aparece como B-000015.</w:t>
      </w:r>
    </w:p>
    <w:p>
      <w:pPr>
        <w:pStyle w:val="ListBullet"/>
      </w:pPr>
      <w:r>
        <w:t>Una venta con tarjeta ya aprobada no se pone en espera: cóbrela o anule la tarjeta primero.</w:t>
      </w:r>
    </w:p>
    <w:p>
      <w:pPr>
        <w:pStyle w:val="ListBullet"/>
      </w:pPr>
      <w:r>
        <w:t>Anular (panel de funciones ☰): cancela la transacción en curso con motivo y autorización. Como todavía no era una factura, desaparece de la caja; lo que tenía, quién la anuló, quién lo autorizó y el motivo quedan en la auditoría.</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en su lugar, con su mismo número, y sale del total. La numeración de las líneas sigue continua; quién la eliminó y quién lo autorizó queda en la auditoría.</w:t>
      </w:r>
    </w:p>
    <w:p>
      <w:pPr>
        <w:pStyle w:val="Heading2"/>
      </w:pPr>
      <w:r>
        <w:t>3.14. Entregas y envíos</w:t>
      </w:r>
    </w:p>
    <w:p>
      <w:r>
        <w:t>Cuando el cliente se lleva parte de la mercancía después:</w:t>
      </w:r>
    </w:p>
    <w:p>
      <w:pPr>
        <w:pStyle w:val="ListNumber"/>
      </w:pPr>
      <w:r>
        <w:t>En el panel de funciones (☰), elija Entrega / envío.</w:t>
      </w:r>
    </w:p>
    <w:p>
      <w:pPr>
        <w:pStyle w:val="ListNumber"/>
      </w:pPr>
      <w:r>
        <w:t>Marque qué líneas y qué cantidad quedan pendientes, y si el cliente lo retira en una sucursal (la suya u otra) o se le envía a una dirección, con la fecha comprometida.</w:t>
      </w:r>
    </w:p>
    <w:p>
      <w:pPr>
        <w:pStyle w:val="ListNumber"/>
      </w:pPr>
      <w:r>
        <w:t>Al cobrar se imprime un comprobante de pendiente por cada destino, con código de barras: una copia para el cliente y otra para quien despacha.</w:t>
      </w:r>
    </w:p>
    <w:p>
      <w:pPr>
        <w:pStyle w:val="ListNumber"/>
      </w:pPr>
      <w:r>
        <w:t>De ahí en adelante el pendiente se despacha desde el Central (Despacho → Pendientes): la caja ya no tiene nada que ver con él. Vea «2.14. Despacho de pendientes y envíos».</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 Mientras baja datos dice «Actualizando» y en qué anda, y al pasar el mouse por encima se lee el detalle del último error, si lo hubo.</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y bancos.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La caja no baja los artículos nuevos</w:t>
            </w:r>
          </w:p>
        </w:tc>
        <w:tc>
          <w:tcPr>
            <w:tcW w:type="dxa" w:w="7087"/>
          </w:tcPr>
          <w:p>
            <w:r>
              <w:t>Pase el mouse por el indicador de sincronización de la barra de estado: si la última actualización falló, ahí dice por qué y de qué artículo se trata. Casi siempre es un dato del Central que la caja no acepta (un artículo activo sin precio, una categoría que no es de su departamento). Se corrige en el Central y la caja lo aplica sola en el siguiente ciclo, sin perder nada.</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