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D3E"/>
          <w:sz w:val="88"/>
        </w:rPr>
        <w:t>CG-POS</w:t>
        <w:br/>
      </w:r>
      <w:r>
        <w:rPr>
          <w:color w:val="2E7D32"/>
          <w:sz w:val="44"/>
        </w:rPr>
        <w:t>Manual de usuario</w:t>
      </w:r>
    </w:p>
    <w:p>
      <w:pPr>
        <w:jc w:val="center"/>
      </w:pPr>
      <w:r>
        <w:t>Sistema de punto de venta y administración central</w:t>
        <w:br/>
        <w:t>Contreras Group</w:t>
        <w:br/>
        <w:br/>
        <w:t>Incluye el recorrido completo del sistema: qué hace cada parte, dónde se entra y en qué orden se usa.</w:t>
      </w:r>
    </w:p>
    <w:p>
      <w:r>
        <w:br w:type="page"/>
      </w:r>
    </w:p>
    <w:p>
      <w:pPr>
        <w:pStyle w:val="Heading1"/>
      </w:pPr>
      <w:r>
        <w:t>1. Qué es CG-POS y cómo está organizado</w:t>
      </w:r>
    </w:p>
    <w:p>
      <w:r>
        <w:t>CG-POS tiene dos programas que trabajan juntos:</w:t>
      </w:r>
    </w:p>
    <w:p>
      <w:pPr>
        <w:pStyle w:val="ListBullet"/>
      </w:pPr>
      <w:r>
        <w:t>La CAJA, que se instala en cada punto de venta. Vende, cobra, emite la factura electrónica (e-CF), hace devoluciones y cierra el turno. Funciona aunque se caiga el internet: todo queda guardado en la propia caja y se envía al Central cuando vuelve la comunicación.</w:t>
      </w:r>
    </w:p>
    <w:p>
      <w:pPr>
        <w:pStyle w:val="ListBullet"/>
      </w:pPr>
      <w:r>
        <w:t>El CENTRAL, que está en el servidor de la empresa. Ahí se configuran los artículos, los precios, las promociones, los usuarios y todas las reglas del negocio; se reciben las facturas de todas las cajas; se envían los e-CF a la DGII y se sacan los reportes.</w:t>
      </w:r>
    </w:p>
    <w:p>
      <w:r>
        <w:t>Este manual empieza por el CENTRAL y después explica la CAJA, porque ese es el orden real: una caja no puede vender si en el Central no están creados antes la sucursal, la caja, los artículos con sus precios, los rangos de comprobantes fiscales y los usuarios.</w:t>
      </w:r>
    </w:p>
    <w:p>
      <w:r>
        <w:t>Todo lo que la caja necesita (artículos, precios, ofertas, usuarios, parámetros) baja del Central automáticamente. Todo lo que la caja hace (facturas, notas de crédito, cierres, puntos) sube al Central automáticamente.</w:t>
      </w:r>
    </w:p>
    <w:p>
      <w:pPr>
        <w:pStyle w:val="Heading2"/>
      </w:pPr>
      <w:r>
        <w:t>1.1. Dónde se entra</w:t>
      </w:r>
    </w:p>
    <w:p>
      <w:r>
        <w:t>La caja se abre en el navegador del mismo equipo de la caja; el Central, desde cualquier computadora de la empresa.</w:t>
      </w:r>
    </w:p>
    <w:tbl>
      <w:tblPr>
        <w:tblStyle w:val="TableGrid"/>
        <w:tblW w:type="auto" w:w="0"/>
        <w:tblLook w:firstColumn="1" w:firstRow="1" w:lastColumn="0" w:lastRow="0" w:noHBand="0" w:noVBand="1" w:val="04A0"/>
      </w:tblPr>
      <w:tblGrid>
        <w:gridCol w:w="3173"/>
        <w:gridCol w:w="3173"/>
        <w:gridCol w:w="3173"/>
      </w:tblGrid>
      <w:tr>
        <w:tc>
          <w:tcPr>
            <w:tcW w:type="dxa" w:w="3402"/>
          </w:tcPr>
          <w:p>
            <w:r/>
            <w:r>
              <w:rPr>
                <w:b/>
                <w:color w:val="1B4D3E"/>
              </w:rPr>
              <w:t>Pantalla</w:t>
            </w:r>
          </w:p>
        </w:tc>
        <w:tc>
          <w:tcPr>
            <w:tcW w:type="dxa" w:w="3969"/>
          </w:tcPr>
          <w:p>
            <w:r/>
            <w:r>
              <w:rPr>
                <w:b/>
                <w:color w:val="1B4D3E"/>
              </w:rPr>
              <w:t>Dónde se entra</w:t>
            </w:r>
          </w:p>
        </w:tc>
        <w:tc>
          <w:tcPr>
            <w:tcW w:type="dxa" w:w="2268"/>
          </w:tcPr>
          <w:p>
            <w:r/>
            <w:r>
              <w:rPr>
                <w:b/>
                <w:color w:val="1B4D3E"/>
              </w:rPr>
              <w:t>Quién la usa</w:t>
            </w:r>
          </w:p>
        </w:tc>
      </w:tr>
      <w:tr>
        <w:tc>
          <w:tcPr>
            <w:tcW w:type="dxa" w:w="3402"/>
          </w:tcPr>
          <w:p>
            <w:r>
              <w:t>Central – administración</w:t>
            </w:r>
          </w:p>
        </w:tc>
        <w:tc>
          <w:tcPr>
            <w:tcW w:type="dxa" w:w="3969"/>
          </w:tcPr>
          <w:p>
            <w:r>
              <w:t>La dirección del servidor (en pruebas, http://localhost:5280)</w:t>
            </w:r>
          </w:p>
        </w:tc>
        <w:tc>
          <w:tcPr>
            <w:tcW w:type="dxa" w:w="2268"/>
          </w:tcPr>
          <w:p>
            <w:r>
              <w:t>Administración, contabilidad, gerencia</w:t>
            </w:r>
          </w:p>
        </w:tc>
      </w:tr>
      <w:tr>
        <w:tc>
          <w:tcPr>
            <w:tcW w:type="dxa" w:w="3402"/>
          </w:tcPr>
          <w:p>
            <w:r>
              <w:t>Chequeador de precios</w:t>
            </w:r>
          </w:p>
        </w:tc>
        <w:tc>
          <w:tcPr>
            <w:tcW w:type="dxa" w:w="3969"/>
          </w:tcPr>
          <w:p>
            <w:r>
              <w:t>La dirección del servidor + /chequeador/01, con el código de la sucursal al final</w:t>
            </w:r>
          </w:p>
        </w:tc>
        <w:tc>
          <w:tcPr>
            <w:tcW w:type="dxa" w:w="2268"/>
          </w:tcPr>
          <w:p>
            <w:r>
              <w:t>El cliente, en el pasillo de la tienda</w:t>
            </w:r>
          </w:p>
        </w:tc>
      </w:tr>
      <w:tr>
        <w:tc>
          <w:tcPr>
            <w:tcW w:type="dxa" w:w="3402"/>
          </w:tcPr>
          <w:p>
            <w:r>
              <w:t>Caja – pantalla de ventas principal</w:t>
            </w:r>
          </w:p>
        </w:tc>
        <w:tc>
          <w:tcPr>
            <w:tcW w:type="dxa" w:w="3969"/>
          </w:tcPr>
          <w:p>
            <w:r>
              <w:t>http://localhost:5180/ingreso?pantalla=principal</w:t>
            </w:r>
          </w:p>
        </w:tc>
        <w:tc>
          <w:tcPr>
            <w:tcW w:type="dxa" w:w="2268"/>
          </w:tcPr>
          <w:p>
            <w:r>
              <w:t>Cajero, con lector y teclado</w:t>
            </w:r>
          </w:p>
        </w:tc>
      </w:tr>
      <w:tr>
        <w:tc>
          <w:tcPr>
            <w:tcW w:type="dxa" w:w="3402"/>
          </w:tcPr>
          <w:p>
            <w:r>
              <w:t>Caja – pantalla de ventas secundaria</w:t>
            </w:r>
          </w:p>
        </w:tc>
        <w:tc>
          <w:tcPr>
            <w:tcW w:type="dxa" w:w="3969"/>
          </w:tcPr>
          <w:p>
            <w:r>
              <w:t>http://localhost:5180/ingreso?pantalla=secundaria</w:t>
            </w:r>
          </w:p>
        </w:tc>
        <w:tc>
          <w:tcPr>
            <w:tcW w:type="dxa" w:w="2268"/>
          </w:tcPr>
          <w:p>
            <w:r>
              <w:t>Cajero, tocando el catálogo</w:t>
            </w:r>
          </w:p>
        </w:tc>
      </w:tr>
      <w:tr>
        <w:tc>
          <w:tcPr>
            <w:tcW w:type="dxa" w:w="3402"/>
          </w:tcPr>
          <w:p>
            <w:r>
              <w:t>Caja – pantalla de clientes</w:t>
            </w:r>
          </w:p>
        </w:tc>
        <w:tc>
          <w:tcPr>
            <w:tcW w:type="dxa" w:w="3969"/>
          </w:tcPr>
          <w:p>
            <w:r>
              <w:t>http://localhost:5180/cliente</w:t>
            </w:r>
          </w:p>
        </w:tc>
        <w:tc>
          <w:tcPr>
            <w:tcW w:type="dxa" w:w="2268"/>
          </w:tcPr>
          <w:p>
            <w:r>
              <w:t>El cliente la ve (no pide usuario)</w:t>
            </w:r>
          </w:p>
        </w:tc>
      </w:tr>
      <w:tr>
        <w:tc>
          <w:tcPr>
            <w:tcW w:type="dxa" w:w="3402"/>
          </w:tcPr>
          <w:p>
            <w:r>
              <w:t>Caja – devoluciones</w:t>
            </w:r>
          </w:p>
        </w:tc>
        <w:tc>
          <w:tcPr>
            <w:tcW w:type="dxa" w:w="3969"/>
          </w:tcPr>
          <w:p>
            <w:r>
              <w:t>http://localhost:5180/ingreso?pantalla=devoluciones</w:t>
            </w:r>
          </w:p>
        </w:tc>
        <w:tc>
          <w:tcPr>
            <w:tcW w:type="dxa" w:w="2268"/>
          </w:tcPr>
          <w:p>
            <w:r>
              <w:t>Cajero o encargado de devoluciones</w:t>
            </w:r>
          </w:p>
        </w:tc>
      </w:tr>
    </w:tbl>
    <w:p/>
    <w:p>
      <w:r>
        <w:rPr>
          <w:i/>
          <w:color w:val="2E7D32"/>
        </w:rPr>
        <w:t>Las pantallas de la caja se abren solas al encender el equipo, cada una en su monitor, con el acceso directo que deja instalado el técnico. Ninguna lleva a otra: cada monitor muestra siempre la suya. Cada dirección pide el usuario y, al entrar, abre su pantalla; la del cliente no pide usuario.</w:t>
      </w:r>
    </w:p>
    <w:p>
      <w:pPr>
        <w:pStyle w:val="Heading2"/>
      </w:pPr>
      <w:r>
        <w:t>1.2. Quién hace qué</w:t>
      </w:r>
    </w:p>
    <w:tbl>
      <w:tblPr>
        <w:tblStyle w:val="TableGrid"/>
        <w:tblW w:type="auto" w:w="0"/>
        <w:tblLook w:firstColumn="1" w:firstRow="1" w:lastColumn="0" w:lastRow="0" w:noHBand="0" w:noVBand="1" w:val="04A0"/>
      </w:tblPr>
      <w:tblGrid>
        <w:gridCol w:w="3173"/>
        <w:gridCol w:w="3173"/>
        <w:gridCol w:w="3173"/>
      </w:tblGrid>
      <w:tr>
        <w:tc>
          <w:tcPr>
            <w:tcW w:type="dxa" w:w="2268"/>
          </w:tcPr>
          <w:p>
            <w:r/>
            <w:r>
              <w:rPr>
                <w:b/>
                <w:color w:val="1B4D3E"/>
              </w:rPr>
              <w:t>Rol</w:t>
            </w:r>
          </w:p>
        </w:tc>
        <w:tc>
          <w:tcPr>
            <w:tcW w:type="dxa" w:w="5102"/>
          </w:tcPr>
          <w:p>
            <w:r/>
            <w:r>
              <w:rPr>
                <w:b/>
                <w:color w:val="1B4D3E"/>
              </w:rPr>
              <w:t>Qué hace</w:t>
            </w:r>
          </w:p>
        </w:tc>
        <w:tc>
          <w:tcPr>
            <w:tcW w:type="dxa" w:w="2268"/>
          </w:tcPr>
          <w:p>
            <w:r/>
            <w:r>
              <w:rPr>
                <w:b/>
                <w:color w:val="1B4D3E"/>
              </w:rPr>
              <w:t>Dónde</w:t>
            </w:r>
          </w:p>
        </w:tc>
      </w:tr>
      <w:tr>
        <w:tc>
          <w:tcPr>
            <w:tcW w:type="dxa" w:w="2268"/>
          </w:tcPr>
          <w:p>
            <w:r>
              <w:t>Cajero</w:t>
            </w:r>
          </w:p>
        </w:tc>
        <w:tc>
          <w:tcPr>
            <w:tcW w:type="dxa" w:w="5102"/>
          </w:tcPr>
          <w:p>
            <w:r>
              <w:t>Abre turno, vende, cobra, imprime, cierra su turno</w:t>
            </w:r>
          </w:p>
        </w:tc>
        <w:tc>
          <w:tcPr>
            <w:tcW w:type="dxa" w:w="2268"/>
          </w:tcPr>
          <w:p>
            <w:r>
              <w:t>Caja</w:t>
            </w:r>
          </w:p>
        </w:tc>
      </w:tr>
      <w:tr>
        <w:tc>
          <w:tcPr>
            <w:tcW w:type="dxa" w:w="2268"/>
          </w:tcPr>
          <w:p>
            <w:r>
              <w:t>Supervisor</w:t>
            </w:r>
          </w:p>
        </w:tc>
        <w:tc>
          <w:tcPr>
            <w:tcW w:type="dxa" w:w="5102"/>
          </w:tcPr>
          <w:p>
            <w:r>
              <w:t>Autoriza lo que el cajero no puede hacer solo (eliminar líneas, descuentos, devoluciones, retiros, notas internas)</w:t>
            </w:r>
          </w:p>
        </w:tc>
        <w:tc>
          <w:tcPr>
            <w:tcW w:type="dxa" w:w="2268"/>
          </w:tcPr>
          <w:p>
            <w:r>
              <w:t>Caja (con su usuario y clave)</w:t>
            </w:r>
          </w:p>
        </w:tc>
      </w:tr>
      <w:tr>
        <w:tc>
          <w:tcPr>
            <w:tcW w:type="dxa" w:w="2268"/>
          </w:tcPr>
          <w:p>
            <w:r>
              <w:t>Encargado de sucursal</w:t>
            </w:r>
          </w:p>
        </w:tc>
        <w:tc>
          <w:tcPr>
            <w:tcW w:type="dxa" w:w="5102"/>
          </w:tcPr>
          <w:p>
            <w:r>
              <w:t>Revisa cierres de caja y hace el cierre consolidado del día con sus depósitos</w:t>
            </w:r>
          </w:p>
        </w:tc>
        <w:tc>
          <w:tcPr>
            <w:tcW w:type="dxa" w:w="2268"/>
          </w:tcPr>
          <w:p>
            <w:r>
              <w:t>Central</w:t>
            </w:r>
          </w:p>
        </w:tc>
      </w:tr>
      <w:tr>
        <w:tc>
          <w:tcPr>
            <w:tcW w:type="dxa" w:w="2268"/>
          </w:tcPr>
          <w:p>
            <w:r>
              <w:t>Administración / maestros</w:t>
            </w:r>
          </w:p>
        </w:tc>
        <w:tc>
          <w:tcPr>
            <w:tcW w:type="dxa" w:w="5102"/>
          </w:tcPr>
          <w:p>
            <w:r>
              <w:t>Artículos, precios, promociones, clientes, parámetros, usuarios</w:t>
            </w:r>
          </w:p>
        </w:tc>
        <w:tc>
          <w:tcPr>
            <w:tcW w:type="dxa" w:w="2268"/>
          </w:tcPr>
          <w:p>
            <w:r>
              <w:t>Central</w:t>
            </w:r>
          </w:p>
        </w:tc>
      </w:tr>
      <w:tr>
        <w:tc>
          <w:tcPr>
            <w:tcW w:type="dxa" w:w="2268"/>
          </w:tcPr>
          <w:p>
            <w:r>
              <w:t>Contabilidad</w:t>
            </w:r>
          </w:p>
        </w:tc>
        <w:tc>
          <w:tcPr>
            <w:tcW w:type="dxa" w:w="5102"/>
          </w:tcPr>
          <w:p>
            <w:r>
              <w:t>Facturas recibidas, reportes, 607, e-CF enviados a la DGII</w:t>
            </w:r>
          </w:p>
        </w:tc>
        <w:tc>
          <w:tcPr>
            <w:tcW w:type="dxa" w:w="2268"/>
          </w:tcPr>
          <w:p>
            <w:r>
              <w:t>Central</w:t>
            </w:r>
          </w:p>
        </w:tc>
      </w:tr>
    </w:tbl>
    <w:p/>
    <w:p>
      <w:pPr>
        <w:pStyle w:val="Heading2"/>
      </w:pPr>
      <w:r>
        <w:t>1.3. Cómo se escriben los teléfonos</w:t>
      </w:r>
    </w:p>
    <w:p>
      <w:r>
        <w:t>Todos los campos de teléfono, en la caja y en el Central, aceptan solo números: las letras, los espacios y los signos no entran. Llevan diez dígitos y los guiones se ponen solos mientras se escribe, así que el teléfono queda siempre como 809-555-1234. Si se pega uno con otro formato, se acomoda igual.</w:t>
      </w:r>
    </w:p>
    <w:p>
      <w:r>
        <w:br w:type="page"/>
      </w:r>
    </w:p>
    <w:p>
      <w:pPr>
        <w:pStyle w:val="Heading1"/>
      </w:pPr>
      <w:r>
        <w:t>2. El Central, módulo por módulo</w:t>
      </w:r>
    </w:p>
    <w:p>
      <w:r>
        <w:t>Se entra con usuario y contraseña. El menú de la izquierda muestra solo lo que el rol de cada persona tiene permitido.</w:t>
      </w:r>
    </w:p>
    <w:p>
      <w:r>
        <w:t>El menú viene agrupado: cada grupo (Organización, Maestros, Precios, Promociones, Ventas, Reportes…) arranca cerrado y se abre al tocar su título. El grupo de la pantalla en la que usted está se abre solo, para que siempre vea dónde está parado.</w:t>
      </w:r>
    </w:p>
    <w:p>
      <w:pPr>
        <w:pStyle w:val="Heading2"/>
      </w:pPr>
      <w:r>
        <w:t>2.1. Crear la base de datos del Central y entrar por primera vez</w:t>
      </w:r>
    </w:p>
    <w:p>
      <w:r>
        <w:t>El sistema no crea ni cambia bases de datos por su cuenta: la base se crea con el script que viene con el sistema. Esto lo hace una sola vez el personal de tecnología.</w:t>
      </w:r>
    </w:p>
    <w:p>
      <w:pPr>
        <w:pStyle w:val="ListNumber"/>
      </w:pPr>
      <w:r>
        <w:t>En el servidor, abra SQL Server Management Studio (o use sqlcmd) y ejecute el archivo scripts/base-datos/estructura_base_datos_central.sql. Crea la base CgPosCentral con todas sus tablas, llaves e índices.</w:t>
      </w:r>
    </w:p>
    <w:p>
      <w:pPr>
        <w:pStyle w:val="ListNumber"/>
      </w:pPr>
      <w:r>
        <w:t>Ese mismo script deja lo mínimo para arrancar: la empresa, el usuario administrador, los parámetros del negocio con valores razonables y los catálogos que son iguales en cualquier negocio dominicano.</w:t>
      </w:r>
    </w:p>
    <w:p>
      <w:r>
        <w:rPr>
          <w:i/>
          <w:color w:val="2E7D32"/>
        </w:rPr>
        <w:t>El RNC que trae el script es un marcador: lo primero que debe hacer al entrar al Central es corregirlo en Organización → Empresa, junto con la razón social, el nombre comercial, la dirección y el teléfono. Es el dato que sale en las facturas y ante la DGII. Se admite un RNC de 9 dígitos o una cédula de 11, si quien factura es una persona física; el sistema le valida el dígito verificador.</w:t>
      </w:r>
    </w:p>
    <w:tbl>
      <w:tblPr>
        <w:tblStyle w:val="TableGrid"/>
        <w:tblW w:type="auto" w:w="0"/>
        <w:tblLook w:firstColumn="1" w:firstRow="1" w:lastColumn="0" w:lastRow="0" w:noHBand="0" w:noVBand="1" w:val="04A0"/>
      </w:tblPr>
      <w:tblGrid>
        <w:gridCol w:w="4759"/>
        <w:gridCol w:w="4759"/>
      </w:tblGrid>
      <w:tr>
        <w:tc>
          <w:tcPr>
            <w:tcW w:type="dxa" w:w="4819"/>
          </w:tcPr>
          <w:p>
            <w:r/>
            <w:r>
              <w:rPr>
                <w:b/>
                <w:color w:val="1B4D3E"/>
              </w:rPr>
              <w:t>La base recién creada trae</w:t>
            </w:r>
          </w:p>
        </w:tc>
        <w:tc>
          <w:tcPr>
            <w:tcW w:type="dxa" w:w="4819"/>
          </w:tcPr>
          <w:p>
            <w:r/>
            <w:r>
              <w:rPr>
                <w:b/>
                <w:color w:val="1B4D3E"/>
              </w:rPr>
              <w:t>No trae (lo crea usted)</w:t>
            </w:r>
          </w:p>
        </w:tc>
      </w:tr>
      <w:tr>
        <w:tc>
          <w:tcPr>
            <w:tcW w:type="dxa" w:w="4819"/>
          </w:tcPr>
          <w:p>
            <w:r>
              <w:t>Usuario administrador con todos los permisos</w:t>
            </w:r>
          </w:p>
        </w:tc>
        <w:tc>
          <w:tcPr>
            <w:tcW w:type="dxa" w:w="4819"/>
          </w:tcPr>
          <w:p>
            <w:r>
              <w:t>Sucursales y cajas</w:t>
            </w:r>
          </w:p>
        </w:tc>
      </w:tr>
      <w:tr>
        <w:tc>
          <w:tcPr>
            <w:tcW w:type="dxa" w:w="4819"/>
          </w:tcPr>
          <w:p>
            <w:r>
              <w:t>La empresa, con un RNC de marcador que usted corrige al entrar</w:t>
            </w:r>
          </w:p>
        </w:tc>
        <w:tc>
          <w:tcPr>
            <w:tcW w:type="dxa" w:w="4819"/>
          </w:tcPr>
          <w:p>
            <w:r>
              <w:t>Usuarios y roles de caja</w:t>
            </w:r>
          </w:p>
        </w:tc>
      </w:tr>
      <w:tr>
        <w:tc>
          <w:tcPr>
            <w:tcW w:type="dxa" w:w="4819"/>
          </w:tcPr>
          <w:p>
            <w:r>
              <w:t>Parámetros con valores de arranque (plazos, topes, fidelidad, cuadre…)</w:t>
            </w:r>
          </w:p>
        </w:tc>
        <w:tc>
          <w:tcPr>
            <w:tcW w:type="dxa" w:w="4819"/>
          </w:tcPr>
          <w:p>
            <w:r/>
          </w:p>
        </w:tc>
      </w:tr>
      <w:tr>
        <w:tc>
          <w:tcPr>
            <w:tcW w:type="dxa" w:w="4819"/>
          </w:tcPr>
          <w:p>
            <w:r>
              <w:t>Monedas: peso dominicano y dólar</w:t>
            </w:r>
          </w:p>
        </w:tc>
        <w:tc>
          <w:tcPr>
            <w:tcW w:type="dxa" w:w="4819"/>
          </w:tcPr>
          <w:p>
            <w:r>
              <w:t>Departamentos, categorías y marcas</w:t>
            </w:r>
          </w:p>
        </w:tc>
      </w:tr>
      <w:tr>
        <w:tc>
          <w:tcPr>
            <w:tcW w:type="dxa" w:w="4819"/>
          </w:tcPr>
          <w:p>
            <w:r>
              <w:t>Impuestos: ITBIS 18 %, 16 %, 0 % y exento</w:t>
            </w:r>
          </w:p>
        </w:tc>
        <w:tc>
          <w:tcPr>
            <w:tcW w:type="dxa" w:w="4819"/>
          </w:tcPr>
          <w:p>
            <w:r>
              <w:t>Artículos y sus precios</w:t>
            </w:r>
          </w:p>
        </w:tc>
      </w:tr>
      <w:tr>
        <w:tc>
          <w:tcPr>
            <w:tcW w:type="dxa" w:w="4819"/>
          </w:tcPr>
          <w:p>
            <w:r>
              <w:t>Unidades de medida: unidad, libra, pie, yarda, galón</w:t>
            </w:r>
          </w:p>
        </w:tc>
        <w:tc>
          <w:tcPr>
            <w:tcW w:type="dxa" w:w="4819"/>
          </w:tcPr>
          <w:p>
            <w:r>
              <w:t>Clientes</w:t>
            </w:r>
          </w:p>
        </w:tc>
      </w:tr>
      <w:tr>
        <w:tc>
          <w:tcPr>
            <w:tcW w:type="dxa" w:w="4819"/>
          </w:tcPr>
          <w:p>
            <w:r>
              <w:t>Denominaciones de billetes y monedas, para el cuadre</w:t>
            </w:r>
          </w:p>
        </w:tc>
        <w:tc>
          <w:tcPr>
            <w:tcW w:type="dxa" w:w="4819"/>
          </w:tcPr>
          <w:p>
            <w:r>
              <w:t>Bancos</w:t>
            </w:r>
          </w:p>
        </w:tc>
      </w:tr>
      <w:tr>
        <w:tc>
          <w:tcPr>
            <w:tcW w:type="dxa" w:w="4819"/>
          </w:tcPr>
          <w:p>
            <w:r>
              <w:t>Formas de pago: efectivo, tarjeta, transferencia, cheque, dólares, nota de crédito, bonos, puntos…</w:t>
            </w:r>
          </w:p>
        </w:tc>
        <w:tc>
          <w:tcPr>
            <w:tcW w:type="dxa" w:w="4819"/>
          </w:tcPr>
          <w:p>
            <w:r>
              <w:t>Promociones</w:t>
            </w:r>
          </w:p>
        </w:tc>
      </w:tr>
      <w:tr>
        <w:tc>
          <w:tcPr>
            <w:tcW w:type="dxa" w:w="4819"/>
          </w:tcPr>
          <w:p>
            <w:r>
              <w:t>Motivos de descuento y de devolución</w:t>
            </w:r>
          </w:p>
        </w:tc>
        <w:tc>
          <w:tcPr>
            <w:tcW w:type="dxa" w:w="4819"/>
          </w:tcPr>
          <w:p>
            <w:r>
              <w:t>Rangos de comprobantes fiscales</w:t>
            </w:r>
          </w:p>
        </w:tc>
      </w:tr>
    </w:tbl>
    <w:p/>
    <w:p>
      <w:pPr>
        <w:pStyle w:val="ListNumber"/>
      </w:pPr>
      <w:r>
        <w:t>Configure la conexión del Central a esa base (lo hace tecnología en el archivo de configuración del servidor) y levante el Central.</w:t>
      </w:r>
    </w:p>
    <w:p>
      <w:pPr>
        <w:pStyle w:val="ListNumber"/>
      </w:pPr>
      <w:r>
        <w:t>Abra el Central en el navegador y entre con el administrador:</w:t>
      </w:r>
    </w:p>
    <w:tbl>
      <w:tblPr>
        <w:tblStyle w:val="TableGrid"/>
        <w:tblW w:type="auto" w:w="0"/>
        <w:tblLook w:firstColumn="1" w:firstRow="1" w:lastColumn="0" w:lastRow="0" w:noHBand="0" w:noVBand="1" w:val="04A0"/>
      </w:tblPr>
      <w:tblGrid>
        <w:gridCol w:w="3173"/>
        <w:gridCol w:w="3173"/>
        <w:gridCol w:w="3173"/>
      </w:tblGrid>
      <w:tr>
        <w:tc>
          <w:tcPr>
            <w:tcW w:type="dxa" w:w="1984"/>
          </w:tcPr>
          <w:p>
            <w:r/>
            <w:r>
              <w:rPr>
                <w:b/>
                <w:color w:val="1B4D3E"/>
              </w:rPr>
              <w:t>Usuario</w:t>
            </w:r>
          </w:p>
        </w:tc>
        <w:tc>
          <w:tcPr>
            <w:tcW w:type="dxa" w:w="2835"/>
          </w:tcPr>
          <w:p>
            <w:r/>
            <w:r>
              <w:rPr>
                <w:b/>
                <w:color w:val="1B4D3E"/>
              </w:rPr>
              <w:t>Contraseña</w:t>
            </w:r>
          </w:p>
        </w:tc>
        <w:tc>
          <w:tcPr>
            <w:tcW w:type="dxa" w:w="4819"/>
          </w:tcPr>
          <w:p>
            <w:r/>
            <w:r>
              <w:rPr>
                <w:b/>
                <w:color w:val="1B4D3E"/>
              </w:rPr>
              <w:t>Qué pasa al entrar</w:t>
            </w:r>
          </w:p>
        </w:tc>
      </w:tr>
      <w:tr>
        <w:tc>
          <w:tcPr>
            <w:tcW w:type="dxa" w:w="1984"/>
          </w:tcPr>
          <w:p>
            <w:r>
              <w:t>ADMIN</w:t>
            </w:r>
          </w:p>
        </w:tc>
        <w:tc>
          <w:tcPr>
            <w:tcW w:type="dxa" w:w="2835"/>
          </w:tcPr>
          <w:p>
            <w:r>
              <w:t>Admin.CGPOS#2026</w:t>
            </w:r>
          </w:p>
        </w:tc>
        <w:tc>
          <w:tcPr>
            <w:tcW w:type="dxa" w:w="4819"/>
          </w:tcPr>
          <w:p>
            <w:r>
              <w:t>El sistema exige cambiarla de inmediato; esa nueva contraseña es la suya.</w:t>
            </w:r>
          </w:p>
        </w:tc>
      </w:tr>
    </w:tbl>
    <w:p/>
    <w:p>
      <w:r>
        <w:rPr>
          <w:i/>
          <w:color w:val="2E7D32"/>
        </w:rPr>
        <w:t>Si el Central avisa que la base no existe o le faltan tablas, es que no se ejecutó el script o se apuntó a otra base.</w:t>
      </w:r>
    </w:p>
    <w:p>
      <w:r>
        <w:t>Con ese usuario ya puede crear todo lo demás, en el orden de la sección siguiente. Lo primero que conviene hacer es crear su propio usuario y el de las demás personas (Seguridad → Usuarios), para que cada quien entre con el suyo.</w:t>
      </w:r>
    </w:p>
    <w:p>
      <w:r>
        <w:rPr>
          <w:i/>
          <w:color w:val="2E7D32"/>
        </w:rPr>
        <w:t>El sistema no carga datos de archivos: todo lo que ve en el Central se creó desde el Central y se guarda en su base de datos.</w:t>
      </w:r>
    </w:p>
    <w:p>
      <w:pPr>
        <w:pStyle w:val="Heading2"/>
      </w:pPr>
      <w:r>
        <w:t>2.2. Lo mínimo que debe existir antes de abrir una caja</w:t>
      </w:r>
    </w:p>
    <w:p>
      <w:r>
        <w:t>La caja no inventa nada: todo lo que usa baja del Central. Si el Central está vacío, la caja no puede ni abrir turno. Antes de poner a vender una caja, en el Central debe estar creado y configurado esto:</w:t>
      </w:r>
    </w:p>
    <w:tbl>
      <w:tblPr>
        <w:tblStyle w:val="TableGrid"/>
        <w:tblW w:type="auto" w:w="0"/>
        <w:tblLook w:firstColumn="1" w:firstRow="1" w:lastColumn="0" w:lastRow="0" w:noHBand="0" w:noVBand="1" w:val="04A0"/>
      </w:tblPr>
      <w:tblGrid>
        <w:gridCol w:w="3173"/>
        <w:gridCol w:w="3173"/>
        <w:gridCol w:w="3173"/>
      </w:tblGrid>
      <w:tr>
        <w:tc>
          <w:tcPr>
            <w:tcW w:type="dxa" w:w="2381"/>
          </w:tcPr>
          <w:p>
            <w:r/>
            <w:r>
              <w:rPr>
                <w:b/>
                <w:color w:val="1B4D3E"/>
              </w:rPr>
              <w:t>Qué</w:t>
            </w:r>
          </w:p>
        </w:tc>
        <w:tc>
          <w:tcPr>
            <w:tcW w:type="dxa" w:w="2721"/>
          </w:tcPr>
          <w:p>
            <w:r/>
            <w:r>
              <w:rPr>
                <w:b/>
                <w:color w:val="1B4D3E"/>
              </w:rPr>
              <w:t>Dónde se hace</w:t>
            </w:r>
          </w:p>
        </w:tc>
        <w:tc>
          <w:tcPr>
            <w:tcW w:type="dxa" w:w="4535"/>
          </w:tcPr>
          <w:p>
            <w:r/>
            <w:r>
              <w:rPr>
                <w:b/>
                <w:color w:val="1B4D3E"/>
              </w:rPr>
              <w:t>Por qué hace falta</w:t>
            </w:r>
          </w:p>
        </w:tc>
      </w:tr>
      <w:tr>
        <w:tc>
          <w:tcPr>
            <w:tcW w:type="dxa" w:w="2381"/>
          </w:tcPr>
          <w:p>
            <w:r>
              <w:t>Datos de la empresa</w:t>
            </w:r>
          </w:p>
        </w:tc>
        <w:tc>
          <w:tcPr>
            <w:tcW w:type="dxa" w:w="2721"/>
          </w:tcPr>
          <w:p>
            <w:r>
              <w:t>Organización → Empresa</w:t>
            </w:r>
          </w:p>
        </w:tc>
        <w:tc>
          <w:tcPr>
            <w:tcW w:type="dxa" w:w="4535"/>
          </w:tcPr>
          <w:p>
            <w:r>
              <w:t>El RNC (o la cédula) y la razón social con los que se factura. El script los siembra como marcador: corríjalos antes de emitir el primer comprobante.</w:t>
            </w:r>
          </w:p>
        </w:tc>
      </w:tr>
      <w:tr>
        <w:tc>
          <w:tcPr>
            <w:tcW w:type="dxa" w:w="2381"/>
          </w:tcPr>
          <w:p>
            <w:r>
              <w:t>Sucursal y caja</w:t>
            </w:r>
          </w:p>
        </w:tc>
        <w:tc>
          <w:tcPr>
            <w:tcW w:type="dxa" w:w="2721"/>
          </w:tcPr>
          <w:p>
            <w:r>
              <w:t>Organización</w:t>
            </w:r>
          </w:p>
        </w:tc>
        <w:tc>
          <w:tcPr>
            <w:tcW w:type="dxa" w:w="4535"/>
          </w:tcPr>
          <w:p>
            <w:r>
              <w:t>La caja se identifica por el código de su sucursal y el suyo, ambos de dos dígitos (01, 02…); sin eso no se conecta.</w:t>
            </w:r>
          </w:p>
        </w:tc>
      </w:tr>
      <w:tr>
        <w:tc>
          <w:tcPr>
            <w:tcW w:type="dxa" w:w="2381"/>
          </w:tcPr>
          <w:p>
            <w:r>
              <w:t>Credencial de la caja</w:t>
            </w:r>
          </w:p>
        </w:tc>
        <w:tc>
          <w:tcPr>
            <w:tcW w:type="dxa" w:w="2721"/>
          </w:tcPr>
          <w:p>
            <w:r>
              <w:t>Organización → Cajas</w:t>
            </w:r>
          </w:p>
        </w:tc>
        <w:tc>
          <w:tcPr>
            <w:tcW w:type="dxa" w:w="4535"/>
          </w:tcPr>
          <w:p>
            <w:r>
              <w:t>Se emite desde el Central y se escribe una vez en la pantalla de la caja, junto con su IP.</w:t>
            </w:r>
          </w:p>
        </w:tc>
      </w:tr>
      <w:tr>
        <w:tc>
          <w:tcPr>
            <w:tcW w:type="dxa" w:w="2381"/>
          </w:tcPr>
          <w:p>
            <w:r>
              <w:t>Parámetros del negocio</w:t>
            </w:r>
          </w:p>
        </w:tc>
        <w:tc>
          <w:tcPr>
            <w:tcW w:type="dxa" w:w="2721"/>
          </w:tcPr>
          <w:p>
            <w:r>
              <w:t>Organización → Parámetros</w:t>
            </w:r>
          </w:p>
        </w:tc>
        <w:tc>
          <w:tcPr>
            <w:tcW w:type="dxa" w:w="4535"/>
          </w:tcPr>
          <w:p>
            <w:r>
              <w:t>Fondo de caja, redondeo, vigencia de notas de crédito, retención, plazos. Si falta uno obligatorio, la operación se rechaza.</w:t>
            </w:r>
          </w:p>
        </w:tc>
      </w:tr>
      <w:tr>
        <w:tc>
          <w:tcPr>
            <w:tcW w:type="dxa" w:w="2381"/>
          </w:tcPr>
          <w:p>
            <w:r>
              <w:t>Catálogos</w:t>
            </w:r>
          </w:p>
        </w:tc>
        <w:tc>
          <w:tcPr>
            <w:tcW w:type="dxa" w:w="2721"/>
          </w:tcPr>
          <w:p>
            <w:r>
              <w:t>Maestros → Catálogos</w:t>
            </w:r>
          </w:p>
        </w:tc>
        <w:tc>
          <w:tcPr>
            <w:tcW w:type="dxa" w:w="4535"/>
          </w:tcPr>
          <w:p>
            <w:r>
              <w:t>Moneda, impuestos, departamentos, unidades, formas de pago, denominaciones, bancos, motivos de descuento y de devolución.</w:t>
            </w:r>
          </w:p>
        </w:tc>
      </w:tr>
      <w:tr>
        <w:tc>
          <w:tcPr>
            <w:tcW w:type="dxa" w:w="2381"/>
          </w:tcPr>
          <w:p>
            <w:r>
              <w:t>Artículos y precios</w:t>
            </w:r>
          </w:p>
        </w:tc>
        <w:tc>
          <w:tcPr>
            <w:tcW w:type="dxa" w:w="2721"/>
          </w:tcPr>
          <w:p>
            <w:r>
              <w:t>Maestros → Artículos y Precios</w:t>
            </w:r>
          </w:p>
        </w:tc>
        <w:tc>
          <w:tcPr>
            <w:tcW w:type="dxa" w:w="4535"/>
          </w:tcPr>
          <w:p>
            <w:r>
              <w:t>Sin artículos con precio no hay nada que vender. El sistema no trae productos: vea los sugeridos más adelante.</w:t>
            </w:r>
          </w:p>
        </w:tc>
      </w:tr>
      <w:tr>
        <w:tc>
          <w:tcPr>
            <w:tcW w:type="dxa" w:w="2381"/>
          </w:tcPr>
          <w:p>
            <w:r>
              <w:t>Rangos de e-CF</w:t>
            </w:r>
          </w:p>
        </w:tc>
        <w:tc>
          <w:tcPr>
            <w:tcW w:type="dxa" w:w="2721"/>
          </w:tcPr>
          <w:p>
            <w:r>
              <w:t>Fiscal → Rangos de e-CF</w:t>
            </w:r>
          </w:p>
        </w:tc>
        <w:tc>
          <w:tcPr>
            <w:tcW w:type="dxa" w:w="4535"/>
          </w:tcPr>
          <w:p>
            <w:r>
              <w:t>Sin comprobantes fiscales disponibles la caja no puede facturar.</w:t>
            </w:r>
          </w:p>
        </w:tc>
      </w:tr>
      <w:tr>
        <w:tc>
          <w:tcPr>
            <w:tcW w:type="dxa" w:w="2381"/>
          </w:tcPr>
          <w:p>
            <w:r>
              <w:t>Usuarios y roles de caja</w:t>
            </w:r>
          </w:p>
        </w:tc>
        <w:tc>
          <w:tcPr>
            <w:tcW w:type="dxa" w:w="2721"/>
          </w:tcPr>
          <w:p>
            <w:r>
              <w:t>Usuarios de caja</w:t>
            </w:r>
          </w:p>
        </w:tc>
        <w:tc>
          <w:tcPr>
            <w:tcW w:type="dxa" w:w="4535"/>
          </w:tcPr>
          <w:p>
            <w:r>
              <w:t>El cajero, el supervisor y el gerente, con sus niveles y permisos.</w:t>
            </w:r>
          </w:p>
        </w:tc>
      </w:tr>
    </w:tbl>
    <w:p/>
    <w:p>
      <w:r>
        <w:rPr>
          <w:i/>
          <w:color w:val="2E7D32"/>
        </w:rPr>
        <w:t>Todo esto baja solo a las cajas en la siguiente sincronización: no hay que copiar nada a mano.</w:t>
      </w:r>
    </w:p>
    <w:p>
      <w:pPr>
        <w:pStyle w:val="Heading2"/>
      </w:pPr>
      <w:r>
        <w:t>2.3. Organización</w:t>
      </w:r>
    </w:p>
    <w:tbl>
      <w:tblPr>
        <w:tblStyle w:val="TableGrid"/>
        <w:tblW w:type="auto" w:w="0"/>
        <w:tblLook w:firstColumn="1" w:firstRow="1" w:lastColumn="0" w:lastRow="0" w:noHBand="0" w:noVBand="1" w:val="04A0"/>
      </w:tblPr>
      <w:tblGrid>
        <w:gridCol w:w="3173"/>
        <w:gridCol w:w="3173"/>
        <w:gridCol w:w="3173"/>
      </w:tblGrid>
      <w:tr>
        <w:tc>
          <w:tcPr>
            <w:tcW w:type="dxa" w:w="2154"/>
          </w:tcPr>
          <w:p>
            <w:r/>
            <w:r>
              <w:rPr>
                <w:b/>
                <w:color w:val="1B4D3E"/>
              </w:rPr>
              <w:t>Opción</w:t>
            </w:r>
          </w:p>
        </w:tc>
        <w:tc>
          <w:tcPr>
            <w:tcW w:type="dxa" w:w="2835"/>
          </w:tcPr>
          <w:p>
            <w:r/>
            <w:r>
              <w:rPr>
                <w:b/>
                <w:color w:val="1B4D3E"/>
              </w:rPr>
              <w:t>Ruta</w:t>
            </w:r>
          </w:p>
        </w:tc>
        <w:tc>
          <w:tcPr>
            <w:tcW w:type="dxa" w:w="4649"/>
          </w:tcPr>
          <w:p>
            <w:r/>
            <w:r>
              <w:rPr>
                <w:b/>
                <w:color w:val="1B4D3E"/>
              </w:rPr>
              <w:t>Para qué sirve</w:t>
            </w:r>
          </w:p>
        </w:tc>
      </w:tr>
      <w:tr>
        <w:tc>
          <w:tcPr>
            <w:tcW w:type="dxa" w:w="2154"/>
          </w:tcPr>
          <w:p>
            <w:r>
              <w:t>Empresa</w:t>
            </w:r>
          </w:p>
        </w:tc>
        <w:tc>
          <w:tcPr>
            <w:tcW w:type="dxa" w:w="2835"/>
          </w:tcPr>
          <w:p>
            <w:r>
              <w:t>/organizacion/empresa</w:t>
            </w:r>
          </w:p>
        </w:tc>
        <w:tc>
          <w:tcPr>
            <w:tcW w:type="dxa" w:w="4649"/>
          </w:tcPr>
          <w:p>
            <w:r>
              <w:t>Datos fiscales de la empresa, el RNC incluido: RNC de 9 dígitos o cédula de 11. Los comprobantes ya emitidos conservan el que llevaban y el cambio queda en la auditoría.</w:t>
            </w:r>
          </w:p>
        </w:tc>
      </w:tr>
      <w:tr>
        <w:tc>
          <w:tcPr>
            <w:tcW w:type="dxa" w:w="2154"/>
          </w:tcPr>
          <w:p>
            <w:r>
              <w:t>Sucursales</w:t>
            </w:r>
          </w:p>
        </w:tc>
        <w:tc>
          <w:tcPr>
            <w:tcW w:type="dxa" w:w="2835"/>
          </w:tcPr>
          <w:p>
            <w:r>
              <w:t>/organizacion/sucursales</w:t>
            </w:r>
          </w:p>
        </w:tc>
        <w:tc>
          <w:tcPr>
            <w:tcW w:type="dxa" w:w="4649"/>
          </w:tcPr>
          <w:p>
            <w:r>
              <w:t>Alta y datos de cada sucursal. El código es de dos dígitos (01 a 99), no cambia después de crearla y es el que sale en los números de documento.</w:t>
            </w:r>
          </w:p>
        </w:tc>
      </w:tr>
      <w:tr>
        <w:tc>
          <w:tcPr>
            <w:tcW w:type="dxa" w:w="2154"/>
          </w:tcPr>
          <w:p>
            <w:r>
              <w:t>Cajas</w:t>
            </w:r>
          </w:p>
        </w:tc>
        <w:tc>
          <w:tcPr>
            <w:tcW w:type="dxa" w:w="2835"/>
          </w:tcPr>
          <w:p>
            <w:r>
              <w:t>/organizacion/cajas</w:t>
            </w:r>
          </w:p>
        </w:tc>
        <w:tc>
          <w:tcPr>
            <w:tcW w:type="dxa" w:w="4649"/>
          </w:tcPr>
          <w:p>
            <w:r>
              <w:t>Alta de cajas con su código de dos dígitos (01 a 99) y su IP fija, habilitarlas, y emitir o revocar su credencial. El código es único en la sucursal y la IP es única en toda la empresa.</w:t>
            </w:r>
          </w:p>
        </w:tc>
      </w:tr>
      <w:tr>
        <w:tc>
          <w:tcPr>
            <w:tcW w:type="dxa" w:w="2154"/>
          </w:tcPr>
          <w:p>
            <w:r>
              <w:t>Parámetros</w:t>
            </w:r>
          </w:p>
        </w:tc>
        <w:tc>
          <w:tcPr>
            <w:tcW w:type="dxa" w:w="2835"/>
          </w:tcPr>
          <w:p>
            <w:r>
              <w:t>/organizacion/parametros</w:t>
            </w:r>
          </w:p>
        </w:tc>
        <w:tc>
          <w:tcPr>
            <w:tcW w:type="dxa" w:w="4649"/>
          </w:tcPr>
          <w:p>
            <w:r>
              <w:t>Todas las reglas del negocio: vigencia de notas de crédito, retención de la Ley 32-23, redondeo, fondo de caja, chequeador, listas de boda, fidelidad, y también cada cuánto la caja sincroniza, se mantiene y respalda. Se pueden fijar en general, por sucursal o por caja.</w:t>
            </w:r>
          </w:p>
        </w:tc>
      </w:tr>
      <w:tr>
        <w:tc>
          <w:tcPr>
            <w:tcW w:type="dxa" w:w="2154"/>
          </w:tcPr>
          <w:p>
            <w:r>
              <w:t>Actualizaciones</w:t>
            </w:r>
          </w:p>
        </w:tc>
        <w:tc>
          <w:tcPr>
            <w:tcW w:type="dxa" w:w="2835"/>
          </w:tcPr>
          <w:p>
            <w:r>
              <w:t>/organizacion/actualizaciones</w:t>
            </w:r>
          </w:p>
        </w:tc>
        <w:tc>
          <w:tcPr>
            <w:tcW w:type="dxa" w:w="4649"/>
          </w:tcPr>
          <w:p>
            <w:r>
              <w:t>Versión publicada del programa de las cajas y en qué versión está cada una.</w:t>
            </w:r>
          </w:p>
        </w:tc>
      </w:tr>
    </w:tbl>
    <w:p/>
    <w:p>
      <w:pPr>
        <w:pStyle w:val="Heading2"/>
      </w:pPr>
      <w:r>
        <w:t>2.4. Seguridad</w:t>
      </w:r>
    </w:p>
    <w:p>
      <w:pPr>
        <w:pStyle w:val="ListBullet"/>
      </w:pPr>
      <w:r>
        <w:t>Usuarios y roles del Central (/seguridad/usuarios y /seguridad/roles): quién entra al Central y qué puede ver o hacer.</w:t>
      </w:r>
    </w:p>
    <w:p>
      <w:pPr>
        <w:pStyle w:val="ListBullet"/>
      </w:pPr>
      <w:r>
        <w:t>Usuarios y roles de caja (/cajas/usuarios y /cajas/roles): los cajeros y supervisores, con su nivel (1 a 9), sus permisos y en qué cajas trabajan. Bajan solos a las cajas.</w:t>
      </w:r>
    </w:p>
    <w:p>
      <w:pPr>
        <w:pStyle w:val="ListBullet"/>
      </w:pPr>
      <w:r>
        <w:t>Auditoría (/seguridad/auditoria): todo lo que se ha hecho en el Central, con el valor que tenía antes y el que quedó después de cada campo que cambió.</w:t>
      </w:r>
    </w:p>
    <w:p>
      <w:r>
        <w:rPr>
          <w:i/>
          <w:color w:val="2E7D32"/>
        </w:rPr>
        <w:t>El nivel se usa para las autorizaciones: un descuento que pasa el tope de un supervisor pide la clave de alguien de nivel superior.</w:t>
      </w:r>
    </w:p>
    <w:p>
      <w:pPr>
        <w:pStyle w:val="Heading3"/>
      </w:pPr>
      <w:r>
        <w:t>2.4.1. Auditoría: el antes y el después</w:t>
      </w:r>
    </w:p>
    <w:p>
      <w:r>
        <w:t>Cada vez que alguien guarda algo en el Central, el sistema anota qué se hizo, quién lo hizo, cuándo, con qué motivo y, campo por campo, qué valor había antes y cuál quedó después. No hay que activar nada: se anota solo. Los movimientos no se editan ni se borran desde la aplicación.</w:t>
      </w:r>
    </w:p>
    <w:tbl>
      <w:tblPr>
        <w:tblStyle w:val="TableGrid"/>
        <w:tblW w:type="auto" w:w="0"/>
        <w:tblLook w:firstColumn="1" w:firstRow="1" w:lastColumn="0" w:lastRow="0" w:noHBand="0" w:noVBand="1" w:val="04A0"/>
      </w:tblPr>
      <w:tblGrid>
        <w:gridCol w:w="4759"/>
        <w:gridCol w:w="4759"/>
      </w:tblGrid>
      <w:tr>
        <w:tc>
          <w:tcPr>
            <w:tcW w:type="dxa" w:w="1984"/>
          </w:tcPr>
          <w:p>
            <w:r/>
            <w:r>
              <w:rPr>
                <w:b/>
                <w:color w:val="1B4D3E"/>
              </w:rPr>
              <w:t>Columna</w:t>
            </w:r>
          </w:p>
        </w:tc>
        <w:tc>
          <w:tcPr>
            <w:tcW w:type="dxa" w:w="5953"/>
          </w:tcPr>
          <w:p>
            <w:r/>
            <w:r>
              <w:rPr>
                <w:b/>
                <w:color w:val="1B4D3E"/>
              </w:rPr>
              <w:t>Qué muestra</w:t>
            </w:r>
          </w:p>
        </w:tc>
      </w:tr>
      <w:tr>
        <w:tc>
          <w:tcPr>
            <w:tcW w:type="dxa" w:w="1984"/>
          </w:tcPr>
          <w:p>
            <w:r>
              <w:t>Cuándo</w:t>
            </w:r>
          </w:p>
        </w:tc>
        <w:tc>
          <w:tcPr>
            <w:tcW w:type="dxa" w:w="5953"/>
          </w:tcPr>
          <w:p>
            <w:r>
              <w:t>Fecha y hora del movimiento, en la hora del servidor donde se consulta.</w:t>
            </w:r>
          </w:p>
        </w:tc>
      </w:tr>
      <w:tr>
        <w:tc>
          <w:tcPr>
            <w:tcW w:type="dxa" w:w="1984"/>
          </w:tcPr>
          <w:p>
            <w:r>
              <w:t>Acción</w:t>
            </w:r>
          </w:p>
        </w:tc>
        <w:tc>
          <w:tcPr>
            <w:tcW w:type="dxa" w:w="5953"/>
          </w:tcPr>
          <w:p>
            <w:r>
              <w:t>Qué se hizo (por ejemplo, actualizar la empresa), sobre qué entidad y con qué motivo, si lo lleva.</w:t>
            </w:r>
          </w:p>
        </w:tc>
      </w:tr>
      <w:tr>
        <w:tc>
          <w:tcPr>
            <w:tcW w:type="dxa" w:w="1984"/>
          </w:tcPr>
          <w:p>
            <w:r>
              <w:t>Usuario</w:t>
            </w:r>
          </w:p>
        </w:tc>
        <w:tc>
          <w:tcPr>
            <w:tcW w:type="dxa" w:w="5953"/>
          </w:tcPr>
          <w:p>
            <w:r>
              <w:t>Quién lo hizo y, en las operaciones que la piden, quién la autorizó.</w:t>
            </w:r>
          </w:p>
        </w:tc>
      </w:tr>
      <w:tr>
        <w:tc>
          <w:tcPr>
            <w:tcW w:type="dxa" w:w="1984"/>
          </w:tcPr>
          <w:p>
            <w:r>
              <w:t>Qué cambió</w:t>
            </w:r>
          </w:p>
        </w:tc>
        <w:tc>
          <w:tcPr>
            <w:tcW w:type="dxa" w:w="5953"/>
          </w:tcPr>
          <w:p>
            <w:r>
              <w:t>Un resumen de lo que se tocó, por ejemplo «Modificado: Sucursal #12 · 3 campos». Se hace clic ahí y se abre el detalle.</w:t>
            </w:r>
          </w:p>
        </w:tc>
      </w:tr>
    </w:tbl>
    <w:p/>
    <w:p>
      <w:r>
        <w:t>Los filtros de arriba acotan la búsqueda: rango de fechas, entidad, usuario, un texto libre (busca también dentro de los valores que cambiaron) y el interruptor «Solo cambios de datos», que deja fuera los ingresos y las consultas. Abajo se elige el tamaño de página (10, 25, 50, 100 o 200) y se pasa de una página a otra; el Central envía solo la página que se está viendo, así que la consulta es rápida aunque haya años de movimientos.</w:t>
      </w:r>
    </w:p>
    <w:p>
      <w:r>
        <w:t>Al hacer clic en el resumen se abre una ventana con el detalle: cada campo con su valor anterior (tachado, en rojo) y el que quedó (en verde). Una creación no tiene valor anterior y una eliminación no tiene valor nuevo. El detalle se pide al abrirlo, así el listado se mantiene liviano aunque un movimiento haya tocado cientos de filas.</w:t>
      </w:r>
    </w:p>
    <w:p>
      <w:r>
        <w:rPr>
          <w:i/>
          <w:color w:val="2E7D32"/>
        </w:rPr>
        <w:t>Las contraseñas, los certificados y las firmas se anotan como cambiados, pero su contenido nunca se muestra: en su lugar aparece «(oculto)».</w:t>
      </w:r>
    </w:p>
    <w:p>
      <w:r>
        <w:rPr>
          <w:i/>
          <w:color w:val="2E7D32"/>
        </w:rPr>
        <w:t>Entrar al sistema no cuenta como modificar al usuario, así que la auditoría no se llena con la fecha del último ingreso de cada quien.</w:t>
      </w:r>
    </w:p>
    <w:p>
      <w:r>
        <w:rPr>
          <w:i/>
          <w:color w:val="2E7D32"/>
        </w:rPr>
        <w:t>Para entrar a esta pantalla hace falta el permiso «Consultar la auditoría del Central y de las cajas». Se puede dar a contabilidad o a auditoría sin darles permiso para administrar nada.</w:t>
      </w:r>
    </w:p>
    <w:p>
      <w:pPr>
        <w:pStyle w:val="Heading2"/>
      </w:pPr>
      <w:r>
        <w:t>2.5. Maestros, artículos y precios</w:t>
      </w:r>
    </w:p>
    <w:tbl>
      <w:tblPr>
        <w:tblStyle w:val="TableGrid"/>
        <w:tblW w:type="auto" w:w="0"/>
        <w:tblLook w:firstColumn="1" w:firstRow="1" w:lastColumn="0" w:lastRow="0" w:noHBand="0" w:noVBand="1" w:val="04A0"/>
      </w:tblPr>
      <w:tblGrid>
        <w:gridCol w:w="3173"/>
        <w:gridCol w:w="3173"/>
        <w:gridCol w:w="3173"/>
      </w:tblGrid>
      <w:tr>
        <w:tc>
          <w:tcPr>
            <w:tcW w:type="dxa" w:w="2154"/>
          </w:tcPr>
          <w:p>
            <w:r/>
            <w:r>
              <w:rPr>
                <w:b/>
                <w:color w:val="1B4D3E"/>
              </w:rPr>
              <w:t>Opción</w:t>
            </w:r>
          </w:p>
        </w:tc>
        <w:tc>
          <w:tcPr>
            <w:tcW w:type="dxa" w:w="2494"/>
          </w:tcPr>
          <w:p>
            <w:r/>
            <w:r>
              <w:rPr>
                <w:b/>
                <w:color w:val="1B4D3E"/>
              </w:rPr>
              <w:t>Ruta</w:t>
            </w:r>
          </w:p>
        </w:tc>
        <w:tc>
          <w:tcPr>
            <w:tcW w:type="dxa" w:w="4989"/>
          </w:tcPr>
          <w:p>
            <w:r/>
            <w:r>
              <w:rPr>
                <w:b/>
                <w:color w:val="1B4D3E"/>
              </w:rPr>
              <w:t>Para qué sirve</w:t>
            </w:r>
          </w:p>
        </w:tc>
      </w:tr>
      <w:tr>
        <w:tc>
          <w:tcPr>
            <w:tcW w:type="dxa" w:w="2154"/>
          </w:tcPr>
          <w:p>
            <w:r>
              <w:t>Catálogos</w:t>
            </w:r>
          </w:p>
        </w:tc>
        <w:tc>
          <w:tcPr>
            <w:tcW w:type="dxa" w:w="2494"/>
          </w:tcPr>
          <w:p>
            <w:r>
              <w:t>/maestros</w:t>
            </w:r>
          </w:p>
        </w:tc>
        <w:tc>
          <w:tcPr>
            <w:tcW w:type="dxa" w:w="4989"/>
          </w:tcPr>
          <w:p>
            <w:r>
              <w:t>Monedas, tasas de cambio, departamentos, categorías, marcas, unidades, impuestos, formas de pago, denominaciones, bancos, motivos de descuento y devolución, niveles y reglas de fidelidad y descuentos por tarjeta (BIN).</w:t>
            </w:r>
          </w:p>
        </w:tc>
      </w:tr>
      <w:tr>
        <w:tc>
          <w:tcPr>
            <w:tcW w:type="dxa" w:w="2154"/>
          </w:tcPr>
          <w:p>
            <w:r>
              <w:t>Artículos</w:t>
            </w:r>
          </w:p>
        </w:tc>
        <w:tc>
          <w:tcPr>
            <w:tcW w:type="dxa" w:w="2494"/>
          </w:tcPr>
          <w:p>
            <w:r>
              <w:t>/articulos</w:t>
            </w:r>
          </w:p>
        </w:tc>
        <w:tc>
          <w:tcPr>
            <w:tcW w:type="dxa" w:w="4989"/>
          </w:tcPr>
          <w:p>
            <w:r>
              <w:t>Alta y edición de artículos, con sus códigos de barras y de proveedor.</w:t>
            </w:r>
          </w:p>
        </w:tc>
      </w:tr>
      <w:tr>
        <w:tc>
          <w:tcPr>
            <w:tcW w:type="dxa" w:w="2154"/>
          </w:tcPr>
          <w:p>
            <w:r>
              <w:t>Precios</w:t>
            </w:r>
          </w:p>
        </w:tc>
        <w:tc>
          <w:tcPr>
            <w:tcW w:type="dxa" w:w="2494"/>
          </w:tcPr>
          <w:p>
            <w:r>
              <w:t>/precios/articulos</w:t>
            </w:r>
          </w:p>
        </w:tc>
        <w:tc>
          <w:tcPr>
            <w:tcW w:type="dxa" w:w="4989"/>
          </w:tcPr>
          <w:p>
            <w:r>
              <w:t>Precio de detalle, precio por mayor con su cantidad mínima, precio mínimo y costo. El precio nuevo reemplaza al anterior; quién lo cambió y de cuánto a cuánto queda en Auditoría.</w:t>
            </w:r>
          </w:p>
        </w:tc>
      </w:tr>
      <w:tr>
        <w:tc>
          <w:tcPr>
            <w:tcW w:type="dxa" w:w="2154"/>
          </w:tcPr>
          <w:p>
            <w:r>
              <w:t>Topes de descuento</w:t>
            </w:r>
          </w:p>
        </w:tc>
        <w:tc>
          <w:tcPr>
            <w:tcW w:type="dxa" w:w="2494"/>
          </w:tcPr>
          <w:p>
            <w:r>
              <w:t>/precios/topes</w:t>
            </w:r>
          </w:p>
        </w:tc>
        <w:tc>
          <w:tcPr>
            <w:tcW w:type="dxa" w:w="4989"/>
          </w:tcPr>
          <w:p>
            <w:r>
              <w:t>Hasta cuánto puede descontar cada nivel, en general o por departamento o artículo.</w:t>
            </w:r>
          </w:p>
        </w:tc>
      </w:tr>
      <w:tr>
        <w:tc>
          <w:tcPr>
            <w:tcW w:type="dxa" w:w="2154"/>
          </w:tcPr>
          <w:p>
            <w:r>
              <w:t>Clientes</w:t>
            </w:r>
          </w:p>
        </w:tc>
        <w:tc>
          <w:tcPr>
            <w:tcW w:type="dxa" w:w="2494"/>
          </w:tcPr>
          <w:p>
            <w:r>
              <w:t>/clientes</w:t>
            </w:r>
          </w:p>
        </w:tc>
        <w:tc>
          <w:tcPr>
            <w:tcW w:type="dxa" w:w="4989"/>
          </w:tcPr>
          <w:p>
            <w:r>
              <w:t>Clientes con su contacto, sus dos teléfonos, su comprobante habitual, exoneraciones y direcciones de envío.</w:t>
            </w:r>
          </w:p>
        </w:tc>
      </w:tr>
    </w:tbl>
    <w:p/>
    <w:p>
      <w:r>
        <w:rPr>
          <w:i/>
          <w:color w:val="2E7D32"/>
        </w:rPr>
        <w:t>En Artículos y en Precios, al lado del buscador hay un «Buscar por» donde se elige Descripción o Código. La descripción se busca por parecido; el código (interno, de barras o de proveedor) hay que escribirlo completo, porque un código es el artículo o no lo es: buscar «040100» por pedazos devolvía cientos de artículos que solo empiezan igual.</w:t>
      </w:r>
    </w:p>
    <w:p>
      <w:r>
        <w:rPr>
          <w:i/>
          <w:color w:val="2E7D32"/>
        </w:rPr>
        <w:t>A la derecha de la barra, Artículos tiene dos filtros más: «Tipo» —normal, pesado, serializado o combo— y «Estado». El estado arranca en Activos, que es lo que se mira a diario; los artículos dados de baja se piden a propósito eligiendo Inactivos, o Todos para ver los dos. Los filtros se suman a lo que se busque: «alambre» entre los pesados y activos es las tres cosas a la vez.</w:t>
      </w:r>
    </w:p>
    <w:p>
      <w:pPr>
        <w:pStyle w:val="Heading3"/>
      </w:pPr>
      <w:r>
        <w:t>2.5.1. Cargar los clientes desde el archivo de la DGII</w:t>
      </w:r>
    </w:p>
    <w:p>
      <w:r>
        <w:t>La DGII publica un archivo con todos los contribuyentes registrados del país (DGII_RNC.TXT). Ese archivo se puede cargar de una vez en los clientes del Central, y de ahí bajan solos a las cajas. Sirve para que, cuando un cliente dicte su RNC en la caja, su razón social aparezca escrita exactamente como la tiene la DGII.</w:t>
      </w:r>
    </w:p>
    <w:p>
      <w:pPr>
        <w:pStyle w:val="ListNumber"/>
      </w:pPr>
      <w:r>
        <w:t>Descargue el archivo del portal de la DGII y déjelo en una carpeta del servidor de base de datos.</w:t>
      </w:r>
    </w:p>
    <w:p>
      <w:pPr>
        <w:pStyle w:val="ListNumber"/>
      </w:pPr>
      <w:r>
        <w:t>Abra scripts/base-datos/cargar-clientes-dgii.sql, cambie la ruta del archivo arriba y ejecútelo.</w:t>
      </w:r>
    </w:p>
    <w:p>
      <w:pPr>
        <w:pStyle w:val="ListNumber"/>
      </w:pPr>
      <w:r>
        <w:t>Al terminar informa cuántos clientes creó y cuántos actualizó. Las cajas los reciben en su próxima sincronización.</w:t>
      </w:r>
    </w:p>
    <w:tbl>
      <w:tblPr>
        <w:tblStyle w:val="TableGrid"/>
        <w:tblW w:type="auto" w:w="0"/>
        <w:tblLook w:firstColumn="1" w:firstRow="1" w:lastColumn="0" w:lastRow="0" w:noHBand="0" w:noVBand="1" w:val="04A0"/>
      </w:tblPr>
      <w:tblGrid>
        <w:gridCol w:w="4759"/>
        <w:gridCol w:w="4759"/>
      </w:tblGrid>
      <w:tr>
        <w:tc>
          <w:tcPr>
            <w:tcW w:type="dxa" w:w="2268"/>
          </w:tcPr>
          <w:p>
            <w:r/>
            <w:r>
              <w:rPr>
                <w:b/>
                <w:color w:val="1B4D3E"/>
              </w:rPr>
              <w:t>Qué hace</w:t>
            </w:r>
          </w:p>
        </w:tc>
        <w:tc>
          <w:tcPr>
            <w:tcW w:type="dxa" w:w="6803"/>
          </w:tcPr>
          <w:p>
            <w:r/>
            <w:r>
              <w:rPr>
                <w:b/>
                <w:color w:val="1B4D3E"/>
              </w:rPr>
              <w:t>Detalle</w:t>
            </w:r>
          </w:p>
        </w:tc>
      </w:tr>
      <w:tr>
        <w:tc>
          <w:tcPr>
            <w:tcW w:type="dxa" w:w="2268"/>
          </w:tcPr>
          <w:p>
            <w:r>
              <w:t>Si el cliente ya existe</w:t>
            </w:r>
          </w:p>
        </w:tc>
        <w:tc>
          <w:tcPr>
            <w:tcW w:type="dxa" w:w="6803"/>
          </w:tcPr>
          <w:p>
            <w:r>
              <w:t>Le actualiza la razón social y el estado: activo o, si la DGII lo tiene suspendido, inactivo. El teléfono, el correo, el contacto, el tipo de comprobante, la lista de precios y las direcciones no se tocan: eso lo llenó usted.</w:t>
            </w:r>
          </w:p>
        </w:tc>
      </w:tr>
      <w:tr>
        <w:tc>
          <w:tcPr>
            <w:tcW w:type="dxa" w:w="2268"/>
          </w:tcPr>
          <w:p>
            <w:r>
              <w:t>Si no existe</w:t>
            </w:r>
          </w:p>
        </w:tc>
        <w:tc>
          <w:tcPr>
            <w:tcW w:type="dxa" w:w="6803"/>
          </w:tcPr>
          <w:p>
            <w:r>
              <w:t>Lo crea (inactivo si está suspendido). Un RNC de 9 dígitos nace con crédito fiscal (E31) y una cédula de 11 con consumo (E32). El código del cliente es su propio documento.</w:t>
            </w:r>
          </w:p>
        </w:tc>
      </w:tr>
      <w:tr>
        <w:tc>
          <w:tcPr>
            <w:tcW w:type="dxa" w:w="2268"/>
          </w:tcPr>
          <w:p>
            <w:r>
              <w:t>Estado</w:t>
            </w:r>
          </w:p>
        </w:tc>
        <w:tc>
          <w:tcPr>
            <w:tcW w:type="dxa" w:w="6803"/>
          </w:tcPr>
          <w:p>
            <w:r>
              <w:t>Se cargan los contribuyentes ACTIVO, que quedan activos, y los SUSPENDIDO, que quedan inactivos. Los demás estados se ignoran. Un cliente que usted había desactivado vuelve a quedar activo si la DGII lo reporta activo.</w:t>
            </w:r>
          </w:p>
        </w:tc>
      </w:tr>
      <w:tr>
        <w:tc>
          <w:tcPr>
            <w:tcW w:type="dxa" w:w="2268"/>
          </w:tcPr>
          <w:p>
            <w:r>
              <w:t>Lo que no hace</w:t>
            </w:r>
          </w:p>
        </w:tc>
        <w:tc>
          <w:tcPr>
            <w:tcW w:type="dxa" w:w="6803"/>
          </w:tcPr>
          <w:p>
            <w:r>
              <w:t>No borra clientes: lo que ya no venga en el archivo se queda como está.</w:t>
            </w:r>
          </w:p>
        </w:tc>
      </w:tr>
    </w:tbl>
    <w:p/>
    <w:p>
      <w:r>
        <w:rPr>
          <w:i/>
          <w:color w:val="2E7D32"/>
        </w:rPr>
        <w:t>La ruta la abre SQL Server, no su equipo: el archivo debe estar en el servidor o en una carpeta compartida a la que tenga acceso la cuenta del servicio de SQL Server. Haga un respaldo antes y ejecútelo fuera del horario de venta.</w:t>
      </w:r>
    </w:p>
    <w:p>
      <w:pPr>
        <w:pStyle w:val="Heading2"/>
      </w:pPr>
      <w:r>
        <w:t>2.6. Artículos para empezar (sugerencia)</w:t>
      </w:r>
    </w:p>
    <w:p>
      <w:r>
        <w:t>El sistema se instala sin productos: usted crea los suyos. Para arrancar y para probar todo el sistema, conviene cargar primero unos pocos artículos que cubran cada caso del negocio de bebidas, y después ya cargar el catálogo completo.</w:t>
      </w:r>
    </w:p>
    <w:p>
      <w:r>
        <w:t>Antes de los artículos cree lo que ellos necesitan, en este orden: impuestos (ITBIS 18 % y exento), unidades de medida (unidad, caja, libra), departamentos, categorías y marcas. Los departamentos, las categorías y las marcas sugeridas están en la sección siguiente; los artículos de aquí abajo ya usan esos mismos nombres.</w:t>
      </w:r>
    </w:p>
    <w:p>
      <w:r>
        <w:t>Ficha del artículo: esto es lo que se llena en Maestros → Artículos.</w:t>
      </w:r>
    </w:p>
    <w:tbl>
      <w:tblPr>
        <w:tblStyle w:val="TableGrid"/>
        <w:tblW w:type="auto" w:w="0"/>
        <w:tblLook w:firstColumn="1" w:firstRow="1" w:lastColumn="0" w:lastRow="0" w:noHBand="0" w:noVBand="1" w:val="04A0"/>
      </w:tblPr>
      <w:tblGrid>
        <w:gridCol w:w="1360"/>
        <w:gridCol w:w="1360"/>
        <w:gridCol w:w="1360"/>
        <w:gridCol w:w="1360"/>
        <w:gridCol w:w="1360"/>
        <w:gridCol w:w="1360"/>
        <w:gridCol w:w="1360"/>
      </w:tblGrid>
      <w:tr>
        <w:tc>
          <w:tcPr>
            <w:tcW w:type="dxa" w:w="1361"/>
          </w:tcPr>
          <w:p>
            <w:r/>
            <w:r>
              <w:rPr>
                <w:b/>
                <w:color w:val="1B4D3E"/>
              </w:rPr>
              <w:t>Código</w:t>
            </w:r>
          </w:p>
        </w:tc>
        <w:tc>
          <w:tcPr>
            <w:tcW w:type="dxa" w:w="2494"/>
          </w:tcPr>
          <w:p>
            <w:r/>
            <w:r>
              <w:rPr>
                <w:b/>
                <w:color w:val="1B4D3E"/>
              </w:rPr>
              <w:t>Descripción</w:t>
            </w:r>
          </w:p>
        </w:tc>
        <w:tc>
          <w:tcPr>
            <w:tcW w:type="dxa" w:w="1474"/>
          </w:tcPr>
          <w:p>
            <w:r/>
            <w:r>
              <w:rPr>
                <w:b/>
                <w:color w:val="1B4D3E"/>
              </w:rPr>
              <w:t>Departamento</w:t>
            </w:r>
          </w:p>
        </w:tc>
        <w:tc>
          <w:tcPr>
            <w:tcW w:type="dxa" w:w="1247"/>
          </w:tcPr>
          <w:p>
            <w:r/>
            <w:r>
              <w:rPr>
                <w:b/>
                <w:color w:val="1B4D3E"/>
              </w:rPr>
              <w:t>Categoría</w:t>
            </w:r>
          </w:p>
        </w:tc>
        <w:tc>
          <w:tcPr>
            <w:tcW w:type="dxa" w:w="1361"/>
          </w:tcPr>
          <w:p>
            <w:r/>
            <w:r>
              <w:rPr>
                <w:b/>
                <w:color w:val="1B4D3E"/>
              </w:rPr>
              <w:t>Marca</w:t>
            </w:r>
          </w:p>
        </w:tc>
        <w:tc>
          <w:tcPr>
            <w:tcW w:type="dxa" w:w="850"/>
          </w:tcPr>
          <w:p>
            <w:r/>
            <w:r>
              <w:rPr>
                <w:b/>
                <w:color w:val="1B4D3E"/>
              </w:rPr>
              <w:t>Unidad</w:t>
            </w:r>
          </w:p>
        </w:tc>
        <w:tc>
          <w:tcPr>
            <w:tcW w:type="dxa" w:w="1077"/>
          </w:tcPr>
          <w:p>
            <w:r/>
            <w:r>
              <w:rPr>
                <w:b/>
                <w:color w:val="1B4D3E"/>
              </w:rPr>
              <w:t>Tipo</w:t>
            </w:r>
          </w:p>
        </w:tc>
      </w:tr>
      <w:tr>
        <w:tc>
          <w:tcPr>
            <w:tcW w:type="dxa" w:w="1361"/>
          </w:tcPr>
          <w:p>
            <w:r>
              <w:t>CER-PRE-650</w:t>
            </w:r>
          </w:p>
        </w:tc>
        <w:tc>
          <w:tcPr>
            <w:tcW w:type="dxa" w:w="2494"/>
          </w:tcPr>
          <w:p>
            <w:r>
              <w:t>Cerveza Presidente 650 ml</w:t>
            </w:r>
          </w:p>
        </w:tc>
        <w:tc>
          <w:tcPr>
            <w:tcW w:type="dxa" w:w="1474"/>
          </w:tcPr>
          <w:p>
            <w:r>
              <w:t>Cervezas</w:t>
            </w:r>
          </w:p>
        </w:tc>
        <w:tc>
          <w:tcPr>
            <w:tcW w:type="dxa" w:w="1247"/>
          </w:tcPr>
          <w:p>
            <w:r>
              <w:t>Nacionales</w:t>
            </w:r>
          </w:p>
        </w:tc>
        <w:tc>
          <w:tcPr>
            <w:tcW w:type="dxa" w:w="1361"/>
          </w:tcPr>
          <w:p>
            <w:r>
              <w:t>Presidente</w:t>
            </w:r>
          </w:p>
        </w:tc>
        <w:tc>
          <w:tcPr>
            <w:tcW w:type="dxa" w:w="850"/>
          </w:tcPr>
          <w:p>
            <w:r>
              <w:t>Unidad</w:t>
            </w:r>
          </w:p>
        </w:tc>
        <w:tc>
          <w:tcPr>
            <w:tcW w:type="dxa" w:w="1077"/>
          </w:tcPr>
          <w:p>
            <w:r>
              <w:t>Normal</w:t>
            </w:r>
          </w:p>
        </w:tc>
      </w:tr>
      <w:tr>
        <w:tc>
          <w:tcPr>
            <w:tcW w:type="dxa" w:w="1361"/>
          </w:tcPr>
          <w:p>
            <w:r>
              <w:t>CER-PRE-CJ</w:t>
            </w:r>
          </w:p>
        </w:tc>
        <w:tc>
          <w:tcPr>
            <w:tcW w:type="dxa" w:w="2494"/>
          </w:tcPr>
          <w:p>
            <w:r>
              <w:t>Cerveza Presidente 650 ml, caja de 12</w:t>
            </w:r>
          </w:p>
        </w:tc>
        <w:tc>
          <w:tcPr>
            <w:tcW w:type="dxa" w:w="1474"/>
          </w:tcPr>
          <w:p>
            <w:r>
              <w:t>Cervezas</w:t>
            </w:r>
          </w:p>
        </w:tc>
        <w:tc>
          <w:tcPr>
            <w:tcW w:type="dxa" w:w="1247"/>
          </w:tcPr>
          <w:p>
            <w:r>
              <w:t>Nacionales</w:t>
            </w:r>
          </w:p>
        </w:tc>
        <w:tc>
          <w:tcPr>
            <w:tcW w:type="dxa" w:w="1361"/>
          </w:tcPr>
          <w:p>
            <w:r>
              <w:t>Presidente</w:t>
            </w:r>
          </w:p>
        </w:tc>
        <w:tc>
          <w:tcPr>
            <w:tcW w:type="dxa" w:w="850"/>
          </w:tcPr>
          <w:p>
            <w:r>
              <w:t>Caja</w:t>
            </w:r>
          </w:p>
        </w:tc>
        <w:tc>
          <w:tcPr>
            <w:tcW w:type="dxa" w:w="1077"/>
          </w:tcPr>
          <w:p>
            <w:r>
              <w:t>Normal</w:t>
            </w:r>
          </w:p>
        </w:tc>
      </w:tr>
      <w:tr>
        <w:tc>
          <w:tcPr>
            <w:tcW w:type="dxa" w:w="1361"/>
          </w:tcPr>
          <w:p>
            <w:r>
              <w:t>CER-COR-355</w:t>
            </w:r>
          </w:p>
        </w:tc>
        <w:tc>
          <w:tcPr>
            <w:tcW w:type="dxa" w:w="2494"/>
          </w:tcPr>
          <w:p>
            <w:r>
              <w:t>Cerveza Corona 355 ml</w:t>
            </w:r>
          </w:p>
        </w:tc>
        <w:tc>
          <w:tcPr>
            <w:tcW w:type="dxa" w:w="1474"/>
          </w:tcPr>
          <w:p>
            <w:r>
              <w:t>Cervezas</w:t>
            </w:r>
          </w:p>
        </w:tc>
        <w:tc>
          <w:tcPr>
            <w:tcW w:type="dxa" w:w="1247"/>
          </w:tcPr>
          <w:p>
            <w:r>
              <w:t>Importadas</w:t>
            </w:r>
          </w:p>
        </w:tc>
        <w:tc>
          <w:tcPr>
            <w:tcW w:type="dxa" w:w="1361"/>
          </w:tcPr>
          <w:p>
            <w:r>
              <w:t>Corona</w:t>
            </w:r>
          </w:p>
        </w:tc>
        <w:tc>
          <w:tcPr>
            <w:tcW w:type="dxa" w:w="850"/>
          </w:tcPr>
          <w:p>
            <w:r>
              <w:t>Unidad</w:t>
            </w:r>
          </w:p>
        </w:tc>
        <w:tc>
          <w:tcPr>
            <w:tcW w:type="dxa" w:w="1077"/>
          </w:tcPr>
          <w:p>
            <w:r>
              <w:t>Normal</w:t>
            </w:r>
          </w:p>
        </w:tc>
      </w:tr>
      <w:tr>
        <w:tc>
          <w:tcPr>
            <w:tcW w:type="dxa" w:w="1361"/>
          </w:tcPr>
          <w:p>
            <w:r>
              <w:t>RON-BRU-AN</w:t>
            </w:r>
          </w:p>
        </w:tc>
        <w:tc>
          <w:tcPr>
            <w:tcW w:type="dxa" w:w="2494"/>
          </w:tcPr>
          <w:p>
            <w:r>
              <w:t>Ron Brugal Añejo 750 ml</w:t>
            </w:r>
          </w:p>
        </w:tc>
        <w:tc>
          <w:tcPr>
            <w:tcW w:type="dxa" w:w="1474"/>
          </w:tcPr>
          <w:p>
            <w:r>
              <w:t>Licores</w:t>
            </w:r>
          </w:p>
        </w:tc>
        <w:tc>
          <w:tcPr>
            <w:tcW w:type="dxa" w:w="1247"/>
          </w:tcPr>
          <w:p>
            <w:r>
              <w:t>Ron</w:t>
            </w:r>
          </w:p>
        </w:tc>
        <w:tc>
          <w:tcPr>
            <w:tcW w:type="dxa" w:w="1361"/>
          </w:tcPr>
          <w:p>
            <w:r>
              <w:t>Brugal</w:t>
            </w:r>
          </w:p>
        </w:tc>
        <w:tc>
          <w:tcPr>
            <w:tcW w:type="dxa" w:w="850"/>
          </w:tcPr>
          <w:p>
            <w:r>
              <w:t>Unidad</w:t>
            </w:r>
          </w:p>
        </w:tc>
        <w:tc>
          <w:tcPr>
            <w:tcW w:type="dxa" w:w="1077"/>
          </w:tcPr>
          <w:p>
            <w:r>
              <w:t>Normal</w:t>
            </w:r>
          </w:p>
        </w:tc>
      </w:tr>
      <w:tr>
        <w:tc>
          <w:tcPr>
            <w:tcW w:type="dxa" w:w="1361"/>
          </w:tcPr>
          <w:p>
            <w:r>
              <w:t>WHI-JWB-750</w:t>
            </w:r>
          </w:p>
        </w:tc>
        <w:tc>
          <w:tcPr>
            <w:tcW w:type="dxa" w:w="2494"/>
          </w:tcPr>
          <w:p>
            <w:r>
              <w:t>Whisky Johnnie Walker Black 750 ml</w:t>
            </w:r>
          </w:p>
        </w:tc>
        <w:tc>
          <w:tcPr>
            <w:tcW w:type="dxa" w:w="1474"/>
          </w:tcPr>
          <w:p>
            <w:r>
              <w:t>Licores</w:t>
            </w:r>
          </w:p>
        </w:tc>
        <w:tc>
          <w:tcPr>
            <w:tcW w:type="dxa" w:w="1247"/>
          </w:tcPr>
          <w:p>
            <w:r>
              <w:t>Whisky</w:t>
            </w:r>
          </w:p>
        </w:tc>
        <w:tc>
          <w:tcPr>
            <w:tcW w:type="dxa" w:w="1361"/>
          </w:tcPr>
          <w:p>
            <w:r>
              <w:t>Johnnie Walker</w:t>
            </w:r>
          </w:p>
        </w:tc>
        <w:tc>
          <w:tcPr>
            <w:tcW w:type="dxa" w:w="850"/>
          </w:tcPr>
          <w:p>
            <w:r>
              <w:t>Unidad</w:t>
            </w:r>
          </w:p>
        </w:tc>
        <w:tc>
          <w:tcPr>
            <w:tcW w:type="dxa" w:w="1077"/>
          </w:tcPr>
          <w:p>
            <w:r>
              <w:t>Normal</w:t>
            </w:r>
          </w:p>
        </w:tc>
      </w:tr>
      <w:tr>
        <w:tc>
          <w:tcPr>
            <w:tcW w:type="dxa" w:w="1361"/>
          </w:tcPr>
          <w:p>
            <w:r>
              <w:t>VIN-TIN-750</w:t>
            </w:r>
          </w:p>
        </w:tc>
        <w:tc>
          <w:tcPr>
            <w:tcW w:type="dxa" w:w="2494"/>
          </w:tcPr>
          <w:p>
            <w:r>
              <w:t>Vino tinto reserva 750 ml</w:t>
            </w:r>
          </w:p>
        </w:tc>
        <w:tc>
          <w:tcPr>
            <w:tcW w:type="dxa" w:w="1474"/>
          </w:tcPr>
          <w:p>
            <w:r>
              <w:t>Vinos</w:t>
            </w:r>
          </w:p>
        </w:tc>
        <w:tc>
          <w:tcPr>
            <w:tcW w:type="dxa" w:w="1247"/>
          </w:tcPr>
          <w:p>
            <w:r>
              <w:t>Tintos</w:t>
            </w:r>
          </w:p>
        </w:tc>
        <w:tc>
          <w:tcPr>
            <w:tcW w:type="dxa" w:w="1361"/>
          </w:tcPr>
          <w:p>
            <w:r>
              <w:t>Marqués de Riscal</w:t>
            </w:r>
          </w:p>
        </w:tc>
        <w:tc>
          <w:tcPr>
            <w:tcW w:type="dxa" w:w="850"/>
          </w:tcPr>
          <w:p>
            <w:r>
              <w:t>Unidad</w:t>
            </w:r>
          </w:p>
        </w:tc>
        <w:tc>
          <w:tcPr>
            <w:tcW w:type="dxa" w:w="1077"/>
          </w:tcPr>
          <w:p>
            <w:r>
              <w:t>Normal</w:t>
            </w:r>
          </w:p>
        </w:tc>
      </w:tr>
      <w:tr>
        <w:tc>
          <w:tcPr>
            <w:tcW w:type="dxa" w:w="1361"/>
          </w:tcPr>
          <w:p>
            <w:r>
              <w:t>REF-COLA-2L</w:t>
            </w:r>
          </w:p>
        </w:tc>
        <w:tc>
          <w:tcPr>
            <w:tcW w:type="dxa" w:w="2494"/>
          </w:tcPr>
          <w:p>
            <w:r>
              <w:t>Refresco de cola 2 litros</w:t>
            </w:r>
          </w:p>
        </w:tc>
        <w:tc>
          <w:tcPr>
            <w:tcW w:type="dxa" w:w="1474"/>
          </w:tcPr>
          <w:p>
            <w:r>
              <w:t>Refrescos y aguas</w:t>
            </w:r>
          </w:p>
        </w:tc>
        <w:tc>
          <w:tcPr>
            <w:tcW w:type="dxa" w:w="1247"/>
          </w:tcPr>
          <w:p>
            <w:r>
              <w:t>Gaseosas</w:t>
            </w:r>
          </w:p>
        </w:tc>
        <w:tc>
          <w:tcPr>
            <w:tcW w:type="dxa" w:w="1361"/>
          </w:tcPr>
          <w:p>
            <w:r>
              <w:t>Coca-Cola</w:t>
            </w:r>
          </w:p>
        </w:tc>
        <w:tc>
          <w:tcPr>
            <w:tcW w:type="dxa" w:w="850"/>
          </w:tcPr>
          <w:p>
            <w:r>
              <w:t>Unidad</w:t>
            </w:r>
          </w:p>
        </w:tc>
        <w:tc>
          <w:tcPr>
            <w:tcW w:type="dxa" w:w="1077"/>
          </w:tcPr>
          <w:p>
            <w:r>
              <w:t>Normal</w:t>
            </w:r>
          </w:p>
        </w:tc>
      </w:tr>
      <w:tr>
        <w:tc>
          <w:tcPr>
            <w:tcW w:type="dxa" w:w="1361"/>
          </w:tcPr>
          <w:p>
            <w:r>
              <w:t>HIE-LB</w:t>
            </w:r>
          </w:p>
        </w:tc>
        <w:tc>
          <w:tcPr>
            <w:tcW w:type="dxa" w:w="2494"/>
          </w:tcPr>
          <w:p>
            <w:r>
              <w:t>Hielo a granel</w:t>
            </w:r>
          </w:p>
        </w:tc>
        <w:tc>
          <w:tcPr>
            <w:tcW w:type="dxa" w:w="1474"/>
          </w:tcPr>
          <w:p>
            <w:r>
              <w:t>Hielo y desechables</w:t>
            </w:r>
          </w:p>
        </w:tc>
        <w:tc>
          <w:tcPr>
            <w:tcW w:type="dxa" w:w="1247"/>
          </w:tcPr>
          <w:p>
            <w:r>
              <w:t>Hielo</w:t>
            </w:r>
          </w:p>
        </w:tc>
        <w:tc>
          <w:tcPr>
            <w:tcW w:type="dxa" w:w="1361"/>
          </w:tcPr>
          <w:p>
            <w:r>
              <w:t>(sin marca)</w:t>
            </w:r>
          </w:p>
        </w:tc>
        <w:tc>
          <w:tcPr>
            <w:tcW w:type="dxa" w:w="850"/>
          </w:tcPr>
          <w:p>
            <w:r>
              <w:t>Libra</w:t>
            </w:r>
          </w:p>
        </w:tc>
        <w:tc>
          <w:tcPr>
            <w:tcW w:type="dxa" w:w="1077"/>
          </w:tcPr>
          <w:p>
            <w:r>
              <w:t>Pesado</w:t>
            </w:r>
          </w:p>
        </w:tc>
      </w:tr>
      <w:tr>
        <w:tc>
          <w:tcPr>
            <w:tcW w:type="dxa" w:w="1361"/>
          </w:tcPr>
          <w:p>
            <w:r>
              <w:t>BAR-PRE-50</w:t>
            </w:r>
          </w:p>
        </w:tc>
        <w:tc>
          <w:tcPr>
            <w:tcW w:type="dxa" w:w="2494"/>
          </w:tcPr>
          <w:p>
            <w:r>
              <w:t>Barril de cerveza 50 litros</w:t>
            </w:r>
          </w:p>
        </w:tc>
        <w:tc>
          <w:tcPr>
            <w:tcW w:type="dxa" w:w="1474"/>
          </w:tcPr>
          <w:p>
            <w:r>
              <w:t>Cervezas</w:t>
            </w:r>
          </w:p>
        </w:tc>
        <w:tc>
          <w:tcPr>
            <w:tcW w:type="dxa" w:w="1247"/>
          </w:tcPr>
          <w:p>
            <w:r>
              <w:t>Nacionales</w:t>
            </w:r>
          </w:p>
        </w:tc>
        <w:tc>
          <w:tcPr>
            <w:tcW w:type="dxa" w:w="1361"/>
          </w:tcPr>
          <w:p>
            <w:r>
              <w:t>Presidente</w:t>
            </w:r>
          </w:p>
        </w:tc>
        <w:tc>
          <w:tcPr>
            <w:tcW w:type="dxa" w:w="850"/>
          </w:tcPr>
          <w:p>
            <w:r>
              <w:t>Unidad</w:t>
            </w:r>
          </w:p>
        </w:tc>
        <w:tc>
          <w:tcPr>
            <w:tcW w:type="dxa" w:w="1077"/>
          </w:tcPr>
          <w:p>
            <w:r>
              <w:t>Serializado</w:t>
            </w:r>
          </w:p>
        </w:tc>
      </w:tr>
      <w:tr>
        <w:tc>
          <w:tcPr>
            <w:tcW w:type="dxa" w:w="1361"/>
          </w:tcPr>
          <w:p>
            <w:r>
              <w:t>COM-FIESTA</w:t>
            </w:r>
          </w:p>
        </w:tc>
        <w:tc>
          <w:tcPr>
            <w:tcW w:type="dxa" w:w="2494"/>
          </w:tcPr>
          <w:p>
            <w:r>
              <w:t>Combo fiesta (ron, refrescos y hielo)</w:t>
            </w:r>
          </w:p>
        </w:tc>
        <w:tc>
          <w:tcPr>
            <w:tcW w:type="dxa" w:w="1474"/>
          </w:tcPr>
          <w:p>
            <w:r>
              <w:t>Licores</w:t>
            </w:r>
          </w:p>
        </w:tc>
        <w:tc>
          <w:tcPr>
            <w:tcW w:type="dxa" w:w="1247"/>
          </w:tcPr>
          <w:p>
            <w:r>
              <w:t>Ron</w:t>
            </w:r>
          </w:p>
        </w:tc>
        <w:tc>
          <w:tcPr>
            <w:tcW w:type="dxa" w:w="1361"/>
          </w:tcPr>
          <w:p>
            <w:r>
              <w:t>(sin marca)</w:t>
            </w:r>
          </w:p>
        </w:tc>
        <w:tc>
          <w:tcPr>
            <w:tcW w:type="dxa" w:w="850"/>
          </w:tcPr>
          <w:p>
            <w:r>
              <w:t>Unidad</w:t>
            </w:r>
          </w:p>
        </w:tc>
        <w:tc>
          <w:tcPr>
            <w:tcW w:type="dxa" w:w="1077"/>
          </w:tcPr>
          <w:p>
            <w:r>
              <w:t>Combo</w:t>
            </w:r>
          </w:p>
        </w:tc>
      </w:tr>
      <w:tr>
        <w:tc>
          <w:tcPr>
            <w:tcW w:type="dxa" w:w="1361"/>
          </w:tcPr>
          <w:p>
            <w:r>
              <w:t>CAS-CER-CJ</w:t>
            </w:r>
          </w:p>
        </w:tc>
        <w:tc>
          <w:tcPr>
            <w:tcW w:type="dxa" w:w="2494"/>
          </w:tcPr>
          <w:p>
            <w:r>
              <w:t>Casco retornable de caja de cerveza</w:t>
            </w:r>
          </w:p>
        </w:tc>
        <w:tc>
          <w:tcPr>
            <w:tcW w:type="dxa" w:w="1474"/>
          </w:tcPr>
          <w:p>
            <w:r>
              <w:t>Cervezas</w:t>
            </w:r>
          </w:p>
        </w:tc>
        <w:tc>
          <w:tcPr>
            <w:tcW w:type="dxa" w:w="1247"/>
          </w:tcPr>
          <w:p>
            <w:r>
              <w:t>Nacionales</w:t>
            </w:r>
          </w:p>
        </w:tc>
        <w:tc>
          <w:tcPr>
            <w:tcW w:type="dxa" w:w="1361"/>
          </w:tcPr>
          <w:p>
            <w:r>
              <w:t>Presidente</w:t>
            </w:r>
          </w:p>
        </w:tc>
        <w:tc>
          <w:tcPr>
            <w:tcW w:type="dxa" w:w="850"/>
          </w:tcPr>
          <w:p>
            <w:r>
              <w:t>Unidad</w:t>
            </w:r>
          </w:p>
        </w:tc>
        <w:tc>
          <w:tcPr>
            <w:tcW w:type="dxa" w:w="1077"/>
          </w:tcPr>
          <w:p>
            <w:r>
              <w:t>Normal</w:t>
            </w:r>
          </w:p>
        </w:tc>
      </w:tr>
      <w:tr>
        <w:tc>
          <w:tcPr>
            <w:tcW w:type="dxa" w:w="1361"/>
          </w:tcPr>
          <w:p>
            <w:r>
              <w:t>SRV-ENTREGA</w:t>
            </w:r>
          </w:p>
        </w:tc>
        <w:tc>
          <w:tcPr>
            <w:tcW w:type="dxa" w:w="2494"/>
          </w:tcPr>
          <w:p>
            <w:r>
              <w:t>Servicio de entrega a domicilio</w:t>
            </w:r>
          </w:p>
        </w:tc>
        <w:tc>
          <w:tcPr>
            <w:tcW w:type="dxa" w:w="1474"/>
          </w:tcPr>
          <w:p>
            <w:r>
              <w:t>Servicios</w:t>
            </w:r>
          </w:p>
        </w:tc>
        <w:tc>
          <w:tcPr>
            <w:tcW w:type="dxa" w:w="1247"/>
          </w:tcPr>
          <w:p>
            <w:r>
              <w:t>Entregas</w:t>
            </w:r>
          </w:p>
        </w:tc>
        <w:tc>
          <w:tcPr>
            <w:tcW w:type="dxa" w:w="1361"/>
          </w:tcPr>
          <w:p>
            <w:r>
              <w:t>(sin marca)</w:t>
            </w:r>
          </w:p>
        </w:tc>
        <w:tc>
          <w:tcPr>
            <w:tcW w:type="dxa" w:w="850"/>
          </w:tcPr>
          <w:p>
            <w:r>
              <w:t>Unidad</w:t>
            </w:r>
          </w:p>
        </w:tc>
        <w:tc>
          <w:tcPr>
            <w:tcW w:type="dxa" w:w="1077"/>
          </w:tcPr>
          <w:p>
            <w:r>
              <w:t>Normal</w:t>
            </w:r>
          </w:p>
        </w:tc>
      </w:tr>
    </w:tbl>
    <w:p/>
    <w:p>
      <w:r>
        <w:rPr>
          <w:i/>
          <w:color w:val="2E7D32"/>
        </w:rPr>
        <w:t>La marca es opcional: un artículo genérico como el hielo o un servicio puede quedarse sin ella. La categoría sí la exige el Central al publicar, y siempre pertenece a un departamento.</w:t>
      </w:r>
    </w:p>
    <w:p>
      <w:r>
        <w:t>Precios, impuesto y código de barras del mismo artículo. El precio de detalle y el de mayor se cargan SIN ITBIS, como en Stellar: al vender, el ITBIS se calcula sobre cada línea y se suma aparte. El precio por mayor se aplica solo, desde la cantidad indicada.</w:t>
      </w:r>
    </w:p>
    <w:tbl>
      <w:tblPr>
        <w:tblStyle w:val="TableGrid"/>
        <w:tblW w:type="auto" w:w="0"/>
        <w:tblLook w:firstColumn="1" w:firstRow="1" w:lastColumn="0" w:lastRow="0" w:noHBand="0" w:noVBand="1" w:val="04A0"/>
      </w:tblPr>
      <w:tblGrid>
        <w:gridCol w:w="1360"/>
        <w:gridCol w:w="1360"/>
        <w:gridCol w:w="1360"/>
        <w:gridCol w:w="1360"/>
        <w:gridCol w:w="1360"/>
        <w:gridCol w:w="1360"/>
        <w:gridCol w:w="1360"/>
      </w:tblGrid>
      <w:tr>
        <w:tc>
          <w:tcPr>
            <w:tcW w:type="dxa" w:w="1361"/>
          </w:tcPr>
          <w:p>
            <w:r/>
            <w:r>
              <w:rPr>
                <w:b/>
                <w:color w:val="1B4D3E"/>
              </w:rPr>
              <w:t>Código</w:t>
            </w:r>
          </w:p>
        </w:tc>
        <w:tc>
          <w:tcPr>
            <w:tcW w:type="dxa" w:w="737"/>
          </w:tcPr>
          <w:p>
            <w:r/>
            <w:r>
              <w:rPr>
                <w:b/>
                <w:color w:val="1B4D3E"/>
              </w:rPr>
              <w:t>ITBIS</w:t>
            </w:r>
          </w:p>
        </w:tc>
        <w:tc>
          <w:tcPr>
            <w:tcW w:type="dxa" w:w="1247"/>
          </w:tcPr>
          <w:p>
            <w:r/>
            <w:r>
              <w:rPr>
                <w:b/>
                <w:color w:val="1B4D3E"/>
              </w:rPr>
              <w:t>Precio detalle</w:t>
            </w:r>
          </w:p>
        </w:tc>
        <w:tc>
          <w:tcPr>
            <w:tcW w:type="dxa" w:w="1134"/>
          </w:tcPr>
          <w:p>
            <w:r/>
            <w:r>
              <w:rPr>
                <w:b/>
                <w:color w:val="1B4D3E"/>
              </w:rPr>
              <w:t>Precio mayor</w:t>
            </w:r>
          </w:p>
        </w:tc>
        <w:tc>
          <w:tcPr>
            <w:tcW w:type="dxa" w:w="680"/>
          </w:tcPr>
          <w:p>
            <w:r/>
            <w:r>
              <w:rPr>
                <w:b/>
                <w:color w:val="1B4D3E"/>
              </w:rPr>
              <w:t>Desde</w:t>
            </w:r>
          </w:p>
        </w:tc>
        <w:tc>
          <w:tcPr>
            <w:tcW w:type="dxa" w:w="1928"/>
          </w:tcPr>
          <w:p>
            <w:r/>
            <w:r>
              <w:rPr>
                <w:b/>
                <w:color w:val="1B4D3E"/>
              </w:rPr>
              <w:t>Código de barras (ejemplo)</w:t>
            </w:r>
          </w:p>
        </w:tc>
        <w:tc>
          <w:tcPr>
            <w:tcW w:type="dxa" w:w="2835"/>
          </w:tcPr>
          <w:p>
            <w:r/>
            <w:r>
              <w:rPr>
                <w:b/>
                <w:color w:val="1B4D3E"/>
              </w:rPr>
              <w:t>Sirve para probar</w:t>
            </w:r>
          </w:p>
        </w:tc>
      </w:tr>
      <w:tr>
        <w:tc>
          <w:tcPr>
            <w:tcW w:type="dxa" w:w="1361"/>
          </w:tcPr>
          <w:p>
            <w:r>
              <w:t>CER-PRE-650</w:t>
            </w:r>
          </w:p>
        </w:tc>
        <w:tc>
          <w:tcPr>
            <w:tcW w:type="dxa" w:w="737"/>
          </w:tcPr>
          <w:p>
            <w:r>
              <w:t>18 %</w:t>
            </w:r>
          </w:p>
        </w:tc>
        <w:tc>
          <w:tcPr>
            <w:tcW w:type="dxa" w:w="1247"/>
          </w:tcPr>
          <w:p>
            <w:r>
              <w:t>230.00</w:t>
            </w:r>
          </w:p>
        </w:tc>
        <w:tc>
          <w:tcPr>
            <w:tcW w:type="dxa" w:w="1134"/>
          </w:tcPr>
          <w:p>
            <w:r>
              <w:t>205.00</w:t>
            </w:r>
          </w:p>
        </w:tc>
        <w:tc>
          <w:tcPr>
            <w:tcW w:type="dxa" w:w="680"/>
          </w:tcPr>
          <w:p>
            <w:r>
              <w:t>12</w:t>
            </w:r>
          </w:p>
        </w:tc>
        <w:tc>
          <w:tcPr>
            <w:tcW w:type="dxa" w:w="1928"/>
          </w:tcPr>
          <w:p>
            <w:r>
              <w:t>7401000000011</w:t>
            </w:r>
          </w:p>
        </w:tc>
        <w:tc>
          <w:tcPr>
            <w:tcW w:type="dxa" w:w="2835"/>
          </w:tcPr>
          <w:p>
            <w:r>
              <w:t>Venta normal y precio por mayor automático</w:t>
            </w:r>
          </w:p>
        </w:tc>
      </w:tr>
      <w:tr>
        <w:tc>
          <w:tcPr>
            <w:tcW w:type="dxa" w:w="1361"/>
          </w:tcPr>
          <w:p>
            <w:r>
              <w:t>CER-PRE-CJ</w:t>
            </w:r>
          </w:p>
        </w:tc>
        <w:tc>
          <w:tcPr>
            <w:tcW w:type="dxa" w:w="737"/>
          </w:tcPr>
          <w:p>
            <w:r>
              <w:t>18 %</w:t>
            </w:r>
          </w:p>
        </w:tc>
        <w:tc>
          <w:tcPr>
            <w:tcW w:type="dxa" w:w="1247"/>
          </w:tcPr>
          <w:p>
            <w:r>
              <w:t>2,460.00</w:t>
            </w:r>
          </w:p>
        </w:tc>
        <w:tc>
          <w:tcPr>
            <w:tcW w:type="dxa" w:w="1134"/>
          </w:tcPr>
          <w:p>
            <w:r>
              <w:t>2,400.00</w:t>
            </w:r>
          </w:p>
        </w:tc>
        <w:tc>
          <w:tcPr>
            <w:tcW w:type="dxa" w:w="680"/>
          </w:tcPr>
          <w:p>
            <w:r>
              <w:t>5</w:t>
            </w:r>
          </w:p>
        </w:tc>
        <w:tc>
          <w:tcPr>
            <w:tcW w:type="dxa" w:w="1928"/>
          </w:tcPr>
          <w:p>
            <w:r>
              <w:t>7401000000028</w:t>
            </w:r>
          </w:p>
        </w:tc>
        <w:tc>
          <w:tcPr>
            <w:tcW w:type="dxa" w:w="2835"/>
          </w:tcPr>
          <w:p>
            <w:r>
              <w:t>Venta por caja y segundo código del mismo empaque</w:t>
            </w:r>
          </w:p>
        </w:tc>
      </w:tr>
      <w:tr>
        <w:tc>
          <w:tcPr>
            <w:tcW w:type="dxa" w:w="1361"/>
          </w:tcPr>
          <w:p>
            <w:r>
              <w:t>CER-COR-355</w:t>
            </w:r>
          </w:p>
        </w:tc>
        <w:tc>
          <w:tcPr>
            <w:tcW w:type="dxa" w:w="737"/>
          </w:tcPr>
          <w:p>
            <w:r>
              <w:t>18 %</w:t>
            </w:r>
          </w:p>
        </w:tc>
        <w:tc>
          <w:tcPr>
            <w:tcW w:type="dxa" w:w="1247"/>
          </w:tcPr>
          <w:p>
            <w:r>
              <w:t>180.00</w:t>
            </w:r>
          </w:p>
        </w:tc>
        <w:tc>
          <w:tcPr>
            <w:tcW w:type="dxa" w:w="1134"/>
          </w:tcPr>
          <w:p>
            <w:r>
              <w:t>165.00</w:t>
            </w:r>
          </w:p>
        </w:tc>
        <w:tc>
          <w:tcPr>
            <w:tcW w:type="dxa" w:w="680"/>
          </w:tcPr>
          <w:p>
            <w:r>
              <w:t>12</w:t>
            </w:r>
          </w:p>
        </w:tc>
        <w:tc>
          <w:tcPr>
            <w:tcW w:type="dxa" w:w="1928"/>
          </w:tcPr>
          <w:p>
            <w:r>
              <w:t>7501000000035</w:t>
            </w:r>
          </w:p>
        </w:tc>
        <w:tc>
          <w:tcPr>
            <w:tcW w:type="dxa" w:w="2835"/>
          </w:tcPr>
          <w:p>
            <w:r>
              <w:t>Oferta lleva 3 paga 2</w:t>
            </w:r>
          </w:p>
        </w:tc>
      </w:tr>
      <w:tr>
        <w:tc>
          <w:tcPr>
            <w:tcW w:type="dxa" w:w="1361"/>
          </w:tcPr>
          <w:p>
            <w:r>
              <w:t>RON-BRU-AN</w:t>
            </w:r>
          </w:p>
        </w:tc>
        <w:tc>
          <w:tcPr>
            <w:tcW w:type="dxa" w:w="737"/>
          </w:tcPr>
          <w:p>
            <w:r>
              <w:t>18 %</w:t>
            </w:r>
          </w:p>
        </w:tc>
        <w:tc>
          <w:tcPr>
            <w:tcW w:type="dxa" w:w="1247"/>
          </w:tcPr>
          <w:p>
            <w:r>
              <w:t>490.00</w:t>
            </w:r>
          </w:p>
        </w:tc>
        <w:tc>
          <w:tcPr>
            <w:tcW w:type="dxa" w:w="1134"/>
          </w:tcPr>
          <w:p>
            <w:r>
              <w:t>470.00</w:t>
            </w:r>
          </w:p>
        </w:tc>
        <w:tc>
          <w:tcPr>
            <w:tcW w:type="dxa" w:w="680"/>
          </w:tcPr>
          <w:p>
            <w:r>
              <w:t>6</w:t>
            </w:r>
          </w:p>
        </w:tc>
        <w:tc>
          <w:tcPr>
            <w:tcW w:type="dxa" w:w="1928"/>
          </w:tcPr>
          <w:p>
            <w:r>
              <w:t>7401000000042</w:t>
            </w:r>
          </w:p>
        </w:tc>
        <w:tc>
          <w:tcPr>
            <w:tcW w:type="dxa" w:w="2835"/>
          </w:tcPr>
          <w:p>
            <w:r>
              <w:t>Descuento por línea con motivo</w:t>
            </w:r>
          </w:p>
        </w:tc>
      </w:tr>
      <w:tr>
        <w:tc>
          <w:tcPr>
            <w:tcW w:type="dxa" w:w="1361"/>
          </w:tcPr>
          <w:p>
            <w:r>
              <w:t>WHI-JWB-750</w:t>
            </w:r>
          </w:p>
        </w:tc>
        <w:tc>
          <w:tcPr>
            <w:tcW w:type="dxa" w:w="737"/>
          </w:tcPr>
          <w:p>
            <w:r>
              <w:t>18 %</w:t>
            </w:r>
          </w:p>
        </w:tc>
        <w:tc>
          <w:tcPr>
            <w:tcW w:type="dxa" w:w="1247"/>
          </w:tcPr>
          <w:p>
            <w:r>
              <w:t>3,200.00</w:t>
            </w:r>
          </w:p>
        </w:tc>
        <w:tc>
          <w:tcPr>
            <w:tcW w:type="dxa" w:w="1134"/>
          </w:tcPr>
          <w:p>
            <w:r>
              <w:t>—</w:t>
            </w:r>
          </w:p>
        </w:tc>
        <w:tc>
          <w:tcPr>
            <w:tcW w:type="dxa" w:w="680"/>
          </w:tcPr>
          <w:p>
            <w:r>
              <w:t>—</w:t>
            </w:r>
          </w:p>
        </w:tc>
        <w:tc>
          <w:tcPr>
            <w:tcW w:type="dxa" w:w="1928"/>
          </w:tcPr>
          <w:p>
            <w:r>
              <w:t>5000267000059</w:t>
            </w:r>
          </w:p>
        </w:tc>
        <w:tc>
          <w:tcPr>
            <w:tcW w:type="dxa" w:w="2835"/>
          </w:tcPr>
          <w:p>
            <w:r>
              <w:t>Descuento que pasa el tope y pide autorización</w:t>
            </w:r>
          </w:p>
        </w:tc>
      </w:tr>
      <w:tr>
        <w:tc>
          <w:tcPr>
            <w:tcW w:type="dxa" w:w="1361"/>
          </w:tcPr>
          <w:p>
            <w:r>
              <w:t>VIN-TIN-750</w:t>
            </w:r>
          </w:p>
        </w:tc>
        <w:tc>
          <w:tcPr>
            <w:tcW w:type="dxa" w:w="737"/>
          </w:tcPr>
          <w:p>
            <w:r>
              <w:t>18 %</w:t>
            </w:r>
          </w:p>
        </w:tc>
        <w:tc>
          <w:tcPr>
            <w:tcW w:type="dxa" w:w="1247"/>
          </w:tcPr>
          <w:p>
            <w:r>
              <w:t>850.00</w:t>
            </w:r>
          </w:p>
        </w:tc>
        <w:tc>
          <w:tcPr>
            <w:tcW w:type="dxa" w:w="1134"/>
          </w:tcPr>
          <w:p>
            <w:r>
              <w:t>800.00</w:t>
            </w:r>
          </w:p>
        </w:tc>
        <w:tc>
          <w:tcPr>
            <w:tcW w:type="dxa" w:w="680"/>
          </w:tcPr>
          <w:p>
            <w:r>
              <w:t>6</w:t>
            </w:r>
          </w:p>
        </w:tc>
        <w:tc>
          <w:tcPr>
            <w:tcW w:type="dxa" w:w="1928"/>
          </w:tcPr>
          <w:p>
            <w:r>
              <w:t>8410000000066</w:t>
            </w:r>
          </w:p>
        </w:tc>
        <w:tc>
          <w:tcPr>
            <w:tcW w:type="dxa" w:w="2835"/>
          </w:tcPr>
          <w:p>
            <w:r>
              <w:t>Oferta por categoría (todos los tintos)</w:t>
            </w:r>
          </w:p>
        </w:tc>
      </w:tr>
      <w:tr>
        <w:tc>
          <w:tcPr>
            <w:tcW w:type="dxa" w:w="1361"/>
          </w:tcPr>
          <w:p>
            <w:r>
              <w:t>REF-COLA-2L</w:t>
            </w:r>
          </w:p>
        </w:tc>
        <w:tc>
          <w:tcPr>
            <w:tcW w:type="dxa" w:w="737"/>
          </w:tcPr>
          <w:p>
            <w:r>
              <w:t>18 %</w:t>
            </w:r>
          </w:p>
        </w:tc>
        <w:tc>
          <w:tcPr>
            <w:tcW w:type="dxa" w:w="1247"/>
          </w:tcPr>
          <w:p>
            <w:r>
              <w:t>130.00</w:t>
            </w:r>
          </w:p>
        </w:tc>
        <w:tc>
          <w:tcPr>
            <w:tcW w:type="dxa" w:w="1134"/>
          </w:tcPr>
          <w:p>
            <w:r>
              <w:t>120.00</w:t>
            </w:r>
          </w:p>
        </w:tc>
        <w:tc>
          <w:tcPr>
            <w:tcW w:type="dxa" w:w="680"/>
          </w:tcPr>
          <w:p>
            <w:r>
              <w:t>6</w:t>
            </w:r>
          </w:p>
        </w:tc>
        <w:tc>
          <w:tcPr>
            <w:tcW w:type="dxa" w:w="1928"/>
          </w:tcPr>
          <w:p>
            <w:r>
              <w:t>7401000000073</w:t>
            </w:r>
          </w:p>
        </w:tc>
        <w:tc>
          <w:tcPr>
            <w:tcW w:type="dxa" w:w="2835"/>
          </w:tcPr>
          <w:p>
            <w:r>
              <w:t>Cantidades grandes con el lector (6*REF-COLA-2L)</w:t>
            </w:r>
          </w:p>
        </w:tc>
      </w:tr>
      <w:tr>
        <w:tc>
          <w:tcPr>
            <w:tcW w:type="dxa" w:w="1361"/>
          </w:tcPr>
          <w:p>
            <w:r>
              <w:t>HIE-LB</w:t>
            </w:r>
          </w:p>
        </w:tc>
        <w:tc>
          <w:tcPr>
            <w:tcW w:type="dxa" w:w="737"/>
          </w:tcPr>
          <w:p>
            <w:r>
              <w:t>18 %</w:t>
            </w:r>
          </w:p>
        </w:tc>
        <w:tc>
          <w:tcPr>
            <w:tcW w:type="dxa" w:w="1247"/>
          </w:tcPr>
          <w:p>
            <w:r>
              <w:t>18.00</w:t>
            </w:r>
          </w:p>
        </w:tc>
        <w:tc>
          <w:tcPr>
            <w:tcW w:type="dxa" w:w="1134"/>
          </w:tcPr>
          <w:p>
            <w:r>
              <w:t>—</w:t>
            </w:r>
          </w:p>
        </w:tc>
        <w:tc>
          <w:tcPr>
            <w:tcW w:type="dxa" w:w="680"/>
          </w:tcPr>
          <w:p>
            <w:r>
              <w:t>—</w:t>
            </w:r>
          </w:p>
        </w:tc>
        <w:tc>
          <w:tcPr>
            <w:tcW w:type="dxa" w:w="1928"/>
          </w:tcPr>
          <w:p>
            <w:r>
              <w:t>(sin código)</w:t>
            </w:r>
          </w:p>
        </w:tc>
        <w:tc>
          <w:tcPr>
            <w:tcW w:type="dxa" w:w="2835"/>
          </w:tcPr>
          <w:p>
            <w:r>
              <w:t>Artículo pesado: peso de la balanza o digitado</w:t>
            </w:r>
          </w:p>
        </w:tc>
      </w:tr>
      <w:tr>
        <w:tc>
          <w:tcPr>
            <w:tcW w:type="dxa" w:w="1361"/>
          </w:tcPr>
          <w:p>
            <w:r>
              <w:t>BAR-PRE-50</w:t>
            </w:r>
          </w:p>
        </w:tc>
        <w:tc>
          <w:tcPr>
            <w:tcW w:type="dxa" w:w="737"/>
          </w:tcPr>
          <w:p>
            <w:r>
              <w:t>18 %</w:t>
            </w:r>
          </w:p>
        </w:tc>
        <w:tc>
          <w:tcPr>
            <w:tcW w:type="dxa" w:w="1247"/>
          </w:tcPr>
          <w:p>
            <w:r>
              <w:t>9,500.00</w:t>
            </w:r>
          </w:p>
        </w:tc>
        <w:tc>
          <w:tcPr>
            <w:tcW w:type="dxa" w:w="1134"/>
          </w:tcPr>
          <w:p>
            <w:r>
              <w:t>—</w:t>
            </w:r>
          </w:p>
        </w:tc>
        <w:tc>
          <w:tcPr>
            <w:tcW w:type="dxa" w:w="680"/>
          </w:tcPr>
          <w:p>
            <w:r>
              <w:t>—</w:t>
            </w:r>
          </w:p>
        </w:tc>
        <w:tc>
          <w:tcPr>
            <w:tcW w:type="dxa" w:w="1928"/>
          </w:tcPr>
          <w:p>
            <w:r>
              <w:t>7401000000097</w:t>
            </w:r>
          </w:p>
        </w:tc>
        <w:tc>
          <w:tcPr>
            <w:tcW w:type="dxa" w:w="2835"/>
          </w:tcPr>
          <w:p>
            <w:r>
              <w:t>Serializado: pide el número del barril al venderlo</w:t>
            </w:r>
          </w:p>
        </w:tc>
      </w:tr>
      <w:tr>
        <w:tc>
          <w:tcPr>
            <w:tcW w:type="dxa" w:w="1361"/>
          </w:tcPr>
          <w:p>
            <w:r>
              <w:t>COM-FIESTA</w:t>
            </w:r>
          </w:p>
        </w:tc>
        <w:tc>
          <w:tcPr>
            <w:tcW w:type="dxa" w:w="737"/>
          </w:tcPr>
          <w:p>
            <w:r>
              <w:t>18 %</w:t>
            </w:r>
          </w:p>
        </w:tc>
        <w:tc>
          <w:tcPr>
            <w:tcW w:type="dxa" w:w="1247"/>
          </w:tcPr>
          <w:p>
            <w:r>
              <w:t>1,190.00</w:t>
            </w:r>
          </w:p>
        </w:tc>
        <w:tc>
          <w:tcPr>
            <w:tcW w:type="dxa" w:w="1134"/>
          </w:tcPr>
          <w:p>
            <w:r>
              <w:t>—</w:t>
            </w:r>
          </w:p>
        </w:tc>
        <w:tc>
          <w:tcPr>
            <w:tcW w:type="dxa" w:w="680"/>
          </w:tcPr>
          <w:p>
            <w:r>
              <w:t>—</w:t>
            </w:r>
          </w:p>
        </w:tc>
        <w:tc>
          <w:tcPr>
            <w:tcW w:type="dxa" w:w="1928"/>
          </w:tcPr>
          <w:p>
            <w:r>
              <w:t>7401000000103</w:t>
            </w:r>
          </w:p>
        </w:tc>
        <w:tc>
          <w:tcPr>
            <w:tcW w:type="dxa" w:w="2835"/>
          </w:tcPr>
          <w:p>
            <w:r>
              <w:t>Combo: se vende como uno solo y nunca toma precio por mayor</w:t>
            </w:r>
          </w:p>
        </w:tc>
      </w:tr>
      <w:tr>
        <w:tc>
          <w:tcPr>
            <w:tcW w:type="dxa" w:w="1361"/>
          </w:tcPr>
          <w:p>
            <w:r>
              <w:t>CAS-CER-CJ</w:t>
            </w:r>
          </w:p>
        </w:tc>
        <w:tc>
          <w:tcPr>
            <w:tcW w:type="dxa" w:w="737"/>
          </w:tcPr>
          <w:p>
            <w:r>
              <w:t>18 %</w:t>
            </w:r>
          </w:p>
        </w:tc>
        <w:tc>
          <w:tcPr>
            <w:tcW w:type="dxa" w:w="1247"/>
          </w:tcPr>
          <w:p>
            <w:r>
              <w:t>350.00</w:t>
            </w:r>
          </w:p>
        </w:tc>
        <w:tc>
          <w:tcPr>
            <w:tcW w:type="dxa" w:w="1134"/>
          </w:tcPr>
          <w:p>
            <w:r>
              <w:t>—</w:t>
            </w:r>
          </w:p>
        </w:tc>
        <w:tc>
          <w:tcPr>
            <w:tcW w:type="dxa" w:w="680"/>
          </w:tcPr>
          <w:p>
            <w:r>
              <w:t>—</w:t>
            </w:r>
          </w:p>
        </w:tc>
        <w:tc>
          <w:tcPr>
            <w:tcW w:type="dxa" w:w="1928"/>
          </w:tcPr>
          <w:p>
            <w:r>
              <w:t>7401000000110</w:t>
            </w:r>
          </w:p>
        </w:tc>
        <w:tc>
          <w:tcPr>
            <w:tcW w:type="dxa" w:w="2835"/>
          </w:tcPr>
          <w:p>
            <w:r>
              <w:t>Depósito de envase: se cobra y se devuelve al retornarlo</w:t>
            </w:r>
          </w:p>
        </w:tc>
      </w:tr>
      <w:tr>
        <w:tc>
          <w:tcPr>
            <w:tcW w:type="dxa" w:w="1361"/>
          </w:tcPr>
          <w:p>
            <w:r>
              <w:t>SRV-ENTREGA</w:t>
            </w:r>
          </w:p>
        </w:tc>
        <w:tc>
          <w:tcPr>
            <w:tcW w:type="dxa" w:w="737"/>
          </w:tcPr>
          <w:p>
            <w:r>
              <w:t>Exento</w:t>
            </w:r>
          </w:p>
        </w:tc>
        <w:tc>
          <w:tcPr>
            <w:tcW w:type="dxa" w:w="1247"/>
          </w:tcPr>
          <w:p>
            <w:r>
              <w:t>250.00</w:t>
            </w:r>
          </w:p>
        </w:tc>
        <w:tc>
          <w:tcPr>
            <w:tcW w:type="dxa" w:w="1134"/>
          </w:tcPr>
          <w:p>
            <w:r>
              <w:t>—</w:t>
            </w:r>
          </w:p>
        </w:tc>
        <w:tc>
          <w:tcPr>
            <w:tcW w:type="dxa" w:w="680"/>
          </w:tcPr>
          <w:p>
            <w:r>
              <w:t>—</w:t>
            </w:r>
          </w:p>
        </w:tc>
        <w:tc>
          <w:tcPr>
            <w:tcW w:type="dxa" w:w="1928"/>
          </w:tcPr>
          <w:p>
            <w:r>
              <w:t>(sin código)</w:t>
            </w:r>
          </w:p>
        </w:tc>
        <w:tc>
          <w:tcPr>
            <w:tcW w:type="dxa" w:w="2835"/>
          </w:tcPr>
          <w:p>
            <w:r>
              <w:t>Servicio y comprobante con línea exenta</w:t>
            </w:r>
          </w:p>
        </w:tc>
      </w:tr>
    </w:tbl>
    <w:p/>
    <w:p>
      <w:r>
        <w:rPr>
          <w:i/>
          <w:color w:val="2E7D32"/>
        </w:rPr>
        <w:t>Los códigos de barras de la tabla son de ejemplo: use el real del empaque. En bebidas conviene registrarle a la unidad su código y a la caja el suyo, porque el empaque trae los dos y el cajero escanea cualquiera de ellos. Un artículo admite varios códigos de barras y también el del proveedor.</w:t>
      </w:r>
    </w:p>
    <w:p>
      <w:r>
        <w:t>Con esos doce artículos ya puede probar venta por unidad y por caja, precio por mayor, pesados, serializados, combos, cascos retornables, exentos, ofertas y descuentos con autorización. El catálogo completo se carga después desde Artículos, uno por uno o importando el archivo.</w:t>
      </w:r>
    </w:p>
    <w:p>
      <w:r>
        <w:rPr>
          <w:i/>
          <w:color w:val="2E7D32"/>
        </w:rPr>
        <w:t>El casco retornable se maneja como un artículo más: se le cobra al cliente que se lleva la caja y se le devuelve con una devolución cuando trae los envases. Así queda en la factura y en el cuadre del turno.</w:t>
      </w:r>
    </w:p>
    <w:p>
      <w:pPr>
        <w:pStyle w:val="Heading2"/>
      </w:pPr>
      <w:r>
        <w:t>2.7. Los demás datos del negocio (sugerencia)</w:t>
      </w:r>
    </w:p>
    <w:p>
      <w:r>
        <w:t>Estos no vienen en el sistema porque son decisiones suyas. Esta es una sugerencia para un negocio de venta de bebidas; ajústela a como trabaja. El orden importa: cada cosa necesita la anterior.</w:t>
      </w:r>
    </w:p>
    <w:p>
      <w:r>
        <w:t>1. Departamentos (Maestros → Catálogos). El departamento manda en los reportes y decide si admite descuento manual.</w:t>
      </w:r>
    </w:p>
    <w:tbl>
      <w:tblPr>
        <w:tblStyle w:val="TableGrid"/>
        <w:tblW w:type="auto" w:w="0"/>
        <w:tblLook w:firstColumn="1" w:firstRow="1" w:lastColumn="0" w:lastRow="0" w:noHBand="0" w:noVBand="1" w:val="04A0"/>
      </w:tblPr>
      <w:tblGrid>
        <w:gridCol w:w="3173"/>
        <w:gridCol w:w="3173"/>
        <w:gridCol w:w="3173"/>
      </w:tblGrid>
      <w:tr>
        <w:tc>
          <w:tcPr>
            <w:tcW w:type="dxa" w:w="1247"/>
          </w:tcPr>
          <w:p>
            <w:r/>
            <w:r>
              <w:rPr>
                <w:b/>
                <w:color w:val="1B4D3E"/>
              </w:rPr>
              <w:t>Código</w:t>
            </w:r>
          </w:p>
        </w:tc>
        <w:tc>
          <w:tcPr>
            <w:tcW w:type="dxa" w:w="3402"/>
          </w:tcPr>
          <w:p>
            <w:r/>
            <w:r>
              <w:rPr>
                <w:b/>
                <w:color w:val="1B4D3E"/>
              </w:rPr>
              <w:t>Departamento</w:t>
            </w:r>
          </w:p>
        </w:tc>
        <w:tc>
          <w:tcPr>
            <w:tcW w:type="dxa" w:w="2835"/>
          </w:tcPr>
          <w:p>
            <w:r/>
            <w:r>
              <w:rPr>
                <w:b/>
                <w:color w:val="1B4D3E"/>
              </w:rPr>
              <w:t>Admite descuento manual</w:t>
            </w:r>
          </w:p>
        </w:tc>
      </w:tr>
      <w:tr>
        <w:tc>
          <w:tcPr>
            <w:tcW w:type="dxa" w:w="1247"/>
          </w:tcPr>
          <w:p>
            <w:r>
              <w:t>1</w:t>
            </w:r>
          </w:p>
        </w:tc>
        <w:tc>
          <w:tcPr>
            <w:tcW w:type="dxa" w:w="3402"/>
          </w:tcPr>
          <w:p>
            <w:r>
              <w:t>Licores</w:t>
            </w:r>
          </w:p>
        </w:tc>
        <w:tc>
          <w:tcPr>
            <w:tcW w:type="dxa" w:w="2835"/>
          </w:tcPr>
          <w:p>
            <w:r>
              <w:t>Sí</w:t>
            </w:r>
          </w:p>
        </w:tc>
      </w:tr>
      <w:tr>
        <w:tc>
          <w:tcPr>
            <w:tcW w:type="dxa" w:w="1247"/>
          </w:tcPr>
          <w:p>
            <w:r>
              <w:t>2</w:t>
            </w:r>
          </w:p>
        </w:tc>
        <w:tc>
          <w:tcPr>
            <w:tcW w:type="dxa" w:w="3402"/>
          </w:tcPr>
          <w:p>
            <w:r>
              <w:t>Vinos</w:t>
            </w:r>
          </w:p>
        </w:tc>
        <w:tc>
          <w:tcPr>
            <w:tcW w:type="dxa" w:w="2835"/>
          </w:tcPr>
          <w:p>
            <w:r>
              <w:t>Sí</w:t>
            </w:r>
          </w:p>
        </w:tc>
      </w:tr>
      <w:tr>
        <w:tc>
          <w:tcPr>
            <w:tcW w:type="dxa" w:w="1247"/>
          </w:tcPr>
          <w:p>
            <w:r>
              <w:t>3</w:t>
            </w:r>
          </w:p>
        </w:tc>
        <w:tc>
          <w:tcPr>
            <w:tcW w:type="dxa" w:w="3402"/>
          </w:tcPr>
          <w:p>
            <w:r>
              <w:t>Cervezas</w:t>
            </w:r>
          </w:p>
        </w:tc>
        <w:tc>
          <w:tcPr>
            <w:tcW w:type="dxa" w:w="2835"/>
          </w:tcPr>
          <w:p>
            <w:r>
              <w:t>Sí</w:t>
            </w:r>
          </w:p>
        </w:tc>
      </w:tr>
      <w:tr>
        <w:tc>
          <w:tcPr>
            <w:tcW w:type="dxa" w:w="1247"/>
          </w:tcPr>
          <w:p>
            <w:r>
              <w:t>4</w:t>
            </w:r>
          </w:p>
        </w:tc>
        <w:tc>
          <w:tcPr>
            <w:tcW w:type="dxa" w:w="3402"/>
          </w:tcPr>
          <w:p>
            <w:r>
              <w:t>Refrescos y aguas</w:t>
            </w:r>
          </w:p>
        </w:tc>
        <w:tc>
          <w:tcPr>
            <w:tcW w:type="dxa" w:w="2835"/>
          </w:tcPr>
          <w:p>
            <w:r>
              <w:t>Sí</w:t>
            </w:r>
          </w:p>
        </w:tc>
      </w:tr>
      <w:tr>
        <w:tc>
          <w:tcPr>
            <w:tcW w:type="dxa" w:w="1247"/>
          </w:tcPr>
          <w:p>
            <w:r>
              <w:t>5</w:t>
            </w:r>
          </w:p>
        </w:tc>
        <w:tc>
          <w:tcPr>
            <w:tcW w:type="dxa" w:w="3402"/>
          </w:tcPr>
          <w:p>
            <w:r>
              <w:t>Snacks y picaderas</w:t>
            </w:r>
          </w:p>
        </w:tc>
        <w:tc>
          <w:tcPr>
            <w:tcW w:type="dxa" w:w="2835"/>
          </w:tcPr>
          <w:p>
            <w:r>
              <w:t>Sí</w:t>
            </w:r>
          </w:p>
        </w:tc>
      </w:tr>
      <w:tr>
        <w:tc>
          <w:tcPr>
            <w:tcW w:type="dxa" w:w="1247"/>
          </w:tcPr>
          <w:p>
            <w:r>
              <w:t>6</w:t>
            </w:r>
          </w:p>
        </w:tc>
        <w:tc>
          <w:tcPr>
            <w:tcW w:type="dxa" w:w="3402"/>
          </w:tcPr>
          <w:p>
            <w:r>
              <w:t>Hielo y desechables</w:t>
            </w:r>
          </w:p>
        </w:tc>
        <w:tc>
          <w:tcPr>
            <w:tcW w:type="dxa" w:w="2835"/>
          </w:tcPr>
          <w:p>
            <w:r>
              <w:t>Sí</w:t>
            </w:r>
          </w:p>
        </w:tc>
      </w:tr>
      <w:tr>
        <w:tc>
          <w:tcPr>
            <w:tcW w:type="dxa" w:w="1247"/>
          </w:tcPr>
          <w:p>
            <w:r>
              <w:t>7</w:t>
            </w:r>
          </w:p>
        </w:tc>
        <w:tc>
          <w:tcPr>
            <w:tcW w:type="dxa" w:w="3402"/>
          </w:tcPr>
          <w:p>
            <w:r>
              <w:t>Servicios</w:t>
            </w:r>
          </w:p>
        </w:tc>
        <w:tc>
          <w:tcPr>
            <w:tcW w:type="dxa" w:w="2835"/>
          </w:tcPr>
          <w:p>
            <w:r>
              <w:t>No</w:t>
            </w:r>
          </w:p>
        </w:tc>
      </w:tr>
    </w:tbl>
    <w:p/>
    <w:p>
      <w:r>
        <w:t>2. Categorías. Cada una vive dentro de un departamento y es lo que después permite dirigir una oferta.</w:t>
      </w:r>
    </w:p>
    <w:tbl>
      <w:tblPr>
        <w:tblStyle w:val="TableGrid"/>
        <w:tblW w:type="auto" w:w="0"/>
        <w:tblLook w:firstColumn="1" w:firstRow="1" w:lastColumn="0" w:lastRow="0" w:noHBand="0" w:noVBand="1" w:val="04A0"/>
      </w:tblPr>
      <w:tblGrid>
        <w:gridCol w:w="3173"/>
        <w:gridCol w:w="3173"/>
        <w:gridCol w:w="3173"/>
      </w:tblGrid>
      <w:tr>
        <w:tc>
          <w:tcPr>
            <w:tcW w:type="dxa" w:w="1134"/>
          </w:tcPr>
          <w:p>
            <w:r/>
            <w:r>
              <w:rPr>
                <w:b/>
                <w:color w:val="1B4D3E"/>
              </w:rPr>
              <w:t>Código</w:t>
            </w:r>
          </w:p>
        </w:tc>
        <w:tc>
          <w:tcPr>
            <w:tcW w:type="dxa" w:w="2835"/>
          </w:tcPr>
          <w:p>
            <w:r/>
            <w:r>
              <w:rPr>
                <w:b/>
                <w:color w:val="1B4D3E"/>
              </w:rPr>
              <w:t>Categoría</w:t>
            </w:r>
          </w:p>
        </w:tc>
        <w:tc>
          <w:tcPr>
            <w:tcW w:type="dxa" w:w="3402"/>
          </w:tcPr>
          <w:p>
            <w:r/>
            <w:r>
              <w:rPr>
                <w:b/>
                <w:color w:val="1B4D3E"/>
              </w:rPr>
              <w:t>Departamento</w:t>
            </w:r>
          </w:p>
        </w:tc>
      </w:tr>
      <w:tr>
        <w:tc>
          <w:tcPr>
            <w:tcW w:type="dxa" w:w="1134"/>
          </w:tcPr>
          <w:p>
            <w:r>
              <w:t>1</w:t>
            </w:r>
          </w:p>
        </w:tc>
        <w:tc>
          <w:tcPr>
            <w:tcW w:type="dxa" w:w="2835"/>
          </w:tcPr>
          <w:p>
            <w:r>
              <w:t>Whisky</w:t>
            </w:r>
          </w:p>
        </w:tc>
        <w:tc>
          <w:tcPr>
            <w:tcW w:type="dxa" w:w="3402"/>
          </w:tcPr>
          <w:p>
            <w:r>
              <w:t>Licores</w:t>
            </w:r>
          </w:p>
        </w:tc>
      </w:tr>
      <w:tr>
        <w:tc>
          <w:tcPr>
            <w:tcW w:type="dxa" w:w="1134"/>
          </w:tcPr>
          <w:p>
            <w:r>
              <w:t>2</w:t>
            </w:r>
          </w:p>
        </w:tc>
        <w:tc>
          <w:tcPr>
            <w:tcW w:type="dxa" w:w="2835"/>
          </w:tcPr>
          <w:p>
            <w:r>
              <w:t>Ron</w:t>
            </w:r>
          </w:p>
        </w:tc>
        <w:tc>
          <w:tcPr>
            <w:tcW w:type="dxa" w:w="3402"/>
          </w:tcPr>
          <w:p>
            <w:r>
              <w:t>Licores</w:t>
            </w:r>
          </w:p>
        </w:tc>
      </w:tr>
      <w:tr>
        <w:tc>
          <w:tcPr>
            <w:tcW w:type="dxa" w:w="1134"/>
          </w:tcPr>
          <w:p>
            <w:r>
              <w:t>3</w:t>
            </w:r>
          </w:p>
        </w:tc>
        <w:tc>
          <w:tcPr>
            <w:tcW w:type="dxa" w:w="2835"/>
          </w:tcPr>
          <w:p>
            <w:r>
              <w:t>Vodka</w:t>
            </w:r>
          </w:p>
        </w:tc>
        <w:tc>
          <w:tcPr>
            <w:tcW w:type="dxa" w:w="3402"/>
          </w:tcPr>
          <w:p>
            <w:r>
              <w:t>Licores</w:t>
            </w:r>
          </w:p>
        </w:tc>
      </w:tr>
      <w:tr>
        <w:tc>
          <w:tcPr>
            <w:tcW w:type="dxa" w:w="1134"/>
          </w:tcPr>
          <w:p>
            <w:r>
              <w:t>4</w:t>
            </w:r>
          </w:p>
        </w:tc>
        <w:tc>
          <w:tcPr>
            <w:tcW w:type="dxa" w:w="2835"/>
          </w:tcPr>
          <w:p>
            <w:r>
              <w:t>Tequila</w:t>
            </w:r>
          </w:p>
        </w:tc>
        <w:tc>
          <w:tcPr>
            <w:tcW w:type="dxa" w:w="3402"/>
          </w:tcPr>
          <w:p>
            <w:r>
              <w:t>Licores</w:t>
            </w:r>
          </w:p>
        </w:tc>
      </w:tr>
      <w:tr>
        <w:tc>
          <w:tcPr>
            <w:tcW w:type="dxa" w:w="1134"/>
          </w:tcPr>
          <w:p>
            <w:r>
              <w:t>5</w:t>
            </w:r>
          </w:p>
        </w:tc>
        <w:tc>
          <w:tcPr>
            <w:tcW w:type="dxa" w:w="2835"/>
          </w:tcPr>
          <w:p>
            <w:r>
              <w:t>Ginebra</w:t>
            </w:r>
          </w:p>
        </w:tc>
        <w:tc>
          <w:tcPr>
            <w:tcW w:type="dxa" w:w="3402"/>
          </w:tcPr>
          <w:p>
            <w:r>
              <w:t>Licores</w:t>
            </w:r>
          </w:p>
        </w:tc>
      </w:tr>
      <w:tr>
        <w:tc>
          <w:tcPr>
            <w:tcW w:type="dxa" w:w="1134"/>
          </w:tcPr>
          <w:p>
            <w:r>
              <w:t>6</w:t>
            </w:r>
          </w:p>
        </w:tc>
        <w:tc>
          <w:tcPr>
            <w:tcW w:type="dxa" w:w="2835"/>
          </w:tcPr>
          <w:p>
            <w:r>
              <w:t>Tintos</w:t>
            </w:r>
          </w:p>
        </w:tc>
        <w:tc>
          <w:tcPr>
            <w:tcW w:type="dxa" w:w="3402"/>
          </w:tcPr>
          <w:p>
            <w:r>
              <w:t>Vinos</w:t>
            </w:r>
          </w:p>
        </w:tc>
      </w:tr>
      <w:tr>
        <w:tc>
          <w:tcPr>
            <w:tcW w:type="dxa" w:w="1134"/>
          </w:tcPr>
          <w:p>
            <w:r>
              <w:t>7</w:t>
            </w:r>
          </w:p>
        </w:tc>
        <w:tc>
          <w:tcPr>
            <w:tcW w:type="dxa" w:w="2835"/>
          </w:tcPr>
          <w:p>
            <w:r>
              <w:t>Blancos</w:t>
            </w:r>
          </w:p>
        </w:tc>
        <w:tc>
          <w:tcPr>
            <w:tcW w:type="dxa" w:w="3402"/>
          </w:tcPr>
          <w:p>
            <w:r>
              <w:t>Vinos</w:t>
            </w:r>
          </w:p>
        </w:tc>
      </w:tr>
      <w:tr>
        <w:tc>
          <w:tcPr>
            <w:tcW w:type="dxa" w:w="1134"/>
          </w:tcPr>
          <w:p>
            <w:r>
              <w:t>8</w:t>
            </w:r>
          </w:p>
        </w:tc>
        <w:tc>
          <w:tcPr>
            <w:tcW w:type="dxa" w:w="2835"/>
          </w:tcPr>
          <w:p>
            <w:r>
              <w:t>Rosados</w:t>
            </w:r>
          </w:p>
        </w:tc>
        <w:tc>
          <w:tcPr>
            <w:tcW w:type="dxa" w:w="3402"/>
          </w:tcPr>
          <w:p>
            <w:r>
              <w:t>Vinos</w:t>
            </w:r>
          </w:p>
        </w:tc>
      </w:tr>
      <w:tr>
        <w:tc>
          <w:tcPr>
            <w:tcW w:type="dxa" w:w="1134"/>
          </w:tcPr>
          <w:p>
            <w:r>
              <w:t>9</w:t>
            </w:r>
          </w:p>
        </w:tc>
        <w:tc>
          <w:tcPr>
            <w:tcW w:type="dxa" w:w="2835"/>
          </w:tcPr>
          <w:p>
            <w:r>
              <w:t>Espumosos</w:t>
            </w:r>
          </w:p>
        </w:tc>
        <w:tc>
          <w:tcPr>
            <w:tcW w:type="dxa" w:w="3402"/>
          </w:tcPr>
          <w:p>
            <w:r>
              <w:t>Vinos</w:t>
            </w:r>
          </w:p>
        </w:tc>
      </w:tr>
      <w:tr>
        <w:tc>
          <w:tcPr>
            <w:tcW w:type="dxa" w:w="1134"/>
          </w:tcPr>
          <w:p>
            <w:r>
              <w:t>10</w:t>
            </w:r>
          </w:p>
        </w:tc>
        <w:tc>
          <w:tcPr>
            <w:tcW w:type="dxa" w:w="2835"/>
          </w:tcPr>
          <w:p>
            <w:r>
              <w:t>Nacionales</w:t>
            </w:r>
          </w:p>
        </w:tc>
        <w:tc>
          <w:tcPr>
            <w:tcW w:type="dxa" w:w="3402"/>
          </w:tcPr>
          <w:p>
            <w:r>
              <w:t>Cervezas</w:t>
            </w:r>
          </w:p>
        </w:tc>
      </w:tr>
      <w:tr>
        <w:tc>
          <w:tcPr>
            <w:tcW w:type="dxa" w:w="1134"/>
          </w:tcPr>
          <w:p>
            <w:r>
              <w:t>11</w:t>
            </w:r>
          </w:p>
        </w:tc>
        <w:tc>
          <w:tcPr>
            <w:tcW w:type="dxa" w:w="2835"/>
          </w:tcPr>
          <w:p>
            <w:r>
              <w:t>Importadas</w:t>
            </w:r>
          </w:p>
        </w:tc>
        <w:tc>
          <w:tcPr>
            <w:tcW w:type="dxa" w:w="3402"/>
          </w:tcPr>
          <w:p>
            <w:r>
              <w:t>Cervezas</w:t>
            </w:r>
          </w:p>
        </w:tc>
      </w:tr>
      <w:tr>
        <w:tc>
          <w:tcPr>
            <w:tcW w:type="dxa" w:w="1134"/>
          </w:tcPr>
          <w:p>
            <w:r>
              <w:t>12</w:t>
            </w:r>
          </w:p>
        </w:tc>
        <w:tc>
          <w:tcPr>
            <w:tcW w:type="dxa" w:w="2835"/>
          </w:tcPr>
          <w:p>
            <w:r>
              <w:t>Artesanales</w:t>
            </w:r>
          </w:p>
        </w:tc>
        <w:tc>
          <w:tcPr>
            <w:tcW w:type="dxa" w:w="3402"/>
          </w:tcPr>
          <w:p>
            <w:r>
              <w:t>Cervezas</w:t>
            </w:r>
          </w:p>
        </w:tc>
      </w:tr>
      <w:tr>
        <w:tc>
          <w:tcPr>
            <w:tcW w:type="dxa" w:w="1134"/>
          </w:tcPr>
          <w:p>
            <w:r>
              <w:t>13</w:t>
            </w:r>
          </w:p>
        </w:tc>
        <w:tc>
          <w:tcPr>
            <w:tcW w:type="dxa" w:w="2835"/>
          </w:tcPr>
          <w:p>
            <w:r>
              <w:t>Gaseosas</w:t>
            </w:r>
          </w:p>
        </w:tc>
        <w:tc>
          <w:tcPr>
            <w:tcW w:type="dxa" w:w="3402"/>
          </w:tcPr>
          <w:p>
            <w:r>
              <w:t>Refrescos y aguas</w:t>
            </w:r>
          </w:p>
        </w:tc>
      </w:tr>
      <w:tr>
        <w:tc>
          <w:tcPr>
            <w:tcW w:type="dxa" w:w="1134"/>
          </w:tcPr>
          <w:p>
            <w:r>
              <w:t>14</w:t>
            </w:r>
          </w:p>
        </w:tc>
        <w:tc>
          <w:tcPr>
            <w:tcW w:type="dxa" w:w="2835"/>
          </w:tcPr>
          <w:p>
            <w:r>
              <w:t>Jugos</w:t>
            </w:r>
          </w:p>
        </w:tc>
        <w:tc>
          <w:tcPr>
            <w:tcW w:type="dxa" w:w="3402"/>
          </w:tcPr>
          <w:p>
            <w:r>
              <w:t>Refrescos y aguas</w:t>
            </w:r>
          </w:p>
        </w:tc>
      </w:tr>
      <w:tr>
        <w:tc>
          <w:tcPr>
            <w:tcW w:type="dxa" w:w="1134"/>
          </w:tcPr>
          <w:p>
            <w:r>
              <w:t>15</w:t>
            </w:r>
          </w:p>
        </w:tc>
        <w:tc>
          <w:tcPr>
            <w:tcW w:type="dxa" w:w="2835"/>
          </w:tcPr>
          <w:p>
            <w:r>
              <w:t>Agua</w:t>
            </w:r>
          </w:p>
        </w:tc>
        <w:tc>
          <w:tcPr>
            <w:tcW w:type="dxa" w:w="3402"/>
          </w:tcPr>
          <w:p>
            <w:r>
              <w:t>Refrescos y aguas</w:t>
            </w:r>
          </w:p>
        </w:tc>
      </w:tr>
      <w:tr>
        <w:tc>
          <w:tcPr>
            <w:tcW w:type="dxa" w:w="1134"/>
          </w:tcPr>
          <w:p>
            <w:r>
              <w:t>16</w:t>
            </w:r>
          </w:p>
        </w:tc>
        <w:tc>
          <w:tcPr>
            <w:tcW w:type="dxa" w:w="2835"/>
          </w:tcPr>
          <w:p>
            <w:r>
              <w:t>Energizantes</w:t>
            </w:r>
          </w:p>
        </w:tc>
        <w:tc>
          <w:tcPr>
            <w:tcW w:type="dxa" w:w="3402"/>
          </w:tcPr>
          <w:p>
            <w:r>
              <w:t>Refrescos y aguas</w:t>
            </w:r>
          </w:p>
        </w:tc>
      </w:tr>
      <w:tr>
        <w:tc>
          <w:tcPr>
            <w:tcW w:type="dxa" w:w="1134"/>
          </w:tcPr>
          <w:p>
            <w:r>
              <w:t>17</w:t>
            </w:r>
          </w:p>
        </w:tc>
        <w:tc>
          <w:tcPr>
            <w:tcW w:type="dxa" w:w="2835"/>
          </w:tcPr>
          <w:p>
            <w:r>
              <w:t>Hielo</w:t>
            </w:r>
          </w:p>
        </w:tc>
        <w:tc>
          <w:tcPr>
            <w:tcW w:type="dxa" w:w="3402"/>
          </w:tcPr>
          <w:p>
            <w:r>
              <w:t>Hielo y desechables</w:t>
            </w:r>
          </w:p>
        </w:tc>
      </w:tr>
      <w:tr>
        <w:tc>
          <w:tcPr>
            <w:tcW w:type="dxa" w:w="1134"/>
          </w:tcPr>
          <w:p>
            <w:r>
              <w:t>18</w:t>
            </w:r>
          </w:p>
        </w:tc>
        <w:tc>
          <w:tcPr>
            <w:tcW w:type="dxa" w:w="2835"/>
          </w:tcPr>
          <w:p>
            <w:r>
              <w:t>Desechables</w:t>
            </w:r>
          </w:p>
        </w:tc>
        <w:tc>
          <w:tcPr>
            <w:tcW w:type="dxa" w:w="3402"/>
          </w:tcPr>
          <w:p>
            <w:r>
              <w:t>Hielo y desechables</w:t>
            </w:r>
          </w:p>
        </w:tc>
      </w:tr>
      <w:tr>
        <w:tc>
          <w:tcPr>
            <w:tcW w:type="dxa" w:w="1134"/>
          </w:tcPr>
          <w:p>
            <w:r>
              <w:t>19</w:t>
            </w:r>
          </w:p>
        </w:tc>
        <w:tc>
          <w:tcPr>
            <w:tcW w:type="dxa" w:w="2835"/>
          </w:tcPr>
          <w:p>
            <w:r>
              <w:t>Picaderas</w:t>
            </w:r>
          </w:p>
        </w:tc>
        <w:tc>
          <w:tcPr>
            <w:tcW w:type="dxa" w:w="3402"/>
          </w:tcPr>
          <w:p>
            <w:r>
              <w:t>Snacks y picaderas</w:t>
            </w:r>
          </w:p>
        </w:tc>
      </w:tr>
      <w:tr>
        <w:tc>
          <w:tcPr>
            <w:tcW w:type="dxa" w:w="1134"/>
          </w:tcPr>
          <w:p>
            <w:r>
              <w:t>20</w:t>
            </w:r>
          </w:p>
        </w:tc>
        <w:tc>
          <w:tcPr>
            <w:tcW w:type="dxa" w:w="2835"/>
          </w:tcPr>
          <w:p>
            <w:r>
              <w:t>Entregas</w:t>
            </w:r>
          </w:p>
        </w:tc>
        <w:tc>
          <w:tcPr>
            <w:tcW w:type="dxa" w:w="3402"/>
          </w:tcPr>
          <w:p>
            <w:r>
              <w:t>Servicios</w:t>
            </w:r>
          </w:p>
        </w:tc>
      </w:tr>
    </w:tbl>
    <w:p/>
    <w:p>
      <w:r>
        <w:t>3. Marcas, para agrupar y para dirigir ofertas por marca.</w:t>
      </w:r>
    </w:p>
    <w:tbl>
      <w:tblPr>
        <w:tblStyle w:val="TableGrid"/>
        <w:tblW w:type="auto" w:w="0"/>
        <w:tblLook w:firstColumn="1" w:firstRow="1" w:lastColumn="0" w:lastRow="0" w:noHBand="0" w:noVBand="1" w:val="04A0"/>
      </w:tblPr>
      <w:tblGrid>
        <w:gridCol w:w="2379"/>
        <w:gridCol w:w="2379"/>
        <w:gridCol w:w="2379"/>
        <w:gridCol w:w="2379"/>
      </w:tblGrid>
      <w:tr>
        <w:tc>
          <w:tcPr>
            <w:tcW w:type="dxa" w:w="1134"/>
          </w:tcPr>
          <w:p>
            <w:r/>
            <w:r>
              <w:rPr>
                <w:b/>
                <w:color w:val="1B4D3E"/>
              </w:rPr>
              <w:t>Código</w:t>
            </w:r>
          </w:p>
        </w:tc>
        <w:tc>
          <w:tcPr>
            <w:tcW w:type="dxa" w:w="3118"/>
          </w:tcPr>
          <w:p>
            <w:r/>
            <w:r>
              <w:rPr>
                <w:b/>
                <w:color w:val="1B4D3E"/>
              </w:rPr>
              <w:t>Marca</w:t>
            </w:r>
          </w:p>
        </w:tc>
        <w:tc>
          <w:tcPr>
            <w:tcW w:type="dxa" w:w="1134"/>
          </w:tcPr>
          <w:p>
            <w:r/>
            <w:r>
              <w:rPr>
                <w:b/>
                <w:color w:val="1B4D3E"/>
              </w:rPr>
              <w:t>Código</w:t>
            </w:r>
          </w:p>
        </w:tc>
        <w:tc>
          <w:tcPr>
            <w:tcW w:type="dxa" w:w="3118"/>
          </w:tcPr>
          <w:p>
            <w:r/>
            <w:r>
              <w:rPr>
                <w:b/>
                <w:color w:val="1B4D3E"/>
              </w:rPr>
              <w:t>Marca</w:t>
            </w:r>
          </w:p>
        </w:tc>
      </w:tr>
      <w:tr>
        <w:tc>
          <w:tcPr>
            <w:tcW w:type="dxa" w:w="1134"/>
          </w:tcPr>
          <w:p>
            <w:r>
              <w:t>1</w:t>
            </w:r>
          </w:p>
        </w:tc>
        <w:tc>
          <w:tcPr>
            <w:tcW w:type="dxa" w:w="3118"/>
          </w:tcPr>
          <w:p>
            <w:r>
              <w:t>Presidente</w:t>
            </w:r>
          </w:p>
        </w:tc>
        <w:tc>
          <w:tcPr>
            <w:tcW w:type="dxa" w:w="1134"/>
          </w:tcPr>
          <w:p>
            <w:r>
              <w:t>7</w:t>
            </w:r>
          </w:p>
        </w:tc>
        <w:tc>
          <w:tcPr>
            <w:tcW w:type="dxa" w:w="3118"/>
          </w:tcPr>
          <w:p>
            <w:r>
              <w:t>Absolut</w:t>
            </w:r>
          </w:p>
        </w:tc>
      </w:tr>
      <w:tr>
        <w:tc>
          <w:tcPr>
            <w:tcW w:type="dxa" w:w="1134"/>
          </w:tcPr>
          <w:p>
            <w:r>
              <w:t>2</w:t>
            </w:r>
          </w:p>
        </w:tc>
        <w:tc>
          <w:tcPr>
            <w:tcW w:type="dxa" w:w="3118"/>
          </w:tcPr>
          <w:p>
            <w:r>
              <w:t>Corona</w:t>
            </w:r>
          </w:p>
        </w:tc>
        <w:tc>
          <w:tcPr>
            <w:tcW w:type="dxa" w:w="1134"/>
          </w:tcPr>
          <w:p>
            <w:r>
              <w:t>8</w:t>
            </w:r>
          </w:p>
        </w:tc>
        <w:tc>
          <w:tcPr>
            <w:tcW w:type="dxa" w:w="3118"/>
          </w:tcPr>
          <w:p>
            <w:r>
              <w:t>Don Julio</w:t>
            </w:r>
          </w:p>
        </w:tc>
      </w:tr>
      <w:tr>
        <w:tc>
          <w:tcPr>
            <w:tcW w:type="dxa" w:w="1134"/>
          </w:tcPr>
          <w:p>
            <w:r>
              <w:t>3</w:t>
            </w:r>
          </w:p>
        </w:tc>
        <w:tc>
          <w:tcPr>
            <w:tcW w:type="dxa" w:w="3118"/>
          </w:tcPr>
          <w:p>
            <w:r>
              <w:t>Heineken</w:t>
            </w:r>
          </w:p>
        </w:tc>
        <w:tc>
          <w:tcPr>
            <w:tcW w:type="dxa" w:w="1134"/>
          </w:tcPr>
          <w:p>
            <w:r>
              <w:t>9</w:t>
            </w:r>
          </w:p>
        </w:tc>
        <w:tc>
          <w:tcPr>
            <w:tcW w:type="dxa" w:w="3118"/>
          </w:tcPr>
          <w:p>
            <w:r>
              <w:t>Marqués de Riscal</w:t>
            </w:r>
          </w:p>
        </w:tc>
      </w:tr>
      <w:tr>
        <w:tc>
          <w:tcPr>
            <w:tcW w:type="dxa" w:w="1134"/>
          </w:tcPr>
          <w:p>
            <w:r>
              <w:t>4</w:t>
            </w:r>
          </w:p>
        </w:tc>
        <w:tc>
          <w:tcPr>
            <w:tcW w:type="dxa" w:w="3118"/>
          </w:tcPr>
          <w:p>
            <w:r>
              <w:t>Brugal</w:t>
            </w:r>
          </w:p>
        </w:tc>
        <w:tc>
          <w:tcPr>
            <w:tcW w:type="dxa" w:w="1134"/>
          </w:tcPr>
          <w:p>
            <w:r>
              <w:t>10</w:t>
            </w:r>
          </w:p>
        </w:tc>
        <w:tc>
          <w:tcPr>
            <w:tcW w:type="dxa" w:w="3118"/>
          </w:tcPr>
          <w:p>
            <w:r>
              <w:t>Coca-Cola</w:t>
            </w:r>
          </w:p>
        </w:tc>
      </w:tr>
      <w:tr>
        <w:tc>
          <w:tcPr>
            <w:tcW w:type="dxa" w:w="1134"/>
          </w:tcPr>
          <w:p>
            <w:r>
              <w:t>5</w:t>
            </w:r>
          </w:p>
        </w:tc>
        <w:tc>
          <w:tcPr>
            <w:tcW w:type="dxa" w:w="3118"/>
          </w:tcPr>
          <w:p>
            <w:r>
              <w:t>Barceló</w:t>
            </w:r>
          </w:p>
        </w:tc>
        <w:tc>
          <w:tcPr>
            <w:tcW w:type="dxa" w:w="1134"/>
          </w:tcPr>
          <w:p>
            <w:r>
              <w:t>11</w:t>
            </w:r>
          </w:p>
        </w:tc>
        <w:tc>
          <w:tcPr>
            <w:tcW w:type="dxa" w:w="3118"/>
          </w:tcPr>
          <w:p>
            <w:r>
              <w:t>Pepsi</w:t>
            </w:r>
          </w:p>
        </w:tc>
      </w:tr>
      <w:tr>
        <w:tc>
          <w:tcPr>
            <w:tcW w:type="dxa" w:w="1134"/>
          </w:tcPr>
          <w:p>
            <w:r>
              <w:t>6</w:t>
            </w:r>
          </w:p>
        </w:tc>
        <w:tc>
          <w:tcPr>
            <w:tcW w:type="dxa" w:w="3118"/>
          </w:tcPr>
          <w:p>
            <w:r>
              <w:t>Johnnie Walker</w:t>
            </w:r>
          </w:p>
        </w:tc>
        <w:tc>
          <w:tcPr>
            <w:tcW w:type="dxa" w:w="1134"/>
          </w:tcPr>
          <w:p>
            <w:r>
              <w:t>12</w:t>
            </w:r>
          </w:p>
        </w:tc>
        <w:tc>
          <w:tcPr>
            <w:tcW w:type="dxa" w:w="3118"/>
          </w:tcPr>
          <w:p>
            <w:r>
              <w:t>Red Bull</w:t>
            </w:r>
          </w:p>
        </w:tc>
      </w:tr>
    </w:tbl>
    <w:p/>
    <w:p>
      <w:r>
        <w:t>4. Bancos, para transferencias, cheques y los depósitos del cierre de sucursal.</w:t>
      </w:r>
    </w:p>
    <w:tbl>
      <w:tblPr>
        <w:tblStyle w:val="TableGrid"/>
        <w:tblW w:type="auto" w:w="0"/>
        <w:tblLook w:firstColumn="1" w:firstRow="1" w:lastColumn="0" w:lastRow="0" w:noHBand="0" w:noVBand="1" w:val="04A0"/>
      </w:tblPr>
      <w:tblGrid>
        <w:gridCol w:w="4759"/>
        <w:gridCol w:w="4759"/>
      </w:tblGrid>
      <w:tr>
        <w:tc>
          <w:tcPr>
            <w:tcW w:type="dxa" w:w="1417"/>
          </w:tcPr>
          <w:p>
            <w:r/>
            <w:r>
              <w:rPr>
                <w:b/>
                <w:color w:val="1B4D3E"/>
              </w:rPr>
              <w:t>Código</w:t>
            </w:r>
          </w:p>
        </w:tc>
        <w:tc>
          <w:tcPr>
            <w:tcW w:type="dxa" w:w="5669"/>
          </w:tcPr>
          <w:p>
            <w:r/>
            <w:r>
              <w:rPr>
                <w:b/>
                <w:color w:val="1B4D3E"/>
              </w:rPr>
              <w:t>Banco</w:t>
            </w:r>
          </w:p>
        </w:tc>
      </w:tr>
      <w:tr>
        <w:tc>
          <w:tcPr>
            <w:tcW w:type="dxa" w:w="1417"/>
          </w:tcPr>
          <w:p>
            <w:r>
              <w:t>BPD</w:t>
            </w:r>
          </w:p>
        </w:tc>
        <w:tc>
          <w:tcPr>
            <w:tcW w:type="dxa" w:w="5669"/>
          </w:tcPr>
          <w:p>
            <w:r>
              <w:t>Banco Popular Dominicano</w:t>
            </w:r>
          </w:p>
        </w:tc>
      </w:tr>
      <w:tr>
        <w:tc>
          <w:tcPr>
            <w:tcW w:type="dxa" w:w="1417"/>
          </w:tcPr>
          <w:p>
            <w:r>
              <w:t>BRD</w:t>
            </w:r>
          </w:p>
        </w:tc>
        <w:tc>
          <w:tcPr>
            <w:tcW w:type="dxa" w:w="5669"/>
          </w:tcPr>
          <w:p>
            <w:r>
              <w:t>Banreservas</w:t>
            </w:r>
          </w:p>
        </w:tc>
      </w:tr>
      <w:tr>
        <w:tc>
          <w:tcPr>
            <w:tcW w:type="dxa" w:w="1417"/>
          </w:tcPr>
          <w:p>
            <w:r>
              <w:t>BHD</w:t>
            </w:r>
          </w:p>
        </w:tc>
        <w:tc>
          <w:tcPr>
            <w:tcW w:type="dxa" w:w="5669"/>
          </w:tcPr>
          <w:p>
            <w:r>
              <w:t>Banco BHD</w:t>
            </w:r>
          </w:p>
        </w:tc>
      </w:tr>
      <w:tr>
        <w:tc>
          <w:tcPr>
            <w:tcW w:type="dxa" w:w="1417"/>
          </w:tcPr>
          <w:p>
            <w:r>
              <w:t>SCO</w:t>
            </w:r>
          </w:p>
        </w:tc>
        <w:tc>
          <w:tcPr>
            <w:tcW w:type="dxa" w:w="5669"/>
          </w:tcPr>
          <w:p>
            <w:r>
              <w:t>Scotiabank</w:t>
            </w:r>
          </w:p>
        </w:tc>
      </w:tr>
      <w:tr>
        <w:tc>
          <w:tcPr>
            <w:tcW w:type="dxa" w:w="1417"/>
          </w:tcPr>
          <w:p>
            <w:r>
              <w:t>APA</w:t>
            </w:r>
          </w:p>
        </w:tc>
        <w:tc>
          <w:tcPr>
            <w:tcW w:type="dxa" w:w="5669"/>
          </w:tcPr>
          <w:p>
            <w:r>
              <w:t>Asociación Popular de Ahorros y Préstamos</w:t>
            </w:r>
          </w:p>
        </w:tc>
      </w:tr>
    </w:tbl>
    <w:p/>
    <w:p>
      <w:r>
        <w:rPr>
          <w:i/>
          <w:color w:val="2E7D32"/>
        </w:rPr>
        <w:t>Las entregas no necesitan nada más: lo que el cliente deja para retirar se retira en una sucursal, la suya o la que él diga, y las sucursales ya están creadas.</w:t>
      </w:r>
    </w:p>
    <w:p>
      <w:r>
        <w:t>5. Programa de fidelidad (si lo van a usar): niveles y cómo se acumulan los puntos.</w:t>
      </w:r>
    </w:p>
    <w:tbl>
      <w:tblPr>
        <w:tblStyle w:val="TableGrid"/>
        <w:tblW w:type="auto" w:w="0"/>
        <w:tblLook w:firstColumn="1" w:firstRow="1" w:lastColumn="0" w:lastRow="0" w:noHBand="0" w:noVBand="1" w:val="04A0"/>
      </w:tblPr>
      <w:tblGrid>
        <w:gridCol w:w="3173"/>
        <w:gridCol w:w="3173"/>
        <w:gridCol w:w="3173"/>
      </w:tblGrid>
      <w:tr>
        <w:tc>
          <w:tcPr>
            <w:tcW w:type="dxa" w:w="1701"/>
          </w:tcPr>
          <w:p>
            <w:r/>
            <w:r>
              <w:rPr>
                <w:b/>
                <w:color w:val="1B4D3E"/>
              </w:rPr>
              <w:t>Nivel</w:t>
            </w:r>
          </w:p>
        </w:tc>
        <w:tc>
          <w:tcPr>
            <w:tcW w:type="dxa" w:w="1417"/>
          </w:tcPr>
          <w:p>
            <w:r/>
            <w:r>
              <w:rPr>
                <w:b/>
                <w:color w:val="1B4D3E"/>
              </w:rPr>
              <w:t>Factor</w:t>
            </w:r>
          </w:p>
        </w:tc>
        <w:tc>
          <w:tcPr>
            <w:tcW w:type="dxa" w:w="5386"/>
          </w:tcPr>
          <w:p>
            <w:r/>
            <w:r>
              <w:rPr>
                <w:b/>
                <w:color w:val="1B4D3E"/>
              </w:rPr>
              <w:t>Regla de acumulación sugerida</w:t>
            </w:r>
          </w:p>
        </w:tc>
      </w:tr>
      <w:tr>
        <w:tc>
          <w:tcPr>
            <w:tcW w:type="dxa" w:w="1701"/>
          </w:tcPr>
          <w:p>
            <w:r>
              <w:t>Clásico</w:t>
            </w:r>
          </w:p>
        </w:tc>
        <w:tc>
          <w:tcPr>
            <w:tcW w:type="dxa" w:w="1417"/>
          </w:tcPr>
          <w:p>
            <w:r>
              <w:t>1.0</w:t>
            </w:r>
          </w:p>
        </w:tc>
        <w:tc>
          <w:tcPr>
            <w:tcW w:type="dxa" w:w="5386"/>
          </w:tcPr>
          <w:p>
            <w:r>
              <w:t>1 punto por cada RD$100 de compra</w:t>
            </w:r>
          </w:p>
        </w:tc>
      </w:tr>
      <w:tr>
        <w:tc>
          <w:tcPr>
            <w:tcW w:type="dxa" w:w="1701"/>
          </w:tcPr>
          <w:p>
            <w:r>
              <w:t>Oro</w:t>
            </w:r>
          </w:p>
        </w:tc>
        <w:tc>
          <w:tcPr>
            <w:tcW w:type="dxa" w:w="1417"/>
          </w:tcPr>
          <w:p>
            <w:r>
              <w:t>1.5</w:t>
            </w:r>
          </w:p>
        </w:tc>
        <w:tc>
          <w:tcPr>
            <w:tcW w:type="dxa" w:w="5386"/>
          </w:tcPr>
          <w:p>
            <w:r>
              <w:t>El mismo acumulado, multiplicado por el factor del nivel</w:t>
            </w:r>
          </w:p>
        </w:tc>
      </w:tr>
    </w:tbl>
    <w:p/>
    <w:p>
      <w:r>
        <w:t>6. Topes de descuento por nivel de quien autoriza, para que nadie descuente de más.</w:t>
      </w:r>
    </w:p>
    <w:tbl>
      <w:tblPr>
        <w:tblStyle w:val="TableGrid"/>
        <w:tblW w:type="auto" w:w="0"/>
        <w:tblLook w:firstColumn="1" w:firstRow="1" w:lastColumn="0" w:lastRow="0" w:noHBand="0" w:noVBand="1" w:val="04A0"/>
      </w:tblPr>
      <w:tblGrid>
        <w:gridCol w:w="4759"/>
        <w:gridCol w:w="4759"/>
      </w:tblGrid>
      <w:tr>
        <w:tc>
          <w:tcPr>
            <w:tcW w:type="dxa" w:w="2835"/>
          </w:tcPr>
          <w:p>
            <w:r/>
            <w:r>
              <w:rPr>
                <w:b/>
                <w:color w:val="1B4D3E"/>
              </w:rPr>
              <w:t>Nivel</w:t>
            </w:r>
          </w:p>
        </w:tc>
        <w:tc>
          <w:tcPr>
            <w:tcW w:type="dxa" w:w="5102"/>
          </w:tcPr>
          <w:p>
            <w:r/>
            <w:r>
              <w:rPr>
                <w:b/>
                <w:color w:val="1B4D3E"/>
              </w:rPr>
              <w:t>Tope sugerido</w:t>
            </w:r>
          </w:p>
        </w:tc>
      </w:tr>
      <w:tr>
        <w:tc>
          <w:tcPr>
            <w:tcW w:type="dxa" w:w="2835"/>
          </w:tcPr>
          <w:p>
            <w:r>
              <w:t>Supervisor (nivel 5)</w:t>
            </w:r>
          </w:p>
        </w:tc>
        <w:tc>
          <w:tcPr>
            <w:tcW w:type="dxa" w:w="5102"/>
          </w:tcPr>
          <w:p>
            <w:r>
              <w:t>Hasta 10 % o RD$2,000 por factura</w:t>
            </w:r>
          </w:p>
        </w:tc>
      </w:tr>
      <w:tr>
        <w:tc>
          <w:tcPr>
            <w:tcW w:type="dxa" w:w="2835"/>
          </w:tcPr>
          <w:p>
            <w:r>
              <w:t>Gerente (nivel 8)</w:t>
            </w:r>
          </w:p>
        </w:tc>
        <w:tc>
          <w:tcPr>
            <w:tcW w:type="dxa" w:w="5102"/>
          </w:tcPr>
          <w:p>
            <w:r>
              <w:t>Hasta 30 % o RD$20,000 por factura</w:t>
            </w:r>
          </w:p>
        </w:tc>
      </w:tr>
    </w:tbl>
    <w:p/>
    <w:p>
      <w:r>
        <w:t>7. Usuarios y roles de caja: al menos un cajero (solo vender y cobrar), un supervisor (autoriza descuentos, devoluciones, retiros y notas internas) y un gerente (además autoriza lo de mayor monto).</w:t>
      </w:r>
    </w:p>
    <w:p>
      <w:r>
        <w:t>8. Rangos de comprobantes fiscales por caja (E31, E32, E34, E44 y E45), con los números que le asignó la DGII.</w:t>
      </w:r>
    </w:p>
    <w:p>
      <w:r>
        <w:t>9. Clientes: los colmados, bares y restaurantes a los que les factura con crédito fiscal conviene registrarlos, con su contacto, sus teléfonos y su dirección de entrega. Los demás se buscan en la caja por cédula o RNC, y el listado de la DGII se puede cargar completo como se explica en 2.5.1.</w:t>
      </w:r>
    </w:p>
    <w:p>
      <w:pPr>
        <w:pStyle w:val="Heading3"/>
      </w:pPr>
      <w:r>
        <w:t>2.7.1. Usuarios y roles de caja (sugerencia)</w:t>
      </w:r>
    </w:p>
    <w:p>
      <w:r>
        <w:t>Los roles dicen qué puede hacer cada quien y el nivel decide quién autoriza a quién: para autorizar hay que tener el permiso y un nivel igual o mayor al que lo pide.</w:t>
      </w:r>
    </w:p>
    <w:tbl>
      <w:tblPr>
        <w:tblStyle w:val="TableGrid"/>
        <w:tblW w:type="auto" w:w="0"/>
        <w:tblLook w:firstColumn="1" w:firstRow="1" w:lastColumn="0" w:lastRow="0" w:noHBand="0" w:noVBand="1" w:val="04A0"/>
      </w:tblPr>
      <w:tblGrid>
        <w:gridCol w:w="2379"/>
        <w:gridCol w:w="2379"/>
        <w:gridCol w:w="2379"/>
        <w:gridCol w:w="2379"/>
      </w:tblGrid>
      <w:tr>
        <w:tc>
          <w:tcPr>
            <w:tcW w:type="dxa" w:w="1361"/>
          </w:tcPr>
          <w:p>
            <w:r/>
            <w:r>
              <w:rPr>
                <w:b/>
                <w:color w:val="1B4D3E"/>
              </w:rPr>
              <w:t>Código</w:t>
            </w:r>
          </w:p>
        </w:tc>
        <w:tc>
          <w:tcPr>
            <w:tcW w:type="dxa" w:w="1474"/>
          </w:tcPr>
          <w:p>
            <w:r/>
            <w:r>
              <w:rPr>
                <w:b/>
                <w:color w:val="1B4D3E"/>
              </w:rPr>
              <w:t>Rol</w:t>
            </w:r>
          </w:p>
        </w:tc>
        <w:tc>
          <w:tcPr>
            <w:tcW w:type="dxa" w:w="794"/>
          </w:tcPr>
          <w:p>
            <w:r/>
            <w:r>
              <w:rPr>
                <w:b/>
                <w:color w:val="1B4D3E"/>
              </w:rPr>
              <w:t>Nivel</w:t>
            </w:r>
          </w:p>
        </w:tc>
        <w:tc>
          <w:tcPr>
            <w:tcW w:type="dxa" w:w="5669"/>
          </w:tcPr>
          <w:p>
            <w:r/>
            <w:r>
              <w:rPr>
                <w:b/>
                <w:color w:val="1B4D3E"/>
              </w:rPr>
              <w:t>Qué puede hacer</w:t>
            </w:r>
          </w:p>
        </w:tc>
      </w:tr>
      <w:tr>
        <w:tc>
          <w:tcPr>
            <w:tcW w:type="dxa" w:w="1361"/>
          </w:tcPr>
          <w:p>
            <w:r>
              <w:t>CAJERO</w:t>
            </w:r>
          </w:p>
        </w:tc>
        <w:tc>
          <w:tcPr>
            <w:tcW w:type="dxa" w:w="1474"/>
          </w:tcPr>
          <w:p>
            <w:r>
              <w:t>Cajero</w:t>
            </w:r>
          </w:p>
        </w:tc>
        <w:tc>
          <w:tcPr>
            <w:tcW w:type="dxa" w:w="794"/>
          </w:tcPr>
          <w:p>
            <w:r>
              <w:t>1</w:t>
            </w:r>
          </w:p>
        </w:tc>
        <w:tc>
          <w:tcPr>
            <w:tcW w:type="dxa" w:w="5669"/>
          </w:tcPr>
          <w:p>
            <w:r>
              <w:t>Abrir turno, vender, cobrar, imprimir y cerrar su turno. No descuenta ni anula.</w:t>
            </w:r>
          </w:p>
        </w:tc>
      </w:tr>
      <w:tr>
        <w:tc>
          <w:tcPr>
            <w:tcW w:type="dxa" w:w="1361"/>
          </w:tcPr>
          <w:p>
            <w:r>
              <w:t>SUPERVISOR</w:t>
            </w:r>
          </w:p>
        </w:tc>
        <w:tc>
          <w:tcPr>
            <w:tcW w:type="dxa" w:w="1474"/>
          </w:tcPr>
          <w:p>
            <w:r>
              <w:t>Supervisor</w:t>
            </w:r>
          </w:p>
        </w:tc>
        <w:tc>
          <w:tcPr>
            <w:tcW w:type="dxa" w:w="794"/>
          </w:tcPr>
          <w:p>
            <w:r>
              <w:t>5</w:t>
            </w:r>
          </w:p>
        </w:tc>
        <w:tc>
          <w:tcPr>
            <w:tcW w:type="dxa" w:w="5669"/>
          </w:tcPr>
          <w:p>
            <w:r>
              <w:t>Todo lo del cajero y además autoriza descuentos hasta su tope, limpiar la pantalla, devoluciones, retiros de efectivo, notas de crédito internas y apertura de gaveta.</w:t>
            </w:r>
          </w:p>
        </w:tc>
      </w:tr>
      <w:tr>
        <w:tc>
          <w:tcPr>
            <w:tcW w:type="dxa" w:w="1361"/>
          </w:tcPr>
          <w:p>
            <w:r>
              <w:t>GERENTE</w:t>
            </w:r>
          </w:p>
        </w:tc>
        <w:tc>
          <w:tcPr>
            <w:tcW w:type="dxa" w:w="1474"/>
          </w:tcPr>
          <w:p>
            <w:r>
              <w:t>Gerente</w:t>
            </w:r>
          </w:p>
        </w:tc>
        <w:tc>
          <w:tcPr>
            <w:tcW w:type="dxa" w:w="794"/>
          </w:tcPr>
          <w:p>
            <w:r>
              <w:t>8</w:t>
            </w:r>
          </w:p>
        </w:tc>
        <w:tc>
          <w:tcPr>
            <w:tcW w:type="dxa" w:w="5669"/>
          </w:tcPr>
          <w:p>
            <w:r>
              <w:t>Todo lo anterior, más autorizar lo que pasa el tope del supervisor y cambiar el comprobante de una factura.</w:t>
            </w:r>
          </w:p>
        </w:tc>
      </w:tr>
      <w:tr>
        <w:tc>
          <w:tcPr>
            <w:tcW w:type="dxa" w:w="1361"/>
          </w:tcPr>
          <w:p>
            <w:r>
              <w:t>DEVOLUCIONES</w:t>
            </w:r>
          </w:p>
        </w:tc>
        <w:tc>
          <w:tcPr>
            <w:tcW w:type="dxa" w:w="1474"/>
          </w:tcPr>
          <w:p>
            <w:r>
              <w:t>Devoluciones</w:t>
            </w:r>
          </w:p>
        </w:tc>
        <w:tc>
          <w:tcPr>
            <w:tcW w:type="dxa" w:w="794"/>
          </w:tcPr>
          <w:p>
            <w:r>
              <w:t>1</w:t>
            </w:r>
          </w:p>
        </w:tc>
        <w:tc>
          <w:tcPr>
            <w:tcW w:type="dxa" w:w="5669"/>
          </w:tcPr>
          <w:p>
            <w:r>
              <w:t>Abrir y cerrar su turno y emitir notas de crédito. No vende: en la pantalla de venta solo consulta artículos y clientes.</w:t>
            </w:r>
          </w:p>
        </w:tc>
      </w:tr>
    </w:tbl>
    <w:p/>
    <w:tbl>
      <w:tblPr>
        <w:tblStyle w:val="TableGrid"/>
        <w:tblW w:type="auto" w:w="0"/>
        <w:tblLook w:firstColumn="1" w:firstRow="1" w:lastColumn="0" w:lastRow="0" w:noHBand="0" w:noVBand="1" w:val="04A0"/>
      </w:tblPr>
      <w:tblGrid>
        <w:gridCol w:w="2379"/>
        <w:gridCol w:w="2379"/>
        <w:gridCol w:w="2379"/>
        <w:gridCol w:w="2379"/>
      </w:tblGrid>
      <w:tr>
        <w:tc>
          <w:tcPr>
            <w:tcW w:type="dxa" w:w="1247"/>
          </w:tcPr>
          <w:p>
            <w:r/>
            <w:r>
              <w:rPr>
                <w:b/>
                <w:color w:val="1B4D3E"/>
              </w:rPr>
              <w:t>Usuario</w:t>
            </w:r>
          </w:p>
        </w:tc>
        <w:tc>
          <w:tcPr>
            <w:tcW w:type="dxa" w:w="2835"/>
          </w:tcPr>
          <w:p>
            <w:r/>
            <w:r>
              <w:rPr>
                <w:b/>
                <w:color w:val="1B4D3E"/>
              </w:rPr>
              <w:t>Nombre</w:t>
            </w:r>
          </w:p>
        </w:tc>
        <w:tc>
          <w:tcPr>
            <w:tcW w:type="dxa" w:w="1701"/>
          </w:tcPr>
          <w:p>
            <w:r/>
            <w:r>
              <w:rPr>
                <w:b/>
                <w:color w:val="1B4D3E"/>
              </w:rPr>
              <w:t>Rol</w:t>
            </w:r>
          </w:p>
        </w:tc>
        <w:tc>
          <w:tcPr>
            <w:tcW w:type="dxa" w:w="3402"/>
          </w:tcPr>
          <w:p>
            <w:r/>
            <w:r>
              <w:rPr>
                <w:b/>
                <w:color w:val="1B4D3E"/>
              </w:rPr>
              <w:t>Cajas asignadas</w:t>
            </w:r>
          </w:p>
        </w:tc>
      </w:tr>
      <w:tr>
        <w:tc>
          <w:tcPr>
            <w:tcW w:type="dxa" w:w="1247"/>
          </w:tcPr>
          <w:p>
            <w:r>
              <w:t>C001</w:t>
            </w:r>
          </w:p>
        </w:tc>
        <w:tc>
          <w:tcPr>
            <w:tcW w:type="dxa" w:w="2835"/>
          </w:tcPr>
          <w:p>
            <w:r>
              <w:t>Cajero de la caja 01</w:t>
            </w:r>
          </w:p>
        </w:tc>
        <w:tc>
          <w:tcPr>
            <w:tcW w:type="dxa" w:w="1701"/>
          </w:tcPr>
          <w:p>
            <w:r>
              <w:t>CAJERO</w:t>
            </w:r>
          </w:p>
        </w:tc>
        <w:tc>
          <w:tcPr>
            <w:tcW w:type="dxa" w:w="3402"/>
          </w:tcPr>
          <w:p>
            <w:r>
              <w:t>Caja 01</w:t>
            </w:r>
          </w:p>
        </w:tc>
      </w:tr>
      <w:tr>
        <w:tc>
          <w:tcPr>
            <w:tcW w:type="dxa" w:w="1247"/>
          </w:tcPr>
          <w:p>
            <w:r>
              <w:t>C002</w:t>
            </w:r>
          </w:p>
        </w:tc>
        <w:tc>
          <w:tcPr>
            <w:tcW w:type="dxa" w:w="2835"/>
          </w:tcPr>
          <w:p>
            <w:r>
              <w:t>Cajero de la caja 02</w:t>
            </w:r>
          </w:p>
        </w:tc>
        <w:tc>
          <w:tcPr>
            <w:tcW w:type="dxa" w:w="1701"/>
          </w:tcPr>
          <w:p>
            <w:r>
              <w:t>CAJERO</w:t>
            </w:r>
          </w:p>
        </w:tc>
        <w:tc>
          <w:tcPr>
            <w:tcW w:type="dxa" w:w="3402"/>
          </w:tcPr>
          <w:p>
            <w:r>
              <w:t>Caja 02</w:t>
            </w:r>
          </w:p>
        </w:tc>
      </w:tr>
      <w:tr>
        <w:tc>
          <w:tcPr>
            <w:tcW w:type="dxa" w:w="1247"/>
          </w:tcPr>
          <w:p>
            <w:r>
              <w:t>S001</w:t>
            </w:r>
          </w:p>
        </w:tc>
        <w:tc>
          <w:tcPr>
            <w:tcW w:type="dxa" w:w="2835"/>
          </w:tcPr>
          <w:p>
            <w:r>
              <w:t>Supervisor de turno</w:t>
            </w:r>
          </w:p>
        </w:tc>
        <w:tc>
          <w:tcPr>
            <w:tcW w:type="dxa" w:w="1701"/>
          </w:tcPr>
          <w:p>
            <w:r>
              <w:t>SUPERVISOR</w:t>
            </w:r>
          </w:p>
        </w:tc>
        <w:tc>
          <w:tcPr>
            <w:tcW w:type="dxa" w:w="3402"/>
          </w:tcPr>
          <w:p>
            <w:r>
              <w:t>Caja 01 y Caja 02</w:t>
            </w:r>
          </w:p>
        </w:tc>
      </w:tr>
      <w:tr>
        <w:tc>
          <w:tcPr>
            <w:tcW w:type="dxa" w:w="1247"/>
          </w:tcPr>
          <w:p>
            <w:r>
              <w:t>G001</w:t>
            </w:r>
          </w:p>
        </w:tc>
        <w:tc>
          <w:tcPr>
            <w:tcW w:type="dxa" w:w="2835"/>
          </w:tcPr>
          <w:p>
            <w:r>
              <w:t>Gerente de la sucursal</w:t>
            </w:r>
          </w:p>
        </w:tc>
        <w:tc>
          <w:tcPr>
            <w:tcW w:type="dxa" w:w="1701"/>
          </w:tcPr>
          <w:p>
            <w:r>
              <w:t>GERENTE</w:t>
            </w:r>
          </w:p>
        </w:tc>
        <w:tc>
          <w:tcPr>
            <w:tcW w:type="dxa" w:w="3402"/>
          </w:tcPr>
          <w:p>
            <w:r>
              <w:t>Todas las de su sucursal</w:t>
            </w:r>
          </w:p>
        </w:tc>
      </w:tr>
      <w:tr>
        <w:tc>
          <w:tcPr>
            <w:tcW w:type="dxa" w:w="1247"/>
          </w:tcPr>
          <w:p>
            <w:r>
              <w:t>D001</w:t>
            </w:r>
          </w:p>
        </w:tc>
        <w:tc>
          <w:tcPr>
            <w:tcW w:type="dxa" w:w="2835"/>
          </w:tcPr>
          <w:p>
            <w:r>
              <w:t>Encargado de devoluciones</w:t>
            </w:r>
          </w:p>
        </w:tc>
        <w:tc>
          <w:tcPr>
            <w:tcW w:type="dxa" w:w="1701"/>
          </w:tcPr>
          <w:p>
            <w:r>
              <w:t>DEVOLUCIONES</w:t>
            </w:r>
          </w:p>
        </w:tc>
        <w:tc>
          <w:tcPr>
            <w:tcW w:type="dxa" w:w="3402"/>
          </w:tcPr>
          <w:p>
            <w:r>
              <w:t>La caja del área de devoluciones</w:t>
            </w:r>
          </w:p>
        </w:tc>
      </w:tr>
    </w:tbl>
    <w:p/>
    <w:p>
      <w:r>
        <w:rPr>
          <w:i/>
          <w:color w:val="2E7D32"/>
        </w:rPr>
        <w:t>El nivel va del 1 al 9 y solo se usa para las autorizaciones: quien autoriza necesita el permiso y un nivel igual o mayor al de quien lo pide. Se sugieren 1, 5 y 8, y no 1, 2 y 3, para dejar huecos e intercalar después un rol intermedio (por ejemplo un encargado en el 6) sin tener que renumerar los que ya existen.</w:t>
      </w:r>
    </w:p>
    <w:p>
      <w:pPr>
        <w:pStyle w:val="Heading3"/>
      </w:pPr>
      <w:r>
        <w:t>2.7.3. Dedicar una caja a ventas o a devoluciones</w:t>
      </w:r>
    </w:p>
    <w:p>
      <w:r>
        <w:t>Lo que la caja hace lo deciden los permisos del usuario que entra, no un ajuste del equipo:</w:t>
      </w:r>
    </w:p>
    <w:tbl>
      <w:tblPr>
        <w:tblStyle w:val="TableGrid"/>
        <w:tblW w:type="auto" w:w="0"/>
        <w:tblLook w:firstColumn="1" w:firstRow="1" w:lastColumn="0" w:lastRow="0" w:noHBand="0" w:noVBand="1" w:val="04A0"/>
      </w:tblPr>
      <w:tblGrid>
        <w:gridCol w:w="4759"/>
        <w:gridCol w:w="4759"/>
      </w:tblGrid>
      <w:tr>
        <w:tc>
          <w:tcPr>
            <w:tcW w:type="dxa" w:w="2835"/>
          </w:tcPr>
          <w:p>
            <w:r/>
            <w:r>
              <w:rPr>
                <w:b/>
                <w:color w:val="1B4D3E"/>
              </w:rPr>
              <w:t>El rol tiene</w:t>
            </w:r>
          </w:p>
        </w:tc>
        <w:tc>
          <w:tcPr>
            <w:tcW w:type="dxa" w:w="6803"/>
          </w:tcPr>
          <w:p>
            <w:r/>
            <w:r>
              <w:rPr>
                <w:b/>
                <w:color w:val="1B4D3E"/>
              </w:rPr>
              <w:t>Qué pasa al entrar</w:t>
            </w:r>
          </w:p>
        </w:tc>
      </w:tr>
      <w:tr>
        <w:tc>
          <w:tcPr>
            <w:tcW w:type="dxa" w:w="2835"/>
          </w:tcPr>
          <w:p>
            <w:r>
              <w:t>Ventas.Registrar y Devoluciones.Registrar</w:t>
            </w:r>
          </w:p>
        </w:tc>
        <w:tc>
          <w:tcPr>
            <w:tcW w:type="dxa" w:w="6803"/>
          </w:tcPr>
          <w:p>
            <w:r>
              <w:t>Todo como siempre: vende y devuelve (F10).</w:t>
            </w:r>
          </w:p>
        </w:tc>
      </w:tr>
      <w:tr>
        <w:tc>
          <w:tcPr>
            <w:tcW w:type="dxa" w:w="2835"/>
          </w:tcPr>
          <w:p>
            <w:r>
              <w:t>Solo Ventas.Registrar</w:t>
            </w:r>
          </w:p>
        </w:tc>
        <w:tc>
          <w:tcPr>
            <w:tcW w:type="dxa" w:w="6803"/>
          </w:tcPr>
          <w:p>
            <w:r>
              <w:t>Vende. La tecla F10 queda apagada y escribir la dirección de devoluciones no le abre nada.</w:t>
            </w:r>
          </w:p>
        </w:tc>
      </w:tr>
      <w:tr>
        <w:tc>
          <w:tcPr>
            <w:tcW w:type="dxa" w:w="2835"/>
          </w:tcPr>
          <w:p>
            <w:r>
              <w:t>Solo Devoluciones.Registrar</w:t>
            </w:r>
          </w:p>
        </w:tc>
        <w:tc>
          <w:tcPr>
            <w:tcW w:type="dxa" w:w="6803"/>
          </w:tcPr>
          <w:p>
            <w:r>
              <w:t>Entra directo a devoluciones. En la pantalla de venta solo consulta artículos y clientes: no escanea, no cobra.</w:t>
            </w:r>
          </w:p>
        </w:tc>
      </w:tr>
      <w:tr>
        <w:tc>
          <w:tcPr>
            <w:tcW w:type="dxa" w:w="2835"/>
          </w:tcPr>
          <w:p>
            <w:r>
              <w:t>Ninguno de los dos</w:t>
            </w:r>
          </w:p>
        </w:tc>
        <w:tc>
          <w:tcPr>
            <w:tcW w:type="dxa" w:w="6803"/>
          </w:tcPr>
          <w:p>
            <w:r>
              <w:t>Se le avisa que su usuario no tiene ventas ni devoluciones y solo puede salir.</w:t>
            </w:r>
          </w:p>
        </w:tc>
      </w:tr>
    </w:tbl>
    <w:p/>
    <w:p>
      <w:r>
        <w:rPr>
          <w:i/>
          <w:color w:val="2E7D32"/>
        </w:rPr>
        <w:t>Para dejar una caja solo de devoluciones basta con poner ahí un usuario con ese rol: no hay que configurar el equipo. El bloqueo lo hace el servicio de la caja, así que tampoco se salta escribiendo la dirección en el navegador.</w:t>
      </w:r>
    </w:p>
    <w:p>
      <w:r>
        <w:rPr>
          <w:i/>
          <w:color w:val="2E7D32"/>
        </w:rPr>
        <w:t>El que solo devuelve abre y cierra su turno igual que cualquier cajero: la nota de crédito es del turno y entra en el cuadre.</w:t>
      </w:r>
    </w:p>
    <w:p>
      <w:r>
        <w:rPr>
          <w:i/>
          <w:color w:val="2E7D32"/>
        </w:rPr>
        <w:t>Cada persona con su propio usuario: el ticket, el cuadre y la auditoría dicen quién vendió y quién autorizó. Un usuario compartido hace imposible saberlo.</w:t>
      </w:r>
    </w:p>
    <w:p>
      <w:pPr>
        <w:pStyle w:val="Heading3"/>
      </w:pPr>
      <w:r>
        <w:t>2.7.2. Parámetros recomendados para el negocio (sugerencia)</w:t>
      </w:r>
    </w:p>
    <w:p>
      <w:r>
        <w:t>Los parámetros vienen con un valor de arranque razonable; estos son los que conviene revisar según cómo trabaje el negocio de bebidas. Se cambian en Organización → Parámetros y pueden fijarse en general, por sucursal o por caja.</w:t>
      </w:r>
    </w:p>
    <w:tbl>
      <w:tblPr>
        <w:tblStyle w:val="TableGrid"/>
        <w:tblW w:type="auto" w:w="0"/>
        <w:tblLook w:firstColumn="1" w:firstRow="1" w:lastColumn="0" w:lastRow="0" w:noHBand="0" w:noVBand="1" w:val="04A0"/>
      </w:tblPr>
      <w:tblGrid>
        <w:gridCol w:w="3173"/>
        <w:gridCol w:w="3173"/>
        <w:gridCol w:w="3173"/>
      </w:tblGrid>
      <w:tr>
        <w:tc>
          <w:tcPr>
            <w:tcW w:type="dxa" w:w="2835"/>
          </w:tcPr>
          <w:p>
            <w:r/>
            <w:r>
              <w:rPr>
                <w:b/>
                <w:color w:val="1B4D3E"/>
              </w:rPr>
              <w:t>Parámetro</w:t>
            </w:r>
          </w:p>
        </w:tc>
        <w:tc>
          <w:tcPr>
            <w:tcW w:type="dxa" w:w="1701"/>
          </w:tcPr>
          <w:p>
            <w:r/>
            <w:r>
              <w:rPr>
                <w:b/>
                <w:color w:val="1B4D3E"/>
              </w:rPr>
              <w:t>Valor sugerido</w:t>
            </w:r>
          </w:p>
        </w:tc>
        <w:tc>
          <w:tcPr>
            <w:tcW w:type="dxa" w:w="5102"/>
          </w:tcPr>
          <w:p>
            <w:r/>
            <w:r>
              <w:rPr>
                <w:b/>
                <w:color w:val="1B4D3E"/>
              </w:rPr>
              <w:t>Por qué</w:t>
            </w:r>
          </w:p>
        </w:tc>
      </w:tr>
      <w:tr>
        <w:tc>
          <w:tcPr>
            <w:tcW w:type="dxa" w:w="2835"/>
          </w:tcPr>
          <w:p>
            <w:r>
              <w:t>Fondo de caja</w:t>
            </w:r>
          </w:p>
        </w:tc>
        <w:tc>
          <w:tcPr>
            <w:tcW w:type="dxa" w:w="1701"/>
          </w:tcPr>
          <w:p>
            <w:r>
              <w:t>3,000.00</w:t>
            </w:r>
          </w:p>
        </w:tc>
        <w:tc>
          <w:tcPr>
            <w:tcW w:type="dxa" w:w="5102"/>
          </w:tcPr>
          <w:p>
            <w:r>
              <w:t>Efectivo con el que abre el turno, para dar devuelta desde el primer cliente.</w:t>
            </w:r>
          </w:p>
        </w:tc>
      </w:tr>
      <w:tr>
        <w:tc>
          <w:tcPr>
            <w:tcW w:type="dxa" w:w="2835"/>
          </w:tcPr>
          <w:p>
            <w:r>
              <w:t>Redondeo del efectivo</w:t>
            </w:r>
          </w:p>
        </w:tc>
        <w:tc>
          <w:tcPr>
            <w:tcW w:type="dxa" w:w="1701"/>
          </w:tcPr>
          <w:p>
            <w:r>
              <w:t>0</w:t>
            </w:r>
          </w:p>
        </w:tc>
        <w:tc>
          <w:tcPr>
            <w:tcW w:type="dxa" w:w="5102"/>
          </w:tcPr>
          <w:p>
            <w:r>
              <w:t>Sin redondeo. Póngalo en 1 si no quiere entregar monedas de menos de un peso.</w:t>
            </w:r>
          </w:p>
        </w:tc>
      </w:tr>
      <w:tr>
        <w:tc>
          <w:tcPr>
            <w:tcW w:type="dxa" w:w="2835"/>
          </w:tcPr>
          <w:p>
            <w:r>
              <w:t>Cantidad máxima que se digita</w:t>
            </w:r>
          </w:p>
        </w:tc>
        <w:tc>
          <w:tcPr>
            <w:tcW w:type="dxa" w:w="1701"/>
          </w:tcPr>
          <w:p>
            <w:r>
              <w:t>10</w:t>
            </w:r>
          </w:p>
        </w:tc>
        <w:tc>
          <w:tcPr>
            <w:tcW w:type="dxa" w:w="5102"/>
          </w:tcPr>
          <w:p>
            <w:r>
              <w:t>Más de esa cantidad se escanea artículo por artículo, para que no se cuele un cero de más.</w:t>
            </w:r>
          </w:p>
        </w:tc>
      </w:tr>
      <w:tr>
        <w:tc>
          <w:tcPr>
            <w:tcW w:type="dxa" w:w="2835"/>
          </w:tcPr>
          <w:p>
            <w:r>
              <w:t>Vigencia de la nota de crédito</w:t>
            </w:r>
          </w:p>
        </w:tc>
        <w:tc>
          <w:tcPr>
            <w:tcW w:type="dxa" w:w="1701"/>
          </w:tcPr>
          <w:p>
            <w:r>
              <w:t>180 días</w:t>
            </w:r>
          </w:p>
        </w:tc>
        <w:tc>
          <w:tcPr>
            <w:tcW w:type="dxa" w:w="5102"/>
          </w:tcPr>
          <w:p>
            <w:r>
              <w:t>Medio año para que el cliente use su saldo a favor.</w:t>
            </w:r>
          </w:p>
        </w:tc>
      </w:tr>
      <w:tr>
        <w:tc>
          <w:tcPr>
            <w:tcW w:type="dxa" w:w="2835"/>
          </w:tcPr>
          <w:p>
            <w:r>
              <w:t>Días de retención del ITBIS en devoluciones</w:t>
            </w:r>
          </w:p>
        </w:tc>
        <w:tc>
          <w:tcPr>
            <w:tcW w:type="dxa" w:w="1701"/>
          </w:tcPr>
          <w:p>
            <w:r>
              <w:t>30 días</w:t>
            </w:r>
          </w:p>
        </w:tc>
        <w:tc>
          <w:tcPr>
            <w:tcW w:type="dxa" w:w="5102"/>
          </w:tcPr>
          <w:p>
            <w:r>
              <w:t>Pasado ese plazo la devolución retiene el ITBIS, como manda la norma.</w:t>
            </w:r>
          </w:p>
        </w:tc>
      </w:tr>
      <w:tr>
        <w:tc>
          <w:tcPr>
            <w:tcW w:type="dxa" w:w="2835"/>
          </w:tcPr>
          <w:p>
            <w:r>
              <w:t>Largo de la contraseña del Central (mínimo y máximo)</w:t>
            </w:r>
          </w:p>
        </w:tc>
        <w:tc>
          <w:tcPr>
            <w:tcW w:type="dxa" w:w="1701"/>
          </w:tcPr>
          <w:p>
            <w:r>
              <w:t>10 · sin tope</w:t>
            </w:r>
          </w:p>
        </w:tc>
        <w:tc>
          <w:tcPr>
            <w:tcW w:type="dxa" w:w="5102"/>
          </w:tcPr>
          <w:p>
            <w:r>
              <w:t>Para los usuarios del Central Manager. El máximo es opcional: vacío, no hay tope.</w:t>
            </w:r>
          </w:p>
        </w:tc>
      </w:tr>
      <w:tr>
        <w:tc>
          <w:tcPr>
            <w:tcW w:type="dxa" w:w="2835"/>
          </w:tcPr>
          <w:p>
            <w:r>
              <w:t>Largo de la clave de caja (mínimo y máximo)</w:t>
            </w:r>
          </w:p>
        </w:tc>
        <w:tc>
          <w:tcPr>
            <w:tcW w:type="dxa" w:w="1701"/>
          </w:tcPr>
          <w:p>
            <w:r>
              <w:t>6 · sin tope</w:t>
            </w:r>
          </w:p>
        </w:tc>
        <w:tc>
          <w:tcPr>
            <w:tcW w:type="dxa" w:w="5102"/>
          </w:tcPr>
          <w:p>
            <w:r>
              <w:t>Para los usuarios de caja, aparte de los del Central: la escriben en el teclado de la caja. Si mínimo y máximo son iguales, la clave debe tener ese largo exacto.</w:t>
            </w:r>
          </w:p>
        </w:tc>
      </w:tr>
      <w:tr>
        <w:tc>
          <w:tcPr>
            <w:tcW w:type="dxa" w:w="2835"/>
          </w:tcPr>
          <w:p>
            <w:r>
              <w:t>Monto que exige identificación</w:t>
            </w:r>
          </w:p>
        </w:tc>
        <w:tc>
          <w:tcPr>
            <w:tcW w:type="dxa" w:w="1701"/>
          </w:tcPr>
          <w:p>
            <w:r>
              <w:t>250,000.00</w:t>
            </w:r>
          </w:p>
        </w:tc>
        <w:tc>
          <w:tcPr>
            <w:tcW w:type="dxa" w:w="5102"/>
          </w:tcPr>
          <w:p>
            <w:r>
              <w:t>Desde ese total la factura de consumo exige cédula o RNC.</w:t>
            </w:r>
          </w:p>
        </w:tc>
      </w:tr>
      <w:tr>
        <w:tc>
          <w:tcPr>
            <w:tcW w:type="dxa" w:w="2835"/>
          </w:tcPr>
          <w:p>
            <w:r>
              <w:t>Retención de la Ley 32-23</w:t>
            </w:r>
          </w:p>
        </w:tc>
        <w:tc>
          <w:tcPr>
            <w:tcW w:type="dxa" w:w="1701"/>
          </w:tcPr>
          <w:p>
            <w:r>
              <w:t>0 %</w:t>
            </w:r>
          </w:p>
        </w:tc>
        <w:tc>
          <w:tcPr>
            <w:tcW w:type="dxa" w:w="5102"/>
          </w:tcPr>
          <w:p>
            <w:r>
              <w:t>Solo para facturas gubernamentales (E45), y quien factura en e-CF está exento.</w:t>
            </w:r>
          </w:p>
        </w:tc>
      </w:tr>
      <w:tr>
        <w:tc>
          <w:tcPr>
            <w:tcW w:type="dxa" w:w="2835"/>
          </w:tcPr>
          <w:p>
            <w:r>
              <w:t>Dígitos de la secuencia de documentos</w:t>
            </w:r>
          </w:p>
        </w:tc>
        <w:tc>
          <w:tcPr>
            <w:tcW w:type="dxa" w:w="1701"/>
          </w:tcPr>
          <w:p>
            <w:r>
              <w:t>7</w:t>
            </w:r>
          </w:p>
        </w:tc>
        <w:tc>
          <w:tcPr>
            <w:tcW w:type="dxa" w:w="5102"/>
          </w:tcPr>
          <w:p>
            <w:r>
              <w:t>Diez millones de documentos por caja y tipo antes de crecer el número.</w:t>
            </w:r>
          </w:p>
        </w:tc>
      </w:tr>
      <w:tr>
        <w:tc>
          <w:tcPr>
            <w:tcW w:type="dxa" w:w="2835"/>
          </w:tcPr>
          <w:p>
            <w:r>
              <w:t>Tipo de ingresos del e-CF</w:t>
            </w:r>
          </w:p>
        </w:tc>
        <w:tc>
          <w:tcPr>
            <w:tcW w:type="dxa" w:w="1701"/>
          </w:tcPr>
          <w:p>
            <w:r>
              <w:t>01</w:t>
            </w:r>
          </w:p>
        </w:tc>
        <w:tc>
          <w:tcPr>
            <w:tcW w:type="dxa" w:w="5102"/>
          </w:tcPr>
          <w:p>
            <w:r>
              <w:t>Ingresos por operaciones: es lo que corresponde a la venta de mercancía.</w:t>
            </w:r>
          </w:p>
        </w:tc>
      </w:tr>
      <w:tr>
        <w:tc>
          <w:tcPr>
            <w:tcW w:type="dxa" w:w="2835"/>
          </w:tcPr>
          <w:p>
            <w:r>
              <w:t>Valor del punto de fidelidad</w:t>
            </w:r>
          </w:p>
        </w:tc>
        <w:tc>
          <w:tcPr>
            <w:tcW w:type="dxa" w:w="1701"/>
          </w:tcPr>
          <w:p>
            <w:r>
              <w:t>1.00</w:t>
            </w:r>
          </w:p>
        </w:tc>
        <w:tc>
          <w:tcPr>
            <w:tcW w:type="dxa" w:w="5102"/>
          </w:tcPr>
          <w:p>
            <w:r>
              <w:t>Cada punto vale un peso al canjearlo.</w:t>
            </w:r>
          </w:p>
        </w:tc>
      </w:tr>
      <w:tr>
        <w:tc>
          <w:tcPr>
            <w:tcW w:type="dxa" w:w="2835"/>
          </w:tcPr>
          <w:p>
            <w:r>
              <w:t>Puntos mínimos para canjear</w:t>
            </w:r>
          </w:p>
        </w:tc>
        <w:tc>
          <w:tcPr>
            <w:tcW w:type="dxa" w:w="1701"/>
          </w:tcPr>
          <w:p>
            <w:r>
              <w:t>50</w:t>
            </w:r>
          </w:p>
        </w:tc>
        <w:tc>
          <w:tcPr>
            <w:tcW w:type="dxa" w:w="5102"/>
          </w:tcPr>
          <w:p>
            <w:r>
              <w:t>Evita canjes de montos ínfimos.</w:t>
            </w:r>
          </w:p>
        </w:tc>
      </w:tr>
      <w:tr>
        <w:tc>
          <w:tcPr>
            <w:tcW w:type="dxa" w:w="2835"/>
          </w:tcPr>
          <w:p>
            <w:r>
              <w:t>Meses de vigencia de los puntos</w:t>
            </w:r>
          </w:p>
        </w:tc>
        <w:tc>
          <w:tcPr>
            <w:tcW w:type="dxa" w:w="1701"/>
          </w:tcPr>
          <w:p>
            <w:r>
              <w:t>12</w:t>
            </w:r>
          </w:p>
        </w:tc>
        <w:tc>
          <w:tcPr>
            <w:tcW w:type="dxa" w:w="5102"/>
          </w:tcPr>
          <w:p>
            <w:r>
              <w:t>Los puntos vencen al año de ganados.</w:t>
            </w:r>
          </w:p>
        </w:tc>
      </w:tr>
    </w:tbl>
    <w:p/>
    <w:p>
      <w:r>
        <w:rPr>
          <w:i/>
          <w:color w:val="2E7D32"/>
        </w:rPr>
        <w:t>Los parámetros obligatorios que no tengan valor se avisan arriba en la pantalla de Parámetros, y la operación que los necesita se rechaza hasta configurarlos.</w:t>
      </w:r>
    </w:p>
    <w:p>
      <w:r>
        <w:rPr>
          <w:i/>
          <w:color w:val="2E7D32"/>
        </w:rPr>
        <w:t>En el módulo «Sincronización y mantenimiento» también se configura el ritmo de la caja: cada cuántos segundos sincroniza, cada cuánto baja los maestros, desde qué hora respalda y contra qué servidor verifica su reloj. Se leen en cada ciclo, así que cambiarlos aquí se nota en las cajas sin reinstalar ni reiniciar nada. Si no los configura, cada caja usa los valores con que fue instalada.</w:t>
      </w:r>
    </w:p>
    <w:p>
      <w:pPr>
        <w:pStyle w:val="Heading2"/>
      </w:pPr>
      <w:r>
        <w:t>2.8. Promociones</w:t>
      </w:r>
    </w:p>
    <w:p>
      <w:pPr>
        <w:pStyle w:val="ListBullet"/>
      </w:pPr>
      <w:r>
        <w:t>Crear (/promociones): porcentaje, monto por unidad, precio especial, lleva X paga Y y precio desde cierta cantidad; por artículos, departamentos, categorías o marcas, en las sucursales que se elijan, con fechas, días y horario.</w:t>
      </w:r>
    </w:p>
    <w:p>
      <w:pPr>
        <w:pStyle w:val="ListBullet"/>
      </w:pPr>
      <w:r>
        <w:t>El código de la promoción no se escribe: lo da la secuencia «Promoción» (PRO000001) al guardarla, y no cambia. Su prefijo y sus dígitos se configuran en Organización → Secuencias de documentos.</w:t>
      </w:r>
    </w:p>
    <w:p>
      <w:pPr>
        <w:pStyle w:val="ListBullet"/>
      </w:pPr>
      <w:r>
        <w:t>Una promoción publicada NO se edita. Lo único que admite es apagarse, y volver a encenderse mientras siga dentro de sus fechas; una vencida ya no se enciende. Es a propósito: si se pudiera cambiar el descuento o los artículos de una oferta que ya corrió, no habría manera de explicar por qué una factura de la semana pasada salió con ese precio.</w:t>
      </w:r>
    </w:p>
    <w:p>
      <w:pPr>
        <w:pStyle w:val="ListBullet"/>
      </w:pPr>
      <w:r>
        <w:t>Para otra oferta está «Rehacer», en el menú de cada promoción: abre una nueva con todos los datos de esa —artículos, categorías, marcas, sucursales, días y horario— para cambiar lo que haga falta antes de guardar. Nace con su propio código de la secuencia. Sirve igual para corregir una mal puesta (se rehace y se apaga la anterior) que para repetir la del mes pasado con fechas nuevas.</w:t>
      </w:r>
    </w:p>
    <w:p>
      <w:r>
        <w:rPr>
          <w:i/>
          <w:color w:val="2E7D32"/>
        </w:rPr>
        <w:t>Apagar una promoción llega a las cajas en su sincronización normal, como cualquier otro cambio de maestros.</w:t>
      </w:r>
    </w:p>
    <w:p>
      <w:pPr>
        <w:pStyle w:val="ListBullet"/>
      </w:pPr>
      <w:r>
        <w:t>Importar (/promociones/importar): carga masiva desde un archivo CSV; se valida todo el archivo y solo se publica si no hay errores. El archivo solo CREA: la columna del código va vacía y lo pone la secuencia. Una línea con el código de una promoción ya publicada se rechaza, por la misma razón que no se puede editar desde la pantalla.</w:t>
      </w:r>
    </w:p>
    <w:p>
      <w:pPr>
        <w:pStyle w:val="ListBullet"/>
      </w:pPr>
      <w:r>
        <w:t>Simular (/promociones/simular): antes de publicar, muestra qué oferta tomaría la caja para un artículo, cantidad, sucursal y fecha.</w:t>
      </w:r>
    </w:p>
    <w:p>
      <w:pPr>
        <w:pStyle w:val="ListBullet"/>
      </w:pPr>
      <w:r>
        <w:t>Los artículos se agregan digitando el código (o el de barras) y Enter: entra de una vez a la lista, con el precio de antes y el que quedaría con la oferta, y el foco vuelve al código para seguir escaneando. El último agregado se ve arriba.</w:t>
      </w:r>
    </w:p>
    <w:p>
      <w:pPr>
        <w:pStyle w:val="ListBullet"/>
      </w:pPr>
      <w:r>
        <w:t>Las categorías y las marcas son miles, así que no salen en una lista: se escribe parte del código o del nombre, se elige de lo que aparece, y lo elegido queda debajo en etiquetas que se quitan con su X. Departamentos y sucursales sí van en lista, porque son pocos.</w:t>
      </w:r>
    </w:p>
    <w:p>
      <w:pPr>
        <w:pStyle w:val="ListBullet"/>
      </w:pPr>
      <w:r>
        <w:t>La lista muestra el estado de cada promoción y cuántas cajas ya la recibieron; se filtra por texto, sucursal y rango de fechas.</w:t>
      </w:r>
    </w:p>
    <w:p>
      <w:pPr>
        <w:pStyle w:val="Heading3"/>
      </w:pPr>
      <w:r>
        <w:t>2.8.1. Promociones para empezar (sugerencia)</w:t>
      </w:r>
    </w:p>
    <w:p>
      <w:r>
        <w:t>Estas son promociones típicas del rubro, con los artículos y las categorías sugeridas más arriba. Antes de publicarlas conviene simularlas en Promociones → Simular.</w:t>
      </w:r>
    </w:p>
    <w:tbl>
      <w:tblPr>
        <w:tblStyle w:val="TableGrid"/>
        <w:tblW w:type="auto" w:w="0"/>
        <w:tblLook w:firstColumn="1" w:firstRow="1" w:lastColumn="0" w:lastRow="0" w:noHBand="0" w:noVBand="1" w:val="04A0"/>
      </w:tblPr>
      <w:tblGrid>
        <w:gridCol w:w="1904"/>
        <w:gridCol w:w="1904"/>
        <w:gridCol w:w="1904"/>
        <w:gridCol w:w="1904"/>
        <w:gridCol w:w="1904"/>
      </w:tblGrid>
      <w:tr>
        <w:tc>
          <w:tcPr>
            <w:tcW w:type="dxa" w:w="1474"/>
          </w:tcPr>
          <w:p>
            <w:r/>
            <w:r>
              <w:rPr>
                <w:b/>
                <w:color w:val="1B4D3E"/>
              </w:rPr>
              <w:t>Ejemplo</w:t>
            </w:r>
          </w:p>
        </w:tc>
        <w:tc>
          <w:tcPr>
            <w:tcW w:type="dxa" w:w="2494"/>
          </w:tcPr>
          <w:p>
            <w:r/>
            <w:r>
              <w:rPr>
                <w:b/>
                <w:color w:val="1B4D3E"/>
              </w:rPr>
              <w:t>Promoción</w:t>
            </w:r>
          </w:p>
        </w:tc>
        <w:tc>
          <w:tcPr>
            <w:tcW w:type="dxa" w:w="1474"/>
          </w:tcPr>
          <w:p>
            <w:r/>
            <w:r>
              <w:rPr>
                <w:b/>
                <w:color w:val="1B4D3E"/>
              </w:rPr>
              <w:t>Tipo</w:t>
            </w:r>
          </w:p>
        </w:tc>
        <w:tc>
          <w:tcPr>
            <w:tcW w:type="dxa" w:w="1928"/>
          </w:tcPr>
          <w:p>
            <w:r/>
            <w:r>
              <w:rPr>
                <w:b/>
                <w:color w:val="1B4D3E"/>
              </w:rPr>
              <w:t>Alcance</w:t>
            </w:r>
          </w:p>
        </w:tc>
        <w:tc>
          <w:tcPr>
            <w:tcW w:type="dxa" w:w="3402"/>
          </w:tcPr>
          <w:p>
            <w:r/>
            <w:r>
              <w:rPr>
                <w:b/>
                <w:color w:val="1B4D3E"/>
              </w:rPr>
              <w:t>Detalle</w:t>
            </w:r>
          </w:p>
        </w:tc>
      </w:tr>
      <w:tr>
        <w:tc>
          <w:tcPr>
            <w:tcW w:type="dxa" w:w="1474"/>
          </w:tcPr>
          <w:p>
            <w:r>
              <w:t>PROM-3X2CER</w:t>
            </w:r>
          </w:p>
        </w:tc>
        <w:tc>
          <w:tcPr>
            <w:tcW w:type="dxa" w:w="2494"/>
          </w:tcPr>
          <w:p>
            <w:r>
              <w:t>Lleva 3 paga 2 en Corona</w:t>
            </w:r>
          </w:p>
        </w:tc>
        <w:tc>
          <w:tcPr>
            <w:tcW w:type="dxa" w:w="1474"/>
          </w:tcPr>
          <w:p>
            <w:r>
              <w:t>Lleva X paga Y</w:t>
            </w:r>
          </w:p>
        </w:tc>
        <w:tc>
          <w:tcPr>
            <w:tcW w:type="dxa" w:w="1928"/>
          </w:tcPr>
          <w:p>
            <w:r>
              <w:t>Artículo CER-COR-355</w:t>
            </w:r>
          </w:p>
        </w:tc>
        <w:tc>
          <w:tcPr>
            <w:tcW w:type="dxa" w:w="3402"/>
          </w:tcPr>
          <w:p>
            <w:r>
              <w:t>Lleva 3, paga 2. Fin de semana, viernes a domingo.</w:t>
            </w:r>
          </w:p>
        </w:tc>
      </w:tr>
      <w:tr>
        <w:tc>
          <w:tcPr>
            <w:tcW w:type="dxa" w:w="1474"/>
          </w:tcPr>
          <w:p>
            <w:r>
              <w:t>PROM-VINO10</w:t>
            </w:r>
          </w:p>
        </w:tc>
        <w:tc>
          <w:tcPr>
            <w:tcW w:type="dxa" w:w="2494"/>
          </w:tcPr>
          <w:p>
            <w:r>
              <w:t>10 % en vinos tintos</w:t>
            </w:r>
          </w:p>
        </w:tc>
        <w:tc>
          <w:tcPr>
            <w:tcW w:type="dxa" w:w="1474"/>
          </w:tcPr>
          <w:p>
            <w:r>
              <w:t>Porcentaje</w:t>
            </w:r>
          </w:p>
        </w:tc>
        <w:tc>
          <w:tcPr>
            <w:tcW w:type="dxa" w:w="1928"/>
          </w:tcPr>
          <w:p>
            <w:r>
              <w:t>Categoría Tintos</w:t>
            </w:r>
          </w:p>
        </w:tc>
        <w:tc>
          <w:tcPr>
            <w:tcW w:type="dxa" w:w="3402"/>
          </w:tcPr>
          <w:p>
            <w:r>
              <w:t>10 % de descuento, todo el mes.</w:t>
            </w:r>
          </w:p>
        </w:tc>
      </w:tr>
      <w:tr>
        <w:tc>
          <w:tcPr>
            <w:tcW w:type="dxa" w:w="1474"/>
          </w:tcPr>
          <w:p>
            <w:r>
              <w:t>PROM-CJPRE</w:t>
            </w:r>
          </w:p>
        </w:tc>
        <w:tc>
          <w:tcPr>
            <w:tcW w:type="dxa" w:w="2494"/>
          </w:tcPr>
          <w:p>
            <w:r>
              <w:t>Caja de Presidente a precio especial</w:t>
            </w:r>
          </w:p>
        </w:tc>
        <w:tc>
          <w:tcPr>
            <w:tcW w:type="dxa" w:w="1474"/>
          </w:tcPr>
          <w:p>
            <w:r>
              <w:t>Precio especial</w:t>
            </w:r>
          </w:p>
        </w:tc>
        <w:tc>
          <w:tcPr>
            <w:tcW w:type="dxa" w:w="1928"/>
          </w:tcPr>
          <w:p>
            <w:r>
              <w:t>Artículo CER-PRE-CJ</w:t>
            </w:r>
          </w:p>
        </w:tc>
        <w:tc>
          <w:tcPr>
            <w:tcW w:type="dxa" w:w="3402"/>
          </w:tcPr>
          <w:p>
            <w:r>
              <w:t>Precio fijo de 2,350.00 mientras dure la promoción.</w:t>
            </w:r>
          </w:p>
        </w:tc>
      </w:tr>
      <w:tr>
        <w:tc>
          <w:tcPr>
            <w:tcW w:type="dxa" w:w="1474"/>
          </w:tcPr>
          <w:p>
            <w:r>
              <w:t>PROM-RON6</w:t>
            </w:r>
          </w:p>
        </w:tc>
        <w:tc>
          <w:tcPr>
            <w:tcW w:type="dxa" w:w="2494"/>
          </w:tcPr>
          <w:p>
            <w:r>
              <w:t>Ron por cantidad</w:t>
            </w:r>
          </w:p>
        </w:tc>
        <w:tc>
          <w:tcPr>
            <w:tcW w:type="dxa" w:w="1474"/>
          </w:tcPr>
          <w:p>
            <w:r>
              <w:t>Precio por cantidad</w:t>
            </w:r>
          </w:p>
        </w:tc>
        <w:tc>
          <w:tcPr>
            <w:tcW w:type="dxa" w:w="1928"/>
          </w:tcPr>
          <w:p>
            <w:r>
              <w:t>Artículo RON-BRU-AN</w:t>
            </w:r>
          </w:p>
        </w:tc>
        <w:tc>
          <w:tcPr>
            <w:tcW w:type="dxa" w:w="3402"/>
          </w:tcPr>
          <w:p>
            <w:r>
              <w:t>Desde 6 unidades, a 460.00 cada una.</w:t>
            </w:r>
          </w:p>
        </w:tc>
      </w:tr>
      <w:tr>
        <w:tc>
          <w:tcPr>
            <w:tcW w:type="dxa" w:w="1474"/>
          </w:tcPr>
          <w:p>
            <w:r>
              <w:t>PROM-HAPPY</w:t>
            </w:r>
          </w:p>
        </w:tc>
        <w:tc>
          <w:tcPr>
            <w:tcW w:type="dxa" w:w="2494"/>
          </w:tcPr>
          <w:p>
            <w:r>
              <w:t>Happy hour de cervezas</w:t>
            </w:r>
          </w:p>
        </w:tc>
        <w:tc>
          <w:tcPr>
            <w:tcW w:type="dxa" w:w="1474"/>
          </w:tcPr>
          <w:p>
            <w:r>
              <w:t>Monto por unidad</w:t>
            </w:r>
          </w:p>
        </w:tc>
        <w:tc>
          <w:tcPr>
            <w:tcW w:type="dxa" w:w="1928"/>
          </w:tcPr>
          <w:p>
            <w:r>
              <w:t>Departamento Cervezas</w:t>
            </w:r>
          </w:p>
        </w:tc>
        <w:tc>
          <w:tcPr>
            <w:tcW w:type="dxa" w:w="3402"/>
          </w:tcPr>
          <w:p>
            <w:r>
              <w:t>RD$20 menos por unidad, de lunes a viernes de 5 a 8 de la tarde.</w:t>
            </w:r>
          </w:p>
        </w:tc>
      </w:tr>
    </w:tbl>
    <w:p/>
    <w:p>
      <w:r>
        <w:rPr>
          <w:i/>
          <w:color w:val="2E7D32"/>
        </w:rPr>
        <w:t>Cuando dos promociones alcanzan al mismo artículo, la caja aplica la más favorable para el cliente, y solo reemplaza al precio por mayor si mejora el precio. Los combos nunca toman precio por mayor.</w:t>
      </w:r>
    </w:p>
    <w:p>
      <w:pPr>
        <w:pStyle w:val="Heading2"/>
      </w:pPr>
      <w:r>
        <w:t>2.9. Facturación electrónica y DGII</w:t>
      </w:r>
    </w:p>
    <w:p>
      <w:pPr>
        <w:pStyle w:val="ListBullet"/>
      </w:pPr>
      <w:r>
        <w:t>Rangos de e-CF (/fiscal/secuencias): se asignan a cada caja por tipo de comprobante, con inicio, fin y vencimiento. La lista muestra el último usado y cuánto queda.</w:t>
      </w:r>
    </w:p>
    <w:p>
      <w:pPr>
        <w:pStyle w:val="ListBullet"/>
      </w:pPr>
      <w:r>
        <w:t>A una misma caja se le pueden cargar varios rangos del mismo tipo: la caja usa el de numeración más baja y, cuando se acaba o se vence, sigue sola con el siguiente. No hay que hacer nada entre uno y otro.</w:t>
      </w:r>
    </w:p>
    <w:p>
      <w:pPr>
        <w:pStyle w:val="ListBullet"/>
      </w:pPr>
      <w:r>
        <w:t>Dos rangos del mismo tipo no pueden pisarse, ni siquiera entre cajas distintas: si a la caja 01 se le dio del 1 al 5, a la 02 no se le puede dar del 3 al 8, porque las dos emitirían los mismos números ante la DGII. El sistema lo rechaza y dice con qué caja choca.</w:t>
      </w:r>
    </w:p>
    <w:p>
      <w:pPr>
        <w:pStyle w:val="ListBullet"/>
      </w:pPr>
      <w:r>
        <w:t>El rango que se agota deja de listarse; sigue guardado como constancia de qué se emitió y se ve marcando «Ver agotados». En la caja sí se borra: si volviera a bajar, empezaría a repetir números.</w:t>
      </w:r>
    </w:p>
    <w:p>
      <w:pPr>
        <w:pStyle w:val="ListBullet"/>
      </w:pPr>
      <w:r>
        <w:t>Comprobantes enviados a la DGII (/monitor/comprobantes): estado de cada e-CF (aceptado, rechazado, en cola), su trackId, el mensaje de la DGII, la descarga del XML y el reenvío dirigido.</w:t>
      </w:r>
    </w:p>
    <w:p>
      <w:pPr>
        <w:pStyle w:val="Heading3"/>
      </w:pPr>
      <w:r>
        <w:t>2.9.1. Rangos de comprobantes (ejemplo)</w:t>
      </w:r>
    </w:p>
    <w:p>
      <w:r>
        <w:t>Los números se los asigna la DGII a la empresa; aquí se reparten por caja y por tipo, para que dos cajas no usen el mismo. Este es el formato con el que se cargan en Fiscal → Rangos de e-CF.</w:t>
      </w:r>
    </w:p>
    <w:tbl>
      <w:tblPr>
        <w:tblStyle w:val="TableGrid"/>
        <w:tblW w:type="auto" w:w="0"/>
        <w:tblLook w:firstColumn="1" w:firstRow="1" w:lastColumn="0" w:lastRow="0" w:noHBand="0" w:noVBand="1" w:val="04A0"/>
      </w:tblPr>
      <w:tblGrid>
        <w:gridCol w:w="1904"/>
        <w:gridCol w:w="1904"/>
        <w:gridCol w:w="1904"/>
        <w:gridCol w:w="1904"/>
        <w:gridCol w:w="1904"/>
      </w:tblGrid>
      <w:tr>
        <w:tc>
          <w:tcPr>
            <w:tcW w:type="dxa" w:w="907"/>
          </w:tcPr>
          <w:p>
            <w:r/>
            <w:r>
              <w:rPr>
                <w:b/>
                <w:color w:val="1B4D3E"/>
              </w:rPr>
              <w:t>Caja</w:t>
            </w:r>
          </w:p>
        </w:tc>
        <w:tc>
          <w:tcPr>
            <w:tcW w:type="dxa" w:w="2494"/>
          </w:tcPr>
          <w:p>
            <w:r/>
            <w:r>
              <w:rPr>
                <w:b/>
                <w:color w:val="1B4D3E"/>
              </w:rPr>
              <w:t>Tipo</w:t>
            </w:r>
          </w:p>
        </w:tc>
        <w:tc>
          <w:tcPr>
            <w:tcW w:type="dxa" w:w="1361"/>
          </w:tcPr>
          <w:p>
            <w:r/>
            <w:r>
              <w:rPr>
                <w:b/>
                <w:color w:val="1B4D3E"/>
              </w:rPr>
              <w:t>Desde</w:t>
            </w:r>
          </w:p>
        </w:tc>
        <w:tc>
          <w:tcPr>
            <w:tcW w:type="dxa" w:w="1361"/>
          </w:tcPr>
          <w:p>
            <w:r/>
            <w:r>
              <w:rPr>
                <w:b/>
                <w:color w:val="1B4D3E"/>
              </w:rPr>
              <w:t>Hasta</w:t>
            </w:r>
          </w:p>
        </w:tc>
        <w:tc>
          <w:tcPr>
            <w:tcW w:type="dxa" w:w="1701"/>
          </w:tcPr>
          <w:p>
            <w:r/>
            <w:r>
              <w:rPr>
                <w:b/>
                <w:color w:val="1B4D3E"/>
              </w:rPr>
              <w:t>Vence</w:t>
            </w:r>
          </w:p>
        </w:tc>
      </w:tr>
      <w:tr>
        <w:tc>
          <w:tcPr>
            <w:tcW w:type="dxa" w:w="907"/>
          </w:tcPr>
          <w:p>
            <w:r>
              <w:t>01</w:t>
            </w:r>
          </w:p>
        </w:tc>
        <w:tc>
          <w:tcPr>
            <w:tcW w:type="dxa" w:w="2494"/>
          </w:tcPr>
          <w:p>
            <w:r>
              <w:t>E32 · Consumo</w:t>
            </w:r>
          </w:p>
        </w:tc>
        <w:tc>
          <w:tcPr>
            <w:tcW w:type="dxa" w:w="1361"/>
          </w:tcPr>
          <w:p>
            <w:r>
              <w:t>1</w:t>
            </w:r>
          </w:p>
        </w:tc>
        <w:tc>
          <w:tcPr>
            <w:tcW w:type="dxa" w:w="1361"/>
          </w:tcPr>
          <w:p>
            <w:r>
              <w:t>10000</w:t>
            </w:r>
          </w:p>
        </w:tc>
        <w:tc>
          <w:tcPr>
            <w:tcW w:type="dxa" w:w="1701"/>
          </w:tcPr>
          <w:p>
            <w:r>
              <w:t>31/12/2027</w:t>
            </w:r>
          </w:p>
        </w:tc>
      </w:tr>
      <w:tr>
        <w:tc>
          <w:tcPr>
            <w:tcW w:type="dxa" w:w="907"/>
          </w:tcPr>
          <w:p>
            <w:r>
              <w:t>01</w:t>
            </w:r>
          </w:p>
        </w:tc>
        <w:tc>
          <w:tcPr>
            <w:tcW w:type="dxa" w:w="2494"/>
          </w:tcPr>
          <w:p>
            <w:r>
              <w:t>E31 · Crédito fiscal</w:t>
            </w:r>
          </w:p>
        </w:tc>
        <w:tc>
          <w:tcPr>
            <w:tcW w:type="dxa" w:w="1361"/>
          </w:tcPr>
          <w:p>
            <w:r>
              <w:t>1</w:t>
            </w:r>
          </w:p>
        </w:tc>
        <w:tc>
          <w:tcPr>
            <w:tcW w:type="dxa" w:w="1361"/>
          </w:tcPr>
          <w:p>
            <w:r>
              <w:t>2000</w:t>
            </w:r>
          </w:p>
        </w:tc>
        <w:tc>
          <w:tcPr>
            <w:tcW w:type="dxa" w:w="1701"/>
          </w:tcPr>
          <w:p>
            <w:r>
              <w:t>31/12/2027</w:t>
            </w:r>
          </w:p>
        </w:tc>
      </w:tr>
      <w:tr>
        <w:tc>
          <w:tcPr>
            <w:tcW w:type="dxa" w:w="907"/>
          </w:tcPr>
          <w:p>
            <w:r>
              <w:t>01</w:t>
            </w:r>
          </w:p>
        </w:tc>
        <w:tc>
          <w:tcPr>
            <w:tcW w:type="dxa" w:w="2494"/>
          </w:tcPr>
          <w:p>
            <w:r>
              <w:t>E34 · Nota de crédito</w:t>
            </w:r>
          </w:p>
        </w:tc>
        <w:tc>
          <w:tcPr>
            <w:tcW w:type="dxa" w:w="1361"/>
          </w:tcPr>
          <w:p>
            <w:r>
              <w:t>1</w:t>
            </w:r>
          </w:p>
        </w:tc>
        <w:tc>
          <w:tcPr>
            <w:tcW w:type="dxa" w:w="1361"/>
          </w:tcPr>
          <w:p>
            <w:r>
              <w:t>1000</w:t>
            </w:r>
          </w:p>
        </w:tc>
        <w:tc>
          <w:tcPr>
            <w:tcW w:type="dxa" w:w="1701"/>
          </w:tcPr>
          <w:p>
            <w:r>
              <w:t>31/12/2027</w:t>
            </w:r>
          </w:p>
        </w:tc>
      </w:tr>
      <w:tr>
        <w:tc>
          <w:tcPr>
            <w:tcW w:type="dxa" w:w="907"/>
          </w:tcPr>
          <w:p>
            <w:r>
              <w:t>02</w:t>
            </w:r>
          </w:p>
        </w:tc>
        <w:tc>
          <w:tcPr>
            <w:tcW w:type="dxa" w:w="2494"/>
          </w:tcPr>
          <w:p>
            <w:r>
              <w:t>E32 · Consumo</w:t>
            </w:r>
          </w:p>
        </w:tc>
        <w:tc>
          <w:tcPr>
            <w:tcW w:type="dxa" w:w="1361"/>
          </w:tcPr>
          <w:p>
            <w:r>
              <w:t>10001</w:t>
            </w:r>
          </w:p>
        </w:tc>
        <w:tc>
          <w:tcPr>
            <w:tcW w:type="dxa" w:w="1361"/>
          </w:tcPr>
          <w:p>
            <w:r>
              <w:t>20000</w:t>
            </w:r>
          </w:p>
        </w:tc>
        <w:tc>
          <w:tcPr>
            <w:tcW w:type="dxa" w:w="1701"/>
          </w:tcPr>
          <w:p>
            <w:r>
              <w:t>31/12/2027</w:t>
            </w:r>
          </w:p>
        </w:tc>
      </w:tr>
      <w:tr>
        <w:tc>
          <w:tcPr>
            <w:tcW w:type="dxa" w:w="907"/>
          </w:tcPr>
          <w:p>
            <w:r>
              <w:t>02</w:t>
            </w:r>
          </w:p>
        </w:tc>
        <w:tc>
          <w:tcPr>
            <w:tcW w:type="dxa" w:w="2494"/>
          </w:tcPr>
          <w:p>
            <w:r>
              <w:t>E31 · Crédito fiscal</w:t>
            </w:r>
          </w:p>
        </w:tc>
        <w:tc>
          <w:tcPr>
            <w:tcW w:type="dxa" w:w="1361"/>
          </w:tcPr>
          <w:p>
            <w:r>
              <w:t>2001</w:t>
            </w:r>
          </w:p>
        </w:tc>
        <w:tc>
          <w:tcPr>
            <w:tcW w:type="dxa" w:w="1361"/>
          </w:tcPr>
          <w:p>
            <w:r>
              <w:t>4000</w:t>
            </w:r>
          </w:p>
        </w:tc>
        <w:tc>
          <w:tcPr>
            <w:tcW w:type="dxa" w:w="1701"/>
          </w:tcPr>
          <w:p>
            <w:r>
              <w:t>31/12/2027</w:t>
            </w:r>
          </w:p>
        </w:tc>
      </w:tr>
      <w:tr>
        <w:tc>
          <w:tcPr>
            <w:tcW w:type="dxa" w:w="907"/>
          </w:tcPr>
          <w:p>
            <w:r>
              <w:t>02</w:t>
            </w:r>
          </w:p>
        </w:tc>
        <w:tc>
          <w:tcPr>
            <w:tcW w:type="dxa" w:w="2494"/>
          </w:tcPr>
          <w:p>
            <w:r>
              <w:t>E34 · Nota de crédito</w:t>
            </w:r>
          </w:p>
        </w:tc>
        <w:tc>
          <w:tcPr>
            <w:tcW w:type="dxa" w:w="1361"/>
          </w:tcPr>
          <w:p>
            <w:r>
              <w:t>1001</w:t>
            </w:r>
          </w:p>
        </w:tc>
        <w:tc>
          <w:tcPr>
            <w:tcW w:type="dxa" w:w="1361"/>
          </w:tcPr>
          <w:p>
            <w:r>
              <w:t>2000</w:t>
            </w:r>
          </w:p>
        </w:tc>
        <w:tc>
          <w:tcPr>
            <w:tcW w:type="dxa" w:w="1701"/>
          </w:tcPr>
          <w:p>
            <w:r>
              <w:t>31/12/2027</w:t>
            </w:r>
          </w:p>
        </w:tc>
      </w:tr>
    </w:tbl>
    <w:p/>
    <w:p>
      <w:r>
        <w:rPr>
          <w:i/>
          <w:color w:val="2E7D32"/>
        </w:rPr>
        <w:t>Los rangos de una caja no se solapan con los de otra. El sistema avisa en la barra de estado cuando queda poco del rango o está por vencer, y no deja facturar si se agota: por eso conviene pedir el próximo con tiempo.</w:t>
      </w:r>
    </w:p>
    <w:p>
      <w:r>
        <w:t>Al asignar el rango se elige primero la sucursal y después su caja. El campo «Próximo» se deja vacío casi siempre: el consumo arranca en el primer número del rango. Solo se llena cuando parte de esa numeración ya se usó en otro sistema y hay que continuar desde cierto número.</w:t>
      </w:r>
    </w:p>
    <w:p>
      <w:r>
        <w:rPr>
          <w:i/>
          <w:color w:val="2E7D32"/>
        </w:rPr>
        <w:t>En el listado, «Próximo» es el número que la caja emitirá en su siguiente comprobante, y «Usado» es hasta dónde llegó según lo que ya subió al Central. La columna «Asignado» dice cuándo se cargó el rango y quién lo hizo.</w:t>
      </w:r>
    </w:p>
    <w:p>
      <w:pPr>
        <w:pStyle w:val="Heading2"/>
      </w:pPr>
      <w:r>
        <w:t>2.10. Facturas de las cajas</w:t>
      </w:r>
    </w:p>
    <w:p>
      <w:r>
        <w:t>Ruta: /facturas. Es la vista de todo lo que las cajas subieron al Central.</w:t>
      </w:r>
    </w:p>
    <w:p>
      <w:pPr>
        <w:pStyle w:val="ListBullet"/>
      </w:pPr>
      <w:r>
        <w:t>Filtros por rango de días, sucursal, tipo (factura o nota de crédito) y búsqueda por número, e-NCF, documento o nombre del cliente.</w:t>
      </w:r>
    </w:p>
    <w:p>
      <w:pPr>
        <w:pStyle w:val="ListBullet"/>
      </w:pPr>
      <w:r>
        <w:t>Cada fila muestra el documento, la sucursal, la caja, el turno, el cajero, el cliente, el total y el estado del e-CF.</w:t>
      </w:r>
    </w:p>
    <w:p>
      <w:pPr>
        <w:pStyle w:val="ListBullet"/>
      </w:pPr>
      <w:r>
        <w:t>Al abrir una se ven sus líneas tal como se cobraron (código, descripción, cantidad, precio, descuento, ITBIS, importe, serial y oferta), los totales, el ITBIS por tasa y las formas de pago.</w:t>
      </w:r>
    </w:p>
    <w:p>
      <w:pPr>
        <w:pStyle w:val="Heading2"/>
      </w:pPr>
      <w:r>
        <w:t>2.11. Notas de crédito entre sucursales</w:t>
      </w:r>
    </w:p>
    <w:p>
      <w:r>
        <w:t>Ruta: /notas-credito. Todas las notas emitidas por cualquier caja, con su saldo, lo consumido y lo retenido mientras una caja está cobrando. Sirve para responderle al cliente que quiere usar en una sucursal una nota emitida en otra. Las notas vencidas se habilitan subiendo los días de vigencia en los parámetros.</w:t>
      </w:r>
    </w:p>
    <w:p>
      <w:pPr>
        <w:pStyle w:val="Heading2"/>
      </w:pPr>
      <w:r>
        <w:t>2.12. Listas de boda y de regalos</w:t>
      </w:r>
    </w:p>
    <w:p>
      <w:r>
        <w:t>Ruta: /listas-boda.</w:t>
      </w:r>
    </w:p>
    <w:p>
      <w:pPr>
        <w:pStyle w:val="ListNumber"/>
      </w:pPr>
      <w:r>
        <w:t>Para hacer una nueva, use «Nueva lista» del menú o el botón del listado: se abre una pantalla completa, no una ventanita.</w:t>
      </w:r>
    </w:p>
    <w:p>
      <w:pPr>
        <w:pStyle w:val="ListNumber"/>
      </w:pPr>
      <w:r>
        <w:t>Escriba los datos de los festejados (cédula o RNC, teléfono, correo) y los del evento (nombre, fecha, lugar).</w:t>
      </w:r>
    </w:p>
    <w:p>
      <w:pPr>
        <w:pStyle w:val="ListNumber"/>
      </w:pPr>
      <w:r>
        <w:t>Agregue los artículos sin soltar el teclado: digite el código y presione Enter (trae la descripción y el precio del día y salta a la cantidad), escriba la cantidad y otro Enter lo pasa a la lista y vuelve al código, vacío y listo para el siguiente. Si no escribe cantidad, vale una unidad. Lo último agregado queda arriba.</w:t>
      </w:r>
    </w:p>
    <w:p>
      <w:pPr>
        <w:pStyle w:val="ListNumber"/>
      </w:pPr>
      <w:r>
        <w:t>Si no se sabe el código, presione la lupa del campo y busque el artículo por código o por descripción. Los artículos siempre se eligen del maestro, nunca se escriben a mano, para que lo pedido sea exactamente lo que la caja cobra.</w:t>
      </w:r>
    </w:p>
    <w:p>
      <w:r>
        <w:rPr>
          <w:i/>
          <w:color w:val="2E7D32"/>
        </w:rPr>
        <w:t>El precio que se ve al agregar es el del día, solo para orientar a los festejados: la lista guarda lo pedido, no precios, y la caja cobra el precio que esté vigente el día de cada compra. Por eso los artículos de una lista ya guardada muestran una raya en vez de precio.</w:t>
      </w:r>
    </w:p>
    <w:p>
      <w:pPr>
        <w:pStyle w:val="ListNumber"/>
      </w:pPr>
      <w:r>
        <w:t>El Central le asigna un número (por ejemplo LB000001): ese es el número que el cliente da en la caja.</w:t>
      </w:r>
    </w:p>
    <w:p>
      <w:pPr>
        <w:pStyle w:val="ListNumber"/>
      </w:pPr>
      <w:r>
        <w:t>A medida que la gente compra, la lista muestra lo comprado, lo que falta y las facturas registradas.</w:t>
      </w:r>
    </w:p>
    <w:p>
      <w:pPr>
        <w:pStyle w:val="ListNumber"/>
      </w:pPr>
      <w:r>
        <w:t>Cuando pasa el evento, la lista se cierra (y se puede reabrir si hace falta).</w:t>
      </w:r>
    </w:p>
    <w:p>
      <w:r>
        <w:t>El listado queda solo para buscar: escriba el número, el evento, el cliente o su documento, o filtre por estado. Al tocar una fila se abre esa lista en su pantalla, con lo comprado y las facturas registradas.</w:t>
      </w:r>
    </w:p>
    <w:p>
      <w:pPr>
        <w:pStyle w:val="Heading2"/>
      </w:pPr>
      <w:r>
        <w:t>2.13. Cotizaciones</w:t>
      </w:r>
    </w:p>
    <w:p>
      <w:r>
        <w:t>Ruta: /cotizaciones. Es el presupuesto que se le arma a un cliente desde cualquier computadora con navegador: no hace falta que sea una caja. Los precios quedan congelados mientras la cotización esté vigente, y después cualquier caja de cualquier sucursal la convierte en factura buscándola por su número (F9).</w:t>
      </w:r>
    </w:p>
    <w:p>
      <w:pPr>
        <w:pStyle w:val="ListNumber"/>
      </w:pPr>
      <w:r>
        <w:t>Para hacer una nueva, use «Nueva cotización» del menú o el botón del listado: se abre una pantalla completa, no una ventanita.</w:t>
      </w:r>
    </w:p>
    <w:p>
      <w:pPr>
        <w:pStyle w:val="ListNumber"/>
      </w:pPr>
      <w:r>
        <w:t>Escriba el nombre del cliente y, si lo tiene, su cédula o RNC, teléfono y correo. Si el cliente ya está registrado hay dos maneras de traerlo del maestro y no digitar nada: la lupa del campo del NOMBRE abre la lista de clientes, donde se busca por nombre o por documento y se elige la fila; y la lupa del campo del DOCUMENTO lo busca directo, si se sabe. Con cualquiera de las dos, el nombre, el documento, el teléfono y el correo se llenan solos.</w:t>
      </w:r>
    </w:p>
    <w:p>
      <w:pPr>
        <w:pStyle w:val="ListNumber"/>
      </w:pPr>
      <w:r>
        <w:t>«Vale hasta» ya viene con la fecha de vencimiento: hoy más los días configurados en Parámetros (Central.Cotizaciones.DiasVigencia, 15 de fábrica). Se puede cambiar antes de guardar.</w:t>
      </w:r>
    </w:p>
    <w:p>
      <w:pPr>
        <w:pStyle w:val="ListNumber"/>
      </w:pPr>
      <w:r>
        <w:t>Agregue los artículos sin soltar el teclado: digite el código y presione Enter (trae la descripción y el precio del día y salta a la cantidad), escriba la cantidad y Enter (salta al descuento), y otro Enter lo pasa a la lista y vuelve al código, vacío y listo para el siguiente. La cantidad y el descuento salen vacíos: si no escribe nada, vale una unidad y sin descuento.</w:t>
      </w:r>
    </w:p>
    <w:p>
      <w:pPr>
        <w:pStyle w:val="ListNumber"/>
      </w:pPr>
      <w:r>
        <w:t>Si no se sabe el código, presione la lupa del campo: se abre una ventana para buscar el artículo por código o por descripción, y el que se elija cae en el campo del código. Si lo digitado no existe, esa ventana se abre sola con lo que se escribió.</w:t>
      </w:r>
    </w:p>
    <w:p>
      <w:r>
        <w:t>Lo último agregado queda arriba en la lista. El precio es el del maestro y no se digita: lo que se cotiza es el precio del día. La cantidad y el descuento sí se pueden corregir en la línea, y el total se ve arriba, al lado de la observación.</w:t>
      </w:r>
    </w:p>
    <w:p>
      <w:pPr>
        <w:pStyle w:val="ListNumber"/>
      </w:pPr>
      <w:r>
        <w:t>Guarde: el Central le asigna su número (por ejemplo COT000001). Si se borró la fecha de «Vale hasta», la pone él con los días configurados.</w:t>
      </w:r>
    </w:p>
    <w:p>
      <w:pPr>
        <w:pStyle w:val="ListNumber"/>
      </w:pPr>
      <w:r>
        <w:t>Con «Imprimir» sale el PDF en tamaño carta para entregárselo o enviárselo al cliente.</w:t>
      </w:r>
    </w:p>
    <w:p>
      <w:r>
        <w:t>El listado queda solo para buscar: escriba el número, el cliente, su documento o el número de la factura, o filtre por estado. Al tocar una fila se abre esa cotización en su pantalla.</w:t>
      </w:r>
    </w:p>
    <w:p>
      <w:r>
        <w:rPr>
          <w:i/>
          <w:color w:val="2E7D32"/>
        </w:rPr>
        <w:t>Una cotización ya facturada o anulada se abre igual, pero solo para consultarla: no se modifica.</w:t>
      </w:r>
    </w:p>
    <w:p>
      <w:pPr>
        <w:pStyle w:val="Heading2"/>
      </w:pPr>
      <w:r>
        <w:t>2.14. Fidelidad</w:t>
      </w:r>
    </w:p>
    <w:p>
      <w:r>
        <w:t>Ruta: /fidelidad/miembros. Miembros con su nivel, saldo de puntos, movimientos y ajustes. Los niveles y las reglas de acumulación se configuran en los catálogos.</w:t>
      </w:r>
    </w:p>
    <w:p>
      <w:pPr>
        <w:pStyle w:val="Heading2"/>
      </w:pPr>
      <w:r>
        <w:t>2.15. Despacho de pendientes y envíos</w:t>
      </w:r>
    </w:p>
    <w:p>
      <w:r>
        <w:t>Ruta: /despacho/pendientes. Aquí se despacha TODO lo que quedó pendiente de entregar en cualquier sucursal. El despacho se hace en el Central y no en la caja: no emite comprobante fiscal ni toca la gaveta, y quien atiende a un cliente que llama o que llega a otra tienda necesita verlos todos. La caja solo crea el pendiente al cobrar.</w:t>
      </w:r>
    </w:p>
    <w:p>
      <w:r>
        <w:t>En la lista se ven el estado, la fecha comprometida y los atrasos; se filtra por sucursal, método, estado, o solo los abiertos o los atrasados, y se busca por número, factura, cliente, teléfono o destino.</w:t>
      </w:r>
    </w:p>
    <w:p>
      <w:r>
        <w:t>Al abrir un pendiente:</w:t>
      </w:r>
    </w:p>
    <w:p>
      <w:pPr>
        <w:pStyle w:val="ListNumber"/>
      </w:pPr>
      <w:r>
        <w:t>Preparación: se marca En preparación, Preparado y, si es un envío, Despachado cuando sale con el transportista. No se pueden saltar pasos.</w:t>
      </w:r>
    </w:p>
    <w:p>
      <w:pPr>
        <w:pStyle w:val="ListNumber"/>
      </w:pPr>
      <w:r>
        <w:t>Entrega: se escribe cuánto se entrega de cada artículo (puede ser todo o una parte), el serial de los serializados, y el nombre y la cédula de quien recibe. Con una entrega parcial el pendiente queda en Parcial y guarda lo que falta.</w:t>
      </w:r>
    </w:p>
    <w:p>
      <w:pPr>
        <w:pStyle w:val="ListNumber"/>
      </w:pPr>
      <w:r>
        <w:t>Constancia: de cada entrega se imprime un PDF en tamaño carta para que lo firme quien recibe. Se imprime en una impresora normal, no en la de tickets.</w:t>
      </w:r>
    </w:p>
    <w:p>
      <w:pPr>
        <w:pStyle w:val="ListNumber"/>
      </w:pPr>
      <w:r>
        <w:t>Anular: solo si todavía no se ha entregado nada, con motivo. Libera la mercancía para poder devolverla.</w:t>
      </w:r>
    </w:p>
    <w:p>
      <w:r>
        <w:rPr>
          <w:i/>
          <w:color w:val="2E7D32"/>
        </w:rPr>
        <w:t>Anular un pendiente lleva su propio permiso (Central.Despacho.Anular), aparte del de operar el despacho: libera mercancía que ya se facturó.</w:t>
      </w:r>
    </w:p>
    <w:p>
      <w:r>
        <w:rPr>
          <w:i/>
          <w:color w:val="2E7D32"/>
        </w:rPr>
        <w:t>Mientras algo siga pendiente de entregar, no se puede devolver: el cliente todavía no lo tiene. Para devolverlo hay que anular primero el pendiente. Si el negocio lo activa, el Central le avisa por correo al cliente cuando su pedido queda preparado.</w:t>
      </w:r>
    </w:p>
    <w:p>
      <w:pPr>
        <w:pStyle w:val="Heading2"/>
      </w:pPr>
      <w:r>
        <w:t>2.16. Secuencias de documentos</w:t>
      </w:r>
    </w:p>
    <w:p>
      <w:r>
        <w:t>Ruta: /organizacion/secuencias. Aquí se dice cómo se numera cada documento que emite el Central: el prefijo que lleva delante, cuántos dígitos tiene el correlativo y por cuál va.</w:t>
      </w:r>
    </w:p>
    <w:p>
      <w:r>
        <w:rPr>
          <w:i/>
          <w:color w:val="2E7D32"/>
        </w:rPr>
        <w:t>Sin su secuencia, el documento NO se puede crear: el sistema lo rechaza diciendo cuál falta. Es a propósito, para que la numeración la decida el negocio y no se invente sola la primera vez que alguien hace el documento.</w:t>
      </w:r>
    </w:p>
    <w:p>
      <w:r>
        <w:t>El Central le pone su propio número a los documentos que le suben las cajas. Una factura llega con el número de la caja (010110000001) y el Central le agrega el suyo (FAC000001): los dos quedan guardados y se ven juntos en el listado de facturas. Lo mismo con las notas de crédito, los despachos y el cierre de sucursal. Las cotizaciones, las listas de boda y las promociones toman de aquí su número al crearse (COT000001, LB000001, PRO000001).</w:t>
      </w:r>
    </w:p>
    <w:p>
      <w:r>
        <w:rPr>
          <w:i/>
          <w:color w:val="2E7D32"/>
        </w:rPr>
        <w:t>Si al llegar un documento de la caja falta su secuencia, el documento se guarda igual pero sin número del Central: la caja ya lo emitió y perderlo sería peor. Configure la secuencia y los siguientes ya lo traerán.</w:t>
      </w:r>
    </w:p>
    <w:p>
      <w:r>
        <w:t>En el sistema hay tres numeraciones distintas y conviene no confundirlas:</w:t>
      </w:r>
    </w:p>
    <w:tbl>
      <w:tblPr>
        <w:tblStyle w:val="TableGrid"/>
        <w:tblW w:type="auto" w:w="0"/>
        <w:tblLook w:firstColumn="1" w:firstRow="1" w:lastColumn="0" w:lastRow="0" w:noHBand="0" w:noVBand="1" w:val="04A0"/>
      </w:tblPr>
      <w:tblGrid>
        <w:gridCol w:w="3173"/>
        <w:gridCol w:w="3173"/>
        <w:gridCol w:w="3173"/>
      </w:tblGrid>
      <w:tr>
        <w:tc>
          <w:tcPr>
            <w:tcW w:type="dxa" w:w="2835"/>
          </w:tcPr>
          <w:p>
            <w:r/>
            <w:r>
              <w:rPr>
                <w:b/>
                <w:color w:val="1B4D3E"/>
              </w:rPr>
              <w:t>Numeración</w:t>
            </w:r>
          </w:p>
        </w:tc>
        <w:tc>
          <w:tcPr>
            <w:tcW w:type="dxa" w:w="3402"/>
          </w:tcPr>
          <w:p>
            <w:r/>
            <w:r>
              <w:rPr>
                <w:b/>
                <w:color w:val="1B4D3E"/>
              </w:rPr>
              <w:t>Quién la lleva</w:t>
            </w:r>
          </w:p>
        </w:tc>
        <w:tc>
          <w:tcPr>
            <w:tcW w:type="dxa" w:w="3402"/>
          </w:tcPr>
          <w:p>
            <w:r/>
            <w:r>
              <w:rPr>
                <w:b/>
                <w:color w:val="1B4D3E"/>
              </w:rPr>
              <w:t>Cómo se ve</w:t>
            </w:r>
          </w:p>
        </w:tc>
      </w:tr>
      <w:tr>
        <w:tc>
          <w:tcPr>
            <w:tcW w:type="dxa" w:w="2835"/>
          </w:tcPr>
          <w:p>
            <w:r>
              <w:t>Documentos de la caja</w:t>
            </w:r>
          </w:p>
        </w:tc>
        <w:tc>
          <w:tcPr>
            <w:tcW w:type="dxa" w:w="3402"/>
          </w:tcPr>
          <w:p>
            <w:r>
              <w:t>Cada caja, en su propia base</w:t>
            </w:r>
          </w:p>
        </w:tc>
        <w:tc>
          <w:tcPr>
            <w:tcW w:type="dxa" w:w="3402"/>
          </w:tcPr>
          <w:p>
            <w:r>
              <w:t>Sucursal + caja + tipo + secuencia (010110000001)</w:t>
            </w:r>
          </w:p>
        </w:tc>
      </w:tr>
      <w:tr>
        <w:tc>
          <w:tcPr>
            <w:tcW w:type="dxa" w:w="2835"/>
          </w:tcPr>
          <w:p>
            <w:r>
              <w:t>Documentos del Central</w:t>
            </w:r>
          </w:p>
        </w:tc>
        <w:tc>
          <w:tcPr>
            <w:tcW w:type="dxa" w:w="3402"/>
          </w:tcPr>
          <w:p>
            <w:r>
              <w:t>El Central, en esta pantalla</w:t>
            </w:r>
          </w:p>
        </w:tc>
        <w:tc>
          <w:tcPr>
            <w:tcW w:type="dxa" w:w="3402"/>
          </w:tcPr>
          <w:p>
            <w:r>
              <w:t>Prefijo + correlativo (COT000001)</w:t>
            </w:r>
          </w:p>
        </w:tc>
      </w:tr>
      <w:tr>
        <w:tc>
          <w:tcPr>
            <w:tcW w:type="dxa" w:w="2835"/>
          </w:tcPr>
          <w:p>
            <w:r>
              <w:t>Comprobantes fiscales</w:t>
            </w:r>
          </w:p>
        </w:tc>
        <w:tc>
          <w:tcPr>
            <w:tcW w:type="dxa" w:w="3402"/>
          </w:tcPr>
          <w:p>
            <w:r>
              <w:t>La caja, con el rango que da la DGII</w:t>
            </w:r>
          </w:p>
        </w:tc>
        <w:tc>
          <w:tcPr>
            <w:tcW w:type="dxa" w:w="3402"/>
          </w:tcPr>
          <w:p>
            <w:r>
              <w:t>e-NCF (E320000000001)</w:t>
            </w:r>
          </w:p>
        </w:tc>
      </w:tr>
    </w:tbl>
    <w:p/>
    <w:p>
      <w:r>
        <w:t>La de la caja funciona sin internet: la caja factura aunque el Central esté apagado. La de esta pantalla numera lo que nace en el Central (cotizaciones, listas de boda). Y el e-NCF se administra en Fiscal, que es otra cosa.</w:t>
      </w:r>
    </w:p>
    <w:p>
      <w:pPr>
        <w:pStyle w:val="ListBullet"/>
      </w:pPr>
      <w:r>
        <w:t>El CÓDIGO es con lo que el sistema encuentra la secuencia y no se cambia. El PREFIJO es solo lo que se ve delante del número, y ese sí se puede cambiar cuando quiera: lo que ya se emitió conserva el prefijo con el que salió.</w:t>
      </w:r>
    </w:p>
    <w:p>
      <w:pPr>
        <w:pStyle w:val="ListNumber"/>
      </w:pPr>
      <w:r>
        <w:t>Para agregar la numeración de un documento nuevo, presione «Nueva secuencia» y escriba su código, su prefijo y cómo se llama.</w:t>
      </w:r>
    </w:p>
    <w:p>
      <w:pPr>
        <w:pStyle w:val="ListNumber"/>
      </w:pPr>
      <w:r>
        <w:t>Para continuar una numeración que venía de otro sistema, cambie «Último número entregado». Solo se puede subir: bajarlo repetiría números ya usados.</w:t>
      </w:r>
    </w:p>
    <w:p>
      <w:pPr>
        <w:pStyle w:val="ListNumber"/>
      </w:pPr>
      <w:r>
        <w:t>Desactivar una secuencia impide crear ese documento y conserva el contador.</w:t>
      </w:r>
    </w:p>
    <w:p>
      <w:pPr>
        <w:pStyle w:val="Heading2"/>
      </w:pPr>
      <w:r>
        <w:t>2.17. Cierre consolidado de sucursal</w:t>
      </w:r>
    </w:p>
    <w:p>
      <w:r>
        <w:t>Ruta: /cierres-sucursal. Es el cierre del día de toda la sucursal.</w:t>
      </w:r>
    </w:p>
    <w:p>
      <w:pPr>
        <w:pStyle w:val="ListNumber"/>
      </w:pPr>
      <w:r>
        <w:t>Elija la sucursal y el día y presione Preparar: se ven todos los cierres de caja, las formas de pago sumadas y lo que falta (si algún turno no ha cerrado, o está cerrado pero sin cuadrar, lo dice).</w:t>
      </w:r>
    </w:p>
    <w:p>
      <w:pPr>
        <w:pStyle w:val="ListNumber"/>
      </w:pPr>
      <w:r>
        <w:t>El sistema calcula el efectivo a depositar por moneda (las tarjetas y transferencias no se depositan).</w:t>
      </w:r>
    </w:p>
    <w:p>
      <w:pPr>
        <w:pStyle w:val="ListNumber"/>
      </w:pPr>
      <w:r>
        <w:t>Registre los depósitos: banco, número de boleta, monto y fecha. Puede ser más de uno.</w:t>
      </w:r>
    </w:p>
    <w:p>
      <w:pPr>
        <w:pStyle w:val="ListNumber"/>
      </w:pPr>
      <w:r>
        <w:t>Cierre la sucursal: queda la diferencia entre lo depositado y lo que había que depositar, y ya no se modifica.</w:t>
      </w:r>
    </w:p>
    <w:p>
      <w:r>
        <w:rPr>
          <w:i/>
          <w:color w:val="2E7D32"/>
        </w:rPr>
        <w:t>No se consolida el día mientras quede un cierre sin cuadrar: ese turno no tiene declarado, y dar por bueno un dinero que nadie contó es justo lo que el módulo de cuadre viene a evitar.</w:t>
      </w:r>
    </w:p>
    <w:p>
      <w:r>
        <w:rPr>
          <w:i/>
          <w:color w:val="2E7D32"/>
        </w:rPr>
        <w:t>Si una caja informa un cierre de ese día después de consolidar, el consolidado no cambia, pero la lista lo avisa.</w:t>
      </w:r>
    </w:p>
    <w:p>
      <w:pPr>
        <w:pStyle w:val="Heading2"/>
      </w:pPr>
      <w:r>
        <w:t>2.18. Módulo de cuadre</w:t>
      </w:r>
    </w:p>
    <w:p>
      <w:r>
        <w:t>Ruta: /cuadre, en una computadora de la tienda. Aquí el supervisor cuenta el dinero que le entregaron las cajeras y lo declara. La cajera ya no declara nada: cierra su turno, entrega el efectivo y el comprobante del lote de tarjetas con el cuadre impreso, y se va. Quien cuenta responde por lo que cuenta.</w:t>
      </w:r>
    </w:p>
    <w:p>
      <w:r>
        <w:t>Se entra con el USUARIO Y LA CLAVE DE CAJA del supervisor o del gerente de tienda, no con un usuario del Central: no hay que crearles uno. La sesión dura pocos minutos porque la computadora es compartida, y solo se ven las sucursales de las cajas que ese usuario tiene asignadas. Un usuario del Central entra con el suyo y ve todas las sucursales.</w:t>
      </w:r>
    </w:p>
    <w:p>
      <w:pPr>
        <w:pStyle w:val="ListNumber"/>
      </w:pPr>
      <w:r>
        <w:t>La cajera cierra el lote del terminal de tarjetas y después cierra su turno en la caja, con autorización del supervisor.</w:t>
      </w:r>
    </w:p>
    <w:p>
      <w:pPr>
        <w:pStyle w:val="ListNumber"/>
      </w:pPr>
      <w:r>
        <w:t>La caja imprime el cuadre con lo esperado por forma de pago. El papel, el efectivo contado a ciegas y el comprobante del lote se los lleva el supervisor.</w:t>
      </w:r>
    </w:p>
    <w:p>
      <w:pPr>
        <w:pStyle w:val="ListNumber"/>
      </w:pPr>
      <w:r>
        <w:t>En /cuadre aparece ese cierre como pendiente de cuadre, lo más viejo primero.</w:t>
      </w:r>
    </w:p>
    <w:p>
      <w:pPr>
        <w:pStyle w:val="ListNumber"/>
      </w:pPr>
      <w:r>
        <w:t>El supervisor cuenta las denominaciones del efectivo y escribe el total de cada forma de pago; el sistema no deja guardar si el efectivo declarado no coincide con el conteo.</w:t>
      </w:r>
    </w:p>
    <w:p>
      <w:pPr>
        <w:pStyle w:val="ListNumber"/>
      </w:pPr>
      <w:r>
        <w:t>Al confirmar, el cierre queda cuadrado, con su faltante o sobrante A NOMBRE DE LA CAJERA y el nombre de quien lo cuadró.</w:t>
      </w:r>
    </w:p>
    <w:tbl>
      <w:tblPr>
        <w:tblStyle w:val="TableGrid"/>
        <w:tblW w:type="auto" w:w="0"/>
        <w:tblLook w:firstColumn="1" w:firstRow="1" w:lastColumn="0" w:lastRow="0" w:noHBand="0" w:noVBand="1" w:val="04A0"/>
      </w:tblPr>
      <w:tblGrid>
        <w:gridCol w:w="3173"/>
        <w:gridCol w:w="3173"/>
        <w:gridCol w:w="3173"/>
      </w:tblGrid>
      <w:tr>
        <w:tc>
          <w:tcPr>
            <w:tcW w:type="dxa" w:w="2268"/>
          </w:tcPr>
          <w:p>
            <w:r/>
            <w:r>
              <w:rPr>
                <w:b/>
                <w:color w:val="1B4D3E"/>
              </w:rPr>
              <w:t>Permiso</w:t>
            </w:r>
          </w:p>
        </w:tc>
        <w:tc>
          <w:tcPr>
            <w:tcW w:type="dxa" w:w="2551"/>
          </w:tcPr>
          <w:p>
            <w:r/>
            <w:r>
              <w:rPr>
                <w:b/>
                <w:color w:val="1B4D3E"/>
              </w:rPr>
              <w:t>Quién lo suele tener</w:t>
            </w:r>
          </w:p>
        </w:tc>
        <w:tc>
          <w:tcPr>
            <w:tcW w:type="dxa" w:w="4819"/>
          </w:tcPr>
          <w:p>
            <w:r/>
            <w:r>
              <w:rPr>
                <w:b/>
                <w:color w:val="1B4D3E"/>
              </w:rPr>
              <w:t>Qué puede hacer</w:t>
            </w:r>
          </w:p>
        </w:tc>
      </w:tr>
      <w:tr>
        <w:tc>
          <w:tcPr>
            <w:tcW w:type="dxa" w:w="2268"/>
          </w:tcPr>
          <w:p>
            <w:r>
              <w:t>Cuadre.Consultar</w:t>
            </w:r>
          </w:p>
        </w:tc>
        <w:tc>
          <w:tcPr>
            <w:tcW w:type="dxa" w:w="2551"/>
          </w:tcPr>
          <w:p>
            <w:r>
              <w:t>Gerencia de tienda</w:t>
            </w:r>
          </w:p>
        </w:tc>
        <w:tc>
          <w:tcPr>
            <w:tcW w:type="dxa" w:w="4819"/>
          </w:tcPr>
          <w:p>
            <w:r>
              <w:t>Ver los cierres y los reportes del módulo en su sucursal.</w:t>
            </w:r>
          </w:p>
        </w:tc>
      </w:tr>
      <w:tr>
        <w:tc>
          <w:tcPr>
            <w:tcW w:type="dxa" w:w="2268"/>
          </w:tcPr>
          <w:p>
            <w:r>
              <w:t>Cuadre.Declarar</w:t>
            </w:r>
          </w:p>
        </w:tc>
        <w:tc>
          <w:tcPr>
            <w:tcW w:type="dxa" w:w="2551"/>
          </w:tcPr>
          <w:p>
            <w:r>
              <w:t>Supervisor</w:t>
            </w:r>
          </w:p>
        </w:tc>
        <w:tc>
          <w:tcPr>
            <w:tcW w:type="dxa" w:w="4819"/>
          </w:tcPr>
          <w:p>
            <w:r>
              <w:t>Cuadrar los cierres pendientes de su sucursal.</w:t>
            </w:r>
          </w:p>
        </w:tc>
      </w:tr>
      <w:tr>
        <w:tc>
          <w:tcPr>
            <w:tcW w:type="dxa" w:w="2268"/>
          </w:tcPr>
          <w:p>
            <w:r>
              <w:t>Cuadre.Corregir</w:t>
            </w:r>
          </w:p>
        </w:tc>
        <w:tc>
          <w:tcPr>
            <w:tcW w:type="dxa" w:w="2551"/>
          </w:tcPr>
          <w:p>
            <w:r>
              <w:t>El rol que decida el negocio</w:t>
            </w:r>
          </w:p>
        </w:tc>
        <w:tc>
          <w:tcPr>
            <w:tcW w:type="dxa" w:w="4819"/>
          </w:tcPr>
          <w:p>
            <w:r>
              <w:t>Corregir un cuadre ya hecho, con motivo, mientras el día no esté consolidado.</w:t>
            </w:r>
          </w:p>
        </w:tc>
      </w:tr>
    </w:tbl>
    <w:p/>
    <w:p>
      <w:r>
        <w:t>La pantalla tiene siete pestañas, todas de la sucursal y las fechas que se elijan arriba:</w:t>
      </w:r>
    </w:p>
    <w:tbl>
      <w:tblPr>
        <w:tblStyle w:val="TableGrid"/>
        <w:tblW w:type="auto" w:w="0"/>
        <w:tblLook w:firstColumn="1" w:firstRow="1" w:lastColumn="0" w:lastRow="0" w:noHBand="0" w:noVBand="1" w:val="04A0"/>
      </w:tblPr>
      <w:tblGrid>
        <w:gridCol w:w="4759"/>
        <w:gridCol w:w="4759"/>
      </w:tblGrid>
      <w:tr>
        <w:tc>
          <w:tcPr>
            <w:tcW w:type="dxa" w:w="2268"/>
          </w:tcPr>
          <w:p>
            <w:r/>
            <w:r>
              <w:rPr>
                <w:b/>
                <w:color w:val="1B4D3E"/>
              </w:rPr>
              <w:t>Pestaña</w:t>
            </w:r>
          </w:p>
        </w:tc>
        <w:tc>
          <w:tcPr>
            <w:tcW w:type="dxa" w:w="7370"/>
          </w:tcPr>
          <w:p>
            <w:r/>
            <w:r>
              <w:rPr>
                <w:b/>
                <w:color w:val="1B4D3E"/>
              </w:rPr>
              <w:t>Para qué sirve</w:t>
            </w:r>
          </w:p>
        </w:tc>
      </w:tr>
      <w:tr>
        <w:tc>
          <w:tcPr>
            <w:tcW w:type="dxa" w:w="2268"/>
          </w:tcPr>
          <w:p>
            <w:r>
              <w:t>Por cuadrar</w:t>
            </w:r>
          </w:p>
        </w:tc>
        <w:tc>
          <w:tcPr>
            <w:tcW w:type="dxa" w:w="7370"/>
          </w:tcPr>
          <w:p>
            <w:r>
              <w:t>Los cierres que las cajas entregaron y nadie ha contado; es con lo que se entra a trabajar.</w:t>
            </w:r>
          </w:p>
        </w:tc>
      </w:tr>
      <w:tr>
        <w:tc>
          <w:tcPr>
            <w:tcW w:type="dxa" w:w="2268"/>
          </w:tcPr>
          <w:p>
            <w:r>
              <w:t>Cierres</w:t>
            </w:r>
          </w:p>
        </w:tc>
        <w:tc>
          <w:tcPr>
            <w:tcW w:type="dxa" w:w="7370"/>
          </w:tcPr>
          <w:p>
            <w:r>
              <w:t>Todos los del período con su esperado, declarado, diferencia y estado. Desde aquí se reimprime el cuadre en PDF y se corrige, y un interruptor deja ver solo los cuadres corregidos.</w:t>
            </w:r>
          </w:p>
        </w:tc>
      </w:tr>
      <w:tr>
        <w:tc>
          <w:tcPr>
            <w:tcW w:type="dxa" w:w="2268"/>
          </w:tcPr>
          <w:p>
            <w:r>
              <w:t>Resumen del día</w:t>
            </w:r>
          </w:p>
        </w:tc>
        <w:tc>
          <w:tcPr>
            <w:tcW w:type="dxa" w:w="7370"/>
          </w:tcPr>
          <w:p>
            <w:r>
              <w:t>El día de la sucursal sumado por forma de pago, con el aviso de cuántas cajas faltan por cuadrar.</w:t>
            </w:r>
          </w:p>
        </w:tc>
      </w:tr>
      <w:tr>
        <w:tc>
          <w:tcPr>
            <w:tcW w:type="dxa" w:w="2268"/>
          </w:tcPr>
          <w:p>
            <w:r>
              <w:t>Diferencias por cajera</w:t>
            </w:r>
          </w:p>
        </w:tc>
        <w:tc>
          <w:tcPr>
            <w:tcW w:type="dxa" w:w="7370"/>
          </w:tcPr>
          <w:p>
            <w:r>
              <w:t>Faltantes, sobrantes y neto de cada cajera en el período.</w:t>
            </w:r>
          </w:p>
        </w:tc>
      </w:tr>
      <w:tr>
        <w:tc>
          <w:tcPr>
            <w:tcW w:type="dxa" w:w="2268"/>
          </w:tcPr>
          <w:p>
            <w:r>
              <w:t>Retiros y relevos</w:t>
            </w:r>
          </w:p>
        </w:tc>
        <w:tc>
          <w:tcPr>
            <w:tcW w:type="dxa" w:w="7370"/>
          </w:tcPr>
          <w:p>
            <w:r>
              <w:t>Los retiros, reembolsos y relevos de los turnos, con su monto, su motivo y quién los autorizó.</w:t>
            </w:r>
          </w:p>
        </w:tc>
      </w:tr>
      <w:tr>
        <w:tc>
          <w:tcPr>
            <w:tcW w:type="dxa" w:w="2268"/>
          </w:tcPr>
          <w:p>
            <w:r>
              <w:t>Tarjetas</w:t>
            </w:r>
          </w:p>
        </w:tc>
        <w:tc>
          <w:tcPr>
            <w:tcW w:type="dxa" w:w="7370"/>
          </w:tcPr>
          <w:p>
            <w:r>
              <w:t>El lote que cerró cada caja contra lo aprobado en ella: transacciones, montos, diferencia y las aprobaciones que aparecen de un solo lado.</w:t>
            </w:r>
          </w:p>
        </w:tc>
      </w:tr>
      <w:tr>
        <w:tc>
          <w:tcPr>
            <w:tcW w:type="dxa" w:w="2268"/>
          </w:tcPr>
          <w:p>
            <w:r>
              <w:t>Caja parada</w:t>
            </w:r>
          </w:p>
        </w:tc>
        <w:tc>
          <w:tcPr>
            <w:tcW w:type="dxa" w:w="7370"/>
          </w:tcPr>
          <w:p>
            <w:r>
              <w:t>Cuánto estuvo parada cada caja y por qué: el total del período, el mismo tiempo visto por caja, por cajera y por motivo, y el detalle de cada parada. El tiempo previsto (almuerzo, receso) se cuenta aparte del imprevisto.</w:t>
            </w:r>
          </w:p>
        </w:tc>
      </w:tr>
    </w:tbl>
    <w:p/>
    <w:p>
      <w:r>
        <w:rPr>
          <w:i/>
          <w:color w:val="2E7D32"/>
        </w:rPr>
        <w:t>El turno cierra en la caja aunque el Central esté caído: el cuadre espera. La caja nunca se queda trancada por la red.</w:t>
      </w:r>
    </w:p>
    <w:p>
      <w:r>
        <w:rPr>
          <w:i/>
          <w:color w:val="2E7D32"/>
        </w:rPr>
        <w:t>Si el terminal no detalla su lote —depende del modelo—, en Tarjetas solo se ve lo de la caja: eso se compara a mano contra el comprobante que imprimió la terminal.</w:t>
      </w:r>
    </w:p>
    <w:p>
      <w:r>
        <w:rPr>
          <w:i/>
          <w:color w:val="2E7D32"/>
        </w:rPr>
        <w:t>Corregir no borra nada: queda lo que se había declarado, lo nuevo, el motivo y quién lo corrigió. Contabilidad corrige desde Cierres de caja, en el Central, incluso después de consolidar el día.</w:t>
      </w:r>
    </w:p>
    <w:p>
      <w:pPr>
        <w:pStyle w:val="Heading2"/>
      </w:pPr>
      <w:r>
        <w:t>2.19. Reportes</w:t>
      </w:r>
    </w:p>
    <w:p>
      <w:r>
        <w:t>Ruta: /reportes. Todos por rango de días y, si se quiere, por sucursal o caja. Cada uno se descarga en Excel y en PDF.</w:t>
      </w:r>
    </w:p>
    <w:tbl>
      <w:tblPr>
        <w:tblStyle w:val="TableGrid"/>
        <w:tblW w:type="auto" w:w="0"/>
        <w:tblLook w:firstColumn="1" w:firstRow="1" w:lastColumn="0" w:lastRow="0" w:noHBand="0" w:noVBand="1" w:val="04A0"/>
      </w:tblPr>
      <w:tblGrid>
        <w:gridCol w:w="4759"/>
        <w:gridCol w:w="4759"/>
      </w:tblGrid>
      <w:tr>
        <w:tc>
          <w:tcPr>
            <w:tcW w:type="dxa" w:w="2551"/>
          </w:tcPr>
          <w:p>
            <w:r/>
            <w:r>
              <w:rPr>
                <w:b/>
                <w:color w:val="1B4D3E"/>
              </w:rPr>
              <w:t>Reporte</w:t>
            </w:r>
          </w:p>
        </w:tc>
        <w:tc>
          <w:tcPr>
            <w:tcW w:type="dxa" w:w="7087"/>
          </w:tcPr>
          <w:p>
            <w:r/>
            <w:r>
              <w:rPr>
                <w:b/>
                <w:color w:val="1B4D3E"/>
              </w:rPr>
              <w:t>Qué muestra</w:t>
            </w:r>
          </w:p>
        </w:tc>
      </w:tr>
      <w:tr>
        <w:tc>
          <w:tcPr>
            <w:tcW w:type="dxa" w:w="2551"/>
          </w:tcPr>
          <w:p>
            <w:r>
              <w:t>Ventas</w:t>
            </w:r>
          </w:p>
        </w:tc>
        <w:tc>
          <w:tcPr>
            <w:tcW w:type="dxa" w:w="7087"/>
          </w:tcPr>
          <w:p>
            <w:r>
              <w:t>Por día, sucursal y caja: facturas, notas de crédito, subtotal, descuento, ITBIS y total.</w:t>
            </w:r>
          </w:p>
        </w:tc>
      </w:tr>
      <w:tr>
        <w:tc>
          <w:tcPr>
            <w:tcW w:type="dxa" w:w="2551"/>
          </w:tcPr>
          <w:p>
            <w:r>
              <w:t>ITBIS por tasa</w:t>
            </w:r>
          </w:p>
        </w:tc>
        <w:tc>
          <w:tcPr>
            <w:tcW w:type="dxa" w:w="7087"/>
          </w:tcPr>
          <w:p>
            <w:r>
              <w:t>Base e impuesto de cada tasa del período.</w:t>
            </w:r>
          </w:p>
        </w:tc>
      </w:tr>
      <w:tr>
        <w:tc>
          <w:tcPr>
            <w:tcW w:type="dxa" w:w="2551"/>
          </w:tcPr>
          <w:p>
            <w:r>
              <w:t>Formato 607</w:t>
            </w:r>
          </w:p>
        </w:tc>
        <w:tc>
          <w:tcPr>
            <w:tcW w:type="dxa" w:w="7087"/>
          </w:tcPr>
          <w:p>
            <w:r>
              <w:t>Un registro por comprobante para la DGII, con la descarga del archivo de envío.</w:t>
            </w:r>
          </w:p>
        </w:tc>
      </w:tr>
      <w:tr>
        <w:tc>
          <w:tcPr>
            <w:tcW w:type="dxa" w:w="2551"/>
          </w:tcPr>
          <w:p>
            <w:r>
              <w:t>Cuadres de caja</w:t>
            </w:r>
          </w:p>
        </w:tc>
        <w:tc>
          <w:tcPr>
            <w:tcW w:type="dxa" w:w="7087"/>
          </w:tcPr>
          <w:p>
            <w:r>
              <w:t>Turno, cajero, esperado, declarado y diferencia.</w:t>
            </w:r>
          </w:p>
        </w:tc>
      </w:tr>
      <w:tr>
        <w:tc>
          <w:tcPr>
            <w:tcW w:type="dxa" w:w="2551"/>
          </w:tcPr>
          <w:p>
            <w:r>
              <w:t>e-CF y DGII</w:t>
            </w:r>
          </w:p>
        </w:tc>
        <w:tc>
          <w:tcPr>
            <w:tcW w:type="dxa" w:w="7087"/>
          </w:tcPr>
          <w:p>
            <w:r>
              <w:t>Estado de cada comprobante enviado.</w:t>
            </w:r>
          </w:p>
        </w:tc>
      </w:tr>
      <w:tr>
        <w:tc>
          <w:tcPr>
            <w:tcW w:type="dxa" w:w="2551"/>
          </w:tcPr>
          <w:p>
            <w:r>
              <w:t>Sincronización</w:t>
            </w:r>
          </w:p>
        </w:tc>
        <w:tc>
          <w:tcPr>
            <w:tcW w:type="dxa" w:w="7087"/>
          </w:tcPr>
          <w:p>
            <w:r>
              <w:t>Última comunicación de cada caja, mensajes, rechazos y alertas.</w:t>
            </w:r>
          </w:p>
        </w:tc>
      </w:tr>
    </w:tbl>
    <w:p/>
    <w:p>
      <w:pPr>
        <w:pStyle w:val="Heading2"/>
      </w:pPr>
      <w:r>
        <w:t>2.20. Monitor de sincronización</w:t>
      </w:r>
    </w:p>
    <w:p>
      <w:pPr>
        <w:pStyle w:val="ListBullet"/>
      </w:pPr>
      <w:r>
        <w:t>/monitor: estado de cada caja, cuánto hace que no se comunica y cuántos documentos trae pendientes.</w:t>
      </w:r>
    </w:p>
    <w:p>
      <w:pPr>
        <w:pStyle w:val="ListBullet"/>
      </w:pPr>
      <w:r>
        <w:t>/monitor/conflictos: documentos que el Central no pudo aceptar (por ejemplo un número repetido), para resolverlos.</w:t>
      </w:r>
    </w:p>
    <w:p>
      <w:pPr>
        <w:pStyle w:val="Heading2"/>
      </w:pPr>
      <w:r>
        <w:t>2.21. Chequeador de precios</w:t>
      </w:r>
    </w:p>
    <w:p>
      <w:r>
        <w:t>Ruta: /chequeador/01, donde 01 es el código de la sucursal, en la pantalla que se pone en el pasillo de la tienda. Tecnología deja cada pantalla con la dirección de su sucursal, así el cliente nunca elige sucursal y siempre ve el precio y las ofertas de la tienda donde está parado. El cliente pasa el producto por el lector y ve la descripción, el precio grande, el precio por cantidad y la oferta que le conviene; la consulta se borra sola a los pocos segundos para el siguiente cliente. Los precios se muestran con el ITBIS ya sumado, que es lo que el cliente paga.</w:t>
      </w:r>
    </w:p>
    <w:p>
      <w:r>
        <w:rPr>
          <w:i/>
          <w:color w:val="2E7D32"/>
        </w:rPr>
        <w:t>Si el artículo tiene varias ofertas vigentes, el chequeador muestra solo la mejor, que es la que le va a aplicar la caja. Las ofertas no se suman entre sí, y verlas todas haría creer que sí.</w:t>
      </w:r>
    </w:p>
    <w:p>
      <w:r>
        <w:rPr>
          <w:i/>
          <w:color w:val="2E7D32"/>
        </w:rPr>
        <w:t>El chequeador viene apagado: se enciende en Parámetros, con Central.Chequeador.Habilitado.</w:t>
      </w:r>
    </w:p>
    <w:p>
      <w:r>
        <w:rPr>
          <w:i/>
          <w:color w:val="2E7D32"/>
        </w:rPr>
        <w:t>Si la dirección trae un código de sucursal que no existe o está inactiva, la pantalla dice «Página no encontrada» y no consulta nada: mostrar el precio de otra sucursal sería engañar al cliente.</w:t>
      </w:r>
    </w:p>
    <w:p>
      <w:r>
        <w:br w:type="page"/>
      </w:r>
    </w:p>
    <w:p>
      <w:pPr>
        <w:pStyle w:val="Heading1"/>
      </w:pPr>
      <w:r>
        <w:t>3. La caja, paso a paso</w:t>
      </w:r>
    </w:p>
    <w:p>
      <w:pPr>
        <w:pStyle w:val="Heading2"/>
      </w:pPr>
      <w:r>
        <w:t>3.1. Instalar una caja desde cero</w:t>
      </w:r>
    </w:p>
    <w:p>
      <w:r>
        <w:t>Cada caja tiene su propia base de datos en su propio equipo: por eso sigue vendiendo aunque se caiga la red. La instalación la hace tecnología, una sola vez por caja.</w:t>
      </w:r>
    </w:p>
    <w:p>
      <w:pPr>
        <w:pStyle w:val="ListNumber"/>
      </w:pPr>
      <w:r>
        <w:t>En el Central, cree la sucursal y la caja (Organización → Cajas), con la IP fija del equipo donde va a correr. Después, en el menú de esa caja, «Emitir credencial»: el secreto se muestra una sola vez, cópielo.</w:t>
      </w:r>
    </w:p>
    <w:p>
      <w:pPr>
        <w:pStyle w:val="ListNumber"/>
      </w:pPr>
      <w:r>
        <w:t>En el equipo de la caja, instale SQL Server Express y ejecute scripts/base-datos/estructura_base_datos_pos.sql. Crea la base CgPosCaja vacía: no lleva datos, todo baja del Central.</w:t>
      </w:r>
    </w:p>
    <w:p>
      <w:pPr>
        <w:pStyle w:val="ListNumber"/>
      </w:pPr>
      <w:r>
        <w:t>Instale el programa de la caja con scripts/caja/instalar-caja.ps1, indicando el número de sucursal, el de caja y la dirección del Central. No se le pide ninguna clave.</w:t>
      </w:r>
    </w:p>
    <w:p>
      <w:pPr>
        <w:pStyle w:val="ListNumber"/>
      </w:pPr>
      <w:r>
        <w:t>Arranque la caja y abra cualquiera de sus pantallas. Como todavía no sabe cuál es, le pedirá cinco datos: el código de su sucursal, el de la caja, la IP de ese equipo, la dirección del Central y la credencial que copió. Además le pedirá su usuario y contraseña del Central, para saber quién está montando esa caja.</w:t>
      </w:r>
    </w:p>
    <w:p>
      <w:pPr>
        <w:pStyle w:val="ListNumber"/>
      </w:pPr>
      <w:r>
        <w:t>Copie el certificado digital de la empresa en el equipo. El PIN no se guarda: lo digita un supervisor en la caja.</w:t>
      </w:r>
    </w:p>
    <w:p>
      <w:pPr>
        <w:pStyle w:val="ListNumber"/>
      </w:pPr>
      <w:r>
        <w:t>Ya con su credencial, la caja baja artículos, precios, usuarios, parámetros y sus rangos de comprobantes.</w:t>
      </w:r>
    </w:p>
    <w:p>
      <w:r>
        <w:rPr>
          <w:i/>
          <w:color w:val="2E7D32"/>
        </w:rPr>
        <w:t>Si la caja avisa que la base no existe o le faltan tablas, es que no se ejecutó el script en ese equipo.</w:t>
      </w:r>
    </w:p>
    <w:p>
      <w:r>
        <w:rPr>
          <w:i/>
          <w:color w:val="2E7D32"/>
        </w:rPr>
        <w:t>Quien configura una caja tiene que ser un usuario del Central con el permiso «Autorizar la configuración de una caja desde el propio equipo». El Central lo comprueba en el momento, junto con la credencial y la dirección del equipo, y deja anotado quién configuró esa caja. La contraseña no se guarda en la caja: solo el nombre del usuario.</w:t>
      </w:r>
    </w:p>
    <w:p>
      <w:r>
        <w:rPr>
          <w:i/>
          <w:color w:val="2E7D32"/>
        </w:rPr>
        <w:t>La credencial queda cifrada en la base de esa caja: no se vuelve a ver y copiarla a otra máquina no sirve. En cada comunicación el Central comprueba los cuatro datos juntos —sucursal, caja, IP y credencial—, así que dos cajas no pueden usar lo mismo.</w:t>
      </w:r>
    </w:p>
    <w:p>
      <w:pPr>
        <w:pStyle w:val="Heading3"/>
      </w:pPr>
      <w:r>
        <w:t>3.1.1. La impresora de tickets</w:t>
      </w:r>
    </w:p>
    <w:p>
      <w:r>
        <w:t>La caja imprime en la impresora térmica del mostrador. Se indica una sola vez, al instalarla, y hay tres formas según cómo esté conectada:</w:t>
      </w:r>
    </w:p>
    <w:tbl>
      <w:tblPr>
        <w:tblStyle w:val="TableGrid"/>
        <w:tblW w:type="auto" w:w="0"/>
        <w:tblLook w:firstColumn="1" w:firstRow="1" w:lastColumn="0" w:lastRow="0" w:noHBand="0" w:noVBand="1" w:val="04A0"/>
      </w:tblPr>
      <w:tblGrid>
        <w:gridCol w:w="3173"/>
        <w:gridCol w:w="3173"/>
        <w:gridCol w:w="3173"/>
      </w:tblGrid>
      <w:tr>
        <w:tc>
          <w:tcPr>
            <w:tcW w:type="dxa" w:w="1247"/>
          </w:tcPr>
          <w:p>
            <w:r/>
            <w:r>
              <w:rPr>
                <w:b/>
                <w:color w:val="1B4D3E"/>
              </w:rPr>
              <w:t>Tipo</w:t>
            </w:r>
          </w:p>
        </w:tc>
        <w:tc>
          <w:tcPr>
            <w:tcW w:type="dxa" w:w="3969"/>
          </w:tcPr>
          <w:p>
            <w:r/>
            <w:r>
              <w:rPr>
                <w:b/>
                <w:color w:val="1B4D3E"/>
              </w:rPr>
              <w:t>Cuándo se usa</w:t>
            </w:r>
          </w:p>
        </w:tc>
        <w:tc>
          <w:tcPr>
            <w:tcW w:type="dxa" w:w="4309"/>
          </w:tcPr>
          <w:p>
            <w:r/>
            <w:r>
              <w:rPr>
                <w:b/>
                <w:color w:val="1B4D3E"/>
              </w:rPr>
              <w:t>Qué se indica</w:t>
            </w:r>
          </w:p>
        </w:tc>
      </w:tr>
      <w:tr>
        <w:tc>
          <w:tcPr>
            <w:tcW w:type="dxa" w:w="1247"/>
          </w:tcPr>
          <w:p>
            <w:r>
              <w:t>Windows</w:t>
            </w:r>
          </w:p>
        </w:tc>
        <w:tc>
          <w:tcPr>
            <w:tcW w:type="dxa" w:w="3969"/>
          </w:tcPr>
          <w:p>
            <w:r>
              <w:t>La impresora está instalada en el equipo (USB o serie). Es lo más común.</w:t>
            </w:r>
          </w:p>
        </w:tc>
        <w:tc>
          <w:tcPr>
            <w:tcW w:type="dxa" w:w="4309"/>
          </w:tcPr>
          <w:p>
            <w:r>
              <w:t>El nombre exacto con el que aparece en Dispositivos e impresoras de Windows.</w:t>
            </w:r>
          </w:p>
        </w:tc>
      </w:tr>
      <w:tr>
        <w:tc>
          <w:tcPr>
            <w:tcW w:type="dxa" w:w="1247"/>
          </w:tcPr>
          <w:p>
            <w:r>
              <w:t>Red</w:t>
            </w:r>
          </w:p>
        </w:tc>
        <w:tc>
          <w:tcPr>
            <w:tcW w:type="dxa" w:w="3969"/>
          </w:tcPr>
          <w:p>
            <w:r>
              <w:t>La impresora tiene su propio puerto de red y su dirección.</w:t>
            </w:r>
          </w:p>
        </w:tc>
        <w:tc>
          <w:tcPr>
            <w:tcW w:type="dxa" w:w="4309"/>
          </w:tcPr>
          <w:p>
            <w:r>
              <w:t>Su dirección y su puerto (normalmente 9100).</w:t>
            </w:r>
          </w:p>
        </w:tc>
      </w:tr>
      <w:tr>
        <w:tc>
          <w:tcPr>
            <w:tcW w:type="dxa" w:w="1247"/>
          </w:tcPr>
          <w:p>
            <w:r>
              <w:t>Archivo</w:t>
            </w:r>
          </w:p>
        </w:tc>
        <w:tc>
          <w:tcPr>
            <w:tcW w:type="dxa" w:w="3969"/>
          </w:tcPr>
          <w:p>
            <w:r>
              <w:t>Todavía no hay impresora: sirve para probar la caja.</w:t>
            </w:r>
          </w:p>
        </w:tc>
        <w:tc>
          <w:tcPr>
            <w:tcW w:type="dxa" w:w="4309"/>
          </w:tcPr>
          <w:p>
            <w:r>
              <w:t>La carpeta donde se van guardando los tickets.</w:t>
            </w:r>
          </w:p>
        </w:tc>
      </w:tr>
    </w:tbl>
    <w:p/>
    <w:p>
      <w:r>
        <w:rPr>
          <w:i/>
          <w:color w:val="2E7D32"/>
        </w:rPr>
        <w:t>La gaveta del dinero se conecta a la impresora, no al equipo: se abre con un pulso que viaja por el mismo cable. Por eso no se configura aparte.</w:t>
      </w:r>
    </w:p>
    <w:p>
      <w:r>
        <w:rPr>
          <w:i/>
          <w:color w:val="2E7D32"/>
        </w:rPr>
        <w:t>Si cambia la impresora de una caja, hay que reiniciar el servicio de la caja para que lo tome.</w:t>
      </w:r>
    </w:p>
    <w:p>
      <w:pPr>
        <w:pStyle w:val="Heading3"/>
      </w:pPr>
      <w:r>
        <w:t>3.1.2. La publicidad de la pantalla del cliente</w:t>
      </w:r>
    </w:p>
    <w:p>
      <w:r>
        <w:t>El segundo monitor muestra la venta y, al lado, la publicidad del negocio. Los archivos se copian en la carpeta C:\CGPOS\Publicidad del equipo de esa caja y se muestran en orden alfabético, así que conviene nombrarlos 01-..., 02-... y así.</w:t>
      </w:r>
    </w:p>
    <w:tbl>
      <w:tblPr>
        <w:tblStyle w:val="TableGrid"/>
        <w:tblW w:type="auto" w:w="0"/>
        <w:tblLook w:firstColumn="1" w:firstRow="1" w:lastColumn="0" w:lastRow="0" w:noHBand="0" w:noVBand="1" w:val="04A0"/>
      </w:tblPr>
      <w:tblGrid>
        <w:gridCol w:w="3173"/>
        <w:gridCol w:w="3173"/>
        <w:gridCol w:w="3173"/>
      </w:tblGrid>
      <w:tr>
        <w:tc>
          <w:tcPr>
            <w:tcW w:type="dxa" w:w="1814"/>
          </w:tcPr>
          <w:p>
            <w:r/>
            <w:r>
              <w:rPr>
                <w:b/>
                <w:color w:val="1B4D3E"/>
              </w:rPr>
              <w:t>Qué se puede poner</w:t>
            </w:r>
          </w:p>
        </w:tc>
        <w:tc>
          <w:tcPr>
            <w:tcW w:type="dxa" w:w="3118"/>
          </w:tcPr>
          <w:p>
            <w:r/>
            <w:r>
              <w:rPr>
                <w:b/>
                <w:color w:val="1B4D3E"/>
              </w:rPr>
              <w:t>Formatos</w:t>
            </w:r>
          </w:p>
        </w:tc>
        <w:tc>
          <w:tcPr>
            <w:tcW w:type="dxa" w:w="4592"/>
          </w:tcPr>
          <w:p>
            <w:r/>
            <w:r>
              <w:rPr>
                <w:b/>
                <w:color w:val="1B4D3E"/>
              </w:rPr>
              <w:t>Cuánto dura en pantalla</w:t>
            </w:r>
          </w:p>
        </w:tc>
      </w:tr>
      <w:tr>
        <w:tc>
          <w:tcPr>
            <w:tcW w:type="dxa" w:w="1814"/>
          </w:tcPr>
          <w:p>
            <w:r>
              <w:t>Imágenes</w:t>
            </w:r>
          </w:p>
        </w:tc>
        <w:tc>
          <w:tcPr>
            <w:tcW w:type="dxa" w:w="3118"/>
          </w:tcPr>
          <w:p>
            <w:r>
              <w:t>.png, .jpg, .jpeg, .webp, .svg</w:t>
            </w:r>
          </w:p>
        </w:tc>
        <w:tc>
          <w:tcPr>
            <w:tcW w:type="dxa" w:w="4592"/>
          </w:tcPr>
          <w:p>
            <w:r>
              <w:t>Los segundos del parámetro Pantallas.SegundosPorImagen</w:t>
            </w:r>
          </w:p>
        </w:tc>
      </w:tr>
      <w:tr>
        <w:tc>
          <w:tcPr>
            <w:tcW w:type="dxa" w:w="1814"/>
          </w:tcPr>
          <w:p>
            <w:r>
              <w:t>Videos</w:t>
            </w:r>
          </w:p>
        </w:tc>
        <w:tc>
          <w:tcPr>
            <w:tcW w:type="dxa" w:w="3118"/>
          </w:tcPr>
          <w:p>
            <w:r>
              <w:t>.mp4, .webm</w:t>
            </w:r>
          </w:p>
        </w:tc>
        <w:tc>
          <w:tcPr>
            <w:tcW w:type="dxa" w:w="4592"/>
          </w:tcPr>
          <w:p>
            <w:r>
              <w:t>Lo que dure el video: se reproduce completo y sin sonido</w:t>
            </w:r>
          </w:p>
        </w:tc>
      </w:tr>
    </w:tbl>
    <w:p/>
    <w:p>
      <w:r>
        <w:rPr>
          <w:i/>
          <w:color w:val="2E7D32"/>
        </w:rPr>
        <w:t>Los archivos se pueden cambiar con la caja encendida: entran solos cuando el carrusel termina la vuelta, sin reiniciar nada. Y si cambia los segundos por imagen en el Central, la pantalla lo toma en cuanto la caja sincroniza.</w:t>
      </w:r>
    </w:p>
    <w:p>
      <w:r>
        <w:rPr>
          <w:i/>
          <w:color w:val="2E7D32"/>
        </w:rPr>
        <w:t>Un video .avi o .mov no se ve: conviértalo a .mp4 antes de copiarlo. Sin bocinas no se pierde nada, porque el video va siempre sin sonido.</w:t>
      </w:r>
    </w:p>
    <w:p>
      <w:pPr>
        <w:pStyle w:val="Heading3"/>
      </w:pPr>
      <w:r>
        <w:t>3.1.3. Cambiar una caja de equipo</w:t>
      </w:r>
    </w:p>
    <w:p>
      <w:r>
        <w:t>El equipo de la caja se dañó, se reinstaló Windows o se reemplaza por otro. La caja es la misma; lo que cambia es la máquina.</w:t>
      </w:r>
    </w:p>
    <w:p>
      <w:pPr>
        <w:pStyle w:val="ListNumber"/>
      </w:pPr>
      <w:r>
        <w:t>En el Central, Organización → Cajas, edite la caja y ponga la IP del equipo nuevo; después emítale una credencial nueva.</w:t>
      </w:r>
    </w:p>
    <w:p>
      <w:pPr>
        <w:pStyle w:val="ListNumber"/>
      </w:pPr>
      <w:r>
        <w:t>Instale la caja en el equipo nuevo, con la misma sucursal y el mismo número.</w:t>
      </w:r>
    </w:p>
    <w:p>
      <w:pPr>
        <w:pStyle w:val="ListNumber"/>
      </w:pPr>
      <w:r>
        <w:t>Arránquela y llene su pantalla de configuración con los mismos códigos, la IP nueva y la credencial nueva.</w:t>
      </w:r>
    </w:p>
    <w:p>
      <w:r>
        <w:rPr>
          <w:i/>
          <w:color w:val="2E7D32"/>
        </w:rPr>
        <w:t>Si el equipo se perdió o se lo robaron, revoque la credencial de inmediato: la anterior deja de servir aunque enciendan el equipo.</w:t>
      </w:r>
    </w:p>
    <w:p>
      <w:r>
        <w:rPr>
          <w:i/>
          <w:color w:val="2E7D32"/>
        </w:rPr>
        <w:t>Mientras los datos no cuadren, la caja sigue vendiendo con lo que tiene en su base; lo que no hace es sincronizar. En su barra de estado dirá «Sin conexión (credenciales)», para distinguirlo de quedarse sin red.</w:t>
      </w:r>
    </w:p>
    <w:p>
      <w:pPr>
        <w:pStyle w:val="Heading2"/>
      </w:pPr>
      <w:r>
        <w:t>3.2. Entrar a la caja</w:t>
      </w:r>
    </w:p>
    <w:p>
      <w:pPr>
        <w:pStyle w:val="ListNumber"/>
      </w:pPr>
      <w:r>
        <w:t>En la pantalla de ingreso digite su usuario y su clave (no hay PIN ni carné: siempre usuario y clave).</w:t>
      </w:r>
    </w:p>
    <w:p>
      <w:r>
        <w:rPr>
          <w:i/>
          <w:color w:val="2E7D32"/>
        </w:rPr>
        <w:t>Una caja recién configurada tarda en tener sus datos: mientras el Central se los manda, la pantalla dice «Actualizando los datos de la caja…», en qué anda y cuántos artículos lleva de cuántos. No hay nada que hacer, solo esperar: la pantalla se habilita sola al terminar. Si en vez de eso sale un aviso rojo, ahí sí hay algo que revisar, y debajo dice qué fue lo que no se pudo aplicar.</w:t>
      </w:r>
    </w:p>
    <w:p>
      <w:pPr>
        <w:pStyle w:val="ListNumber"/>
      </w:pPr>
      <w:r>
        <w:t>Si se equivoca varias veces seguidas, el usuario se bloquea por unos minutos; un supervisor lo desbloquea desde el Central.</w:t>
      </w:r>
    </w:p>
    <w:p>
      <w:pPr>
        <w:pStyle w:val="ListNumber"/>
      </w:pPr>
      <w:r>
        <w:t>Si la caja no tiene turno abierto, el sistema le pide abrirlo.</w:t>
      </w:r>
    </w:p>
    <w:p>
      <w:pPr>
        <w:pStyle w:val="Heading2"/>
      </w:pPr>
      <w:r>
        <w:t>3.3. Abrir el turno</w:t>
      </w:r>
    </w:p>
    <w:p>
      <w:r>
        <w:t>El turno es el período de trabajo de un cajero en esa caja. Solo puede haber un turno abierto por caja.</w:t>
      </w:r>
    </w:p>
    <w:p>
      <w:pPr>
        <w:pStyle w:val="ListBullet"/>
      </w:pPr>
      <w:r>
        <w:t>Al abrir se digita el fondo de caja (el sistema sugiere el monto configurado).</w:t>
      </w:r>
    </w:p>
    <w:p>
      <w:pPr>
        <w:pStyle w:val="ListBullet"/>
      </w:pPr>
      <w:r>
        <w:t>Si la caja tiene abierto el turno de otro cajero, aparece Relevar turno: con la autorización de un supervisor, usted toma el turno sin cerrarlo ni cuadrar. El turno sigue siendo del que lo abrió, y quien lo cierra es quien esté operando en ese momento.</w:t>
      </w:r>
    </w:p>
    <w:p>
      <w:pPr>
        <w:pStyle w:val="ListBullet"/>
      </w:pPr>
      <w:r>
        <w:t>La venta que está en pantalla y las facturas en espera son del turno, no del cajero: al relevar, el que entra las encuentra tal como estaban y puede seguirlas, cobrarlas, guardarlas o limpiarlas. La factura queda a nombre de quien la cobra, aunque la haya empezado el otro; en la auditoría se ve quién hizo cada cosa.</w:t>
      </w:r>
    </w:p>
    <w:p>
      <w:pPr>
        <w:pStyle w:val="ListBullet"/>
      </w:pPr>
      <w:r>
        <w:t>Cerrar el turno es definitivo: la caja no puede volver atrás. Cuente con calma antes de cerrar; si de todos modos quedó mal, la corrección se hace en el Central.</w:t>
      </w:r>
    </w:p>
    <w:p>
      <w:pPr>
        <w:pStyle w:val="ListBullet"/>
      </w:pPr>
      <w:r>
        <w:t>Si el turno quedó abierto de un día anterior, la caja no vende ni cobra: sale un aviso rojo fijo y no deja escanear, dar descuentos ni cobrar. Sí deja limpiar la pantalla, eliminar líneas, poner en espera y retomar, para dejar el turno listo. Hay que cerrarlo y abrir uno nuevo. Esta regla se puede apagar en el Central con el parámetro Caja.BloquearVentaTurnoDiaAnterior (viene encendido).</w:t>
      </w:r>
    </w:p>
    <w:p>
      <w:pPr>
        <w:pStyle w:val="Heading2"/>
      </w:pPr>
      <w:r>
        <w:t>3.4. La pantalla de ventas principal</w:t>
      </w:r>
    </w:p>
    <w:p>
      <w:r>
        <w:t>La pantalla está dividida en cinco zonas:</w:t>
      </w:r>
    </w:p>
    <w:tbl>
      <w:tblPr>
        <w:tblStyle w:val="TableGrid"/>
        <w:tblW w:type="auto" w:w="0"/>
        <w:tblLook w:firstColumn="1" w:firstRow="1" w:lastColumn="0" w:lastRow="0" w:noHBand="0" w:noVBand="1" w:val="04A0"/>
      </w:tblPr>
      <w:tblGrid>
        <w:gridCol w:w="4759"/>
        <w:gridCol w:w="4759"/>
      </w:tblGrid>
      <w:tr>
        <w:tc>
          <w:tcPr>
            <w:tcW w:type="dxa" w:w="2835"/>
          </w:tcPr>
          <w:p>
            <w:r/>
            <w:r>
              <w:rPr>
                <w:b/>
                <w:color w:val="1B4D3E"/>
              </w:rPr>
              <w:t>Zona</w:t>
            </w:r>
          </w:p>
        </w:tc>
        <w:tc>
          <w:tcPr>
            <w:tcW w:type="dxa" w:w="6803"/>
          </w:tcPr>
          <w:p>
            <w:r/>
            <w:r>
              <w:rPr>
                <w:b/>
                <w:color w:val="1B4D3E"/>
              </w:rPr>
              <w:t>Para qué sirve</w:t>
            </w:r>
          </w:p>
        </w:tc>
      </w:tr>
      <w:tr>
        <w:tc>
          <w:tcPr>
            <w:tcW w:type="dxa" w:w="2835"/>
          </w:tcPr>
          <w:p>
            <w:r>
              <w:t>Encabezado izquierdo</w:t>
            </w:r>
          </w:p>
        </w:tc>
        <w:tc>
          <w:tcPr>
            <w:tcW w:type="dxa" w:w="6803"/>
          </w:tcPr>
          <w:p>
            <w:r>
              <w:t>Tipo de comprobante que se va a emitir (E31, E32, E44 o E45). Al tocarlo se abre el cliente.</w:t>
            </w:r>
          </w:p>
        </w:tc>
      </w:tr>
      <w:tr>
        <w:tc>
          <w:tcPr>
            <w:tcW w:type="dxa" w:w="2835"/>
          </w:tcPr>
          <w:p>
            <w:r>
              <w:t>Encabezado central</w:t>
            </w:r>
          </w:p>
        </w:tc>
        <w:tc>
          <w:tcPr>
            <w:tcW w:type="dxa" w:w="6803"/>
          </w:tcPr>
          <w:p>
            <w:r>
              <w:t>Cliente de la factura, número de factura que le tocará (se toma de verdad al cobrar: si otra venta se cobra antes, esta pasa al siguiente), cantidad de artículos, límite de compra, programa de fidelidad y lista de boda.</w:t>
            </w:r>
          </w:p>
        </w:tc>
      </w:tr>
      <w:tr>
        <w:tc>
          <w:tcPr>
            <w:tcW w:type="dxa" w:w="2835"/>
          </w:tcPr>
          <w:p>
            <w:r>
              <w:t>Encabezado derecho</w:t>
            </w:r>
          </w:p>
        </w:tc>
        <w:tc>
          <w:tcPr>
            <w:tcW w:type="dxa" w:w="6803"/>
          </w:tcPr>
          <w:p>
            <w:r>
              <w:t>Subtotal (la suma de las líneas, sin ITBIS), ITBIS (o el aviso de exenta en régimen especial), descuentos, TOTAL (subtotal más ITBIS) y, en facturas gubernamentales con retención, el total a pagar.</w:t>
            </w:r>
          </w:p>
        </w:tc>
      </w:tr>
      <w:tr>
        <w:tc>
          <w:tcPr>
            <w:tcW w:type="dxa" w:w="2835"/>
          </w:tcPr>
          <w:p>
            <w:r>
              <w:t>Campo de escaneo</w:t>
            </w:r>
          </w:p>
        </w:tc>
        <w:tc>
          <w:tcPr>
            <w:tcW w:type="dxa" w:w="6803"/>
          </w:tcPr>
          <w:p>
            <w:r>
              <w:t>Donde el lector escribe el código. También se puede digitar. Si se escribe algo mal, la ✕ del final del campo lo borra, y la tecla Esc hace lo mismo sin soltar el teclado. A su derecha: catálogo, teclado en pantalla, Buscar (F2), Totalizar (F8) y el botón ☰ que abre el panel de funciones.</w:t>
            </w:r>
          </w:p>
        </w:tc>
      </w:tr>
      <w:tr>
        <w:tc>
          <w:tcPr>
            <w:tcW w:type="dxa" w:w="2835"/>
          </w:tcPr>
          <w:p>
            <w:r>
              <w:t>Grilla de líneas</w:t>
            </w:r>
          </w:p>
        </w:tc>
        <w:tc>
          <w:tcPr>
            <w:tcW w:type="dxa" w:w="6803"/>
          </w:tcPr>
          <w:p>
            <w:r>
              <w:t>Los artículos de la venta: línea, código, descripción, cantidad, precio y subtotal sin ITBIS, y la oferta aplicada. El último escaneado sale arriba del todo, así que en una venta larga no hay que desplazar la lista para comprobar lo que acaba de entrar; el número de línea sigue diciendo en qué orden se agregaron.</w:t>
            </w:r>
          </w:p>
        </w:tc>
      </w:tr>
      <w:tr>
        <w:tc>
          <w:tcPr>
            <w:tcW w:type="dxa" w:w="2835"/>
          </w:tcPr>
          <w:p>
            <w:r>
              <w:t>Panel de funciones (☰)</w:t>
            </w:r>
          </w:p>
        </w:tc>
        <w:tc>
          <w:tcPr>
            <w:tcW w:type="dxa" w:w="6803"/>
          </w:tcPr>
          <w:p>
            <w:r>
              <w:t>Se despliega desde la derecha con todas las funciones. Se cierra solo al elegir una, al tocar fuera o al escanear: lo que se lee va a la venta.</w:t>
            </w:r>
          </w:p>
        </w:tc>
      </w:tr>
      <w:tr>
        <w:tc>
          <w:tcPr>
            <w:tcW w:type="dxa" w:w="2835"/>
          </w:tcPr>
          <w:p>
            <w:r>
              <w:t>Barra de estado (abajo)</w:t>
            </w:r>
          </w:p>
        </w:tc>
        <w:tc>
          <w:tcPr>
            <w:tcW w:type="dxa" w:w="6803"/>
          </w:tcPr>
          <w:p>
            <w:r>
              <w:t>Usuario, caja, turno, versión, estado del certificado e-CF y estado de la sincronización con el Central.</w:t>
            </w:r>
          </w:p>
        </w:tc>
      </w:tr>
    </w:tbl>
    <w:p/>
    <w:p>
      <w:r>
        <w:rPr>
          <w:i/>
          <w:color w:val="2E7D32"/>
        </w:rPr>
        <w:t>Los avisos que salen bajo la barra de escaneo —un error, un rango de e-CF por acabarse, una advertencia— se quitan solos a los 6 segundos, y también se pueden cerrar con la ✕. El tiempo se cambia en el Central con el parámetro «Pantallas.SegundosAviso», en general, por sucursal o por caja; con 0 el aviso se queda hasta que el cajero lo cierre. Lo que no se va es lo que describe una situación que sigue: el turno de un día anterior, la factura que exige la cédula o el límite de compra pasado.</w:t>
      </w:r>
    </w:p>
    <w:p>
      <w:pPr>
        <w:pStyle w:val="Heading2"/>
      </w:pPr>
      <w:r>
        <w:t>3.5. La pantalla de ventas secundaria</w:t>
      </w:r>
    </w:p>
    <w:p>
      <w:r>
        <w:t>La caja tiene tres pantallas, cada una en su monitor: la de ventas principal (con lector y teclado), la de ventas secundaria (táctil, con el catálogo en mosaicos, como el mostrador de una cafetería) y la del cliente. Las abre el equipo al encenderse; no hay que navegar de una a otra.</w:t>
      </w:r>
    </w:p>
    <w:p>
      <w:r>
        <w:t>La pantalla de ventas secundaria trabaja la misma venta que la principal: lo que se agrega en una aparece en la otra al instante, y se cobra desde cualquiera de las dos.</w:t>
      </w:r>
    </w:p>
    <w:tbl>
      <w:tblPr>
        <w:tblStyle w:val="TableGrid"/>
        <w:tblW w:type="auto" w:w="0"/>
        <w:tblLook w:firstColumn="1" w:firstRow="1" w:lastColumn="0" w:lastRow="0" w:noHBand="0" w:noVBand="1" w:val="04A0"/>
      </w:tblPr>
      <w:tblGrid>
        <w:gridCol w:w="4759"/>
        <w:gridCol w:w="4759"/>
      </w:tblGrid>
      <w:tr>
        <w:tc>
          <w:tcPr>
            <w:tcW w:type="dxa" w:w="3118"/>
          </w:tcPr>
          <w:p>
            <w:r/>
            <w:r>
              <w:rPr>
                <w:b/>
                <w:color w:val="1B4D3E"/>
              </w:rPr>
              <w:t>Parte de la pantalla</w:t>
            </w:r>
          </w:p>
        </w:tc>
        <w:tc>
          <w:tcPr>
            <w:tcW w:type="dxa" w:w="6520"/>
          </w:tcPr>
          <w:p>
            <w:r/>
            <w:r>
              <w:rPr>
                <w:b/>
                <w:color w:val="1B4D3E"/>
              </w:rPr>
              <w:t>Qué hace</w:t>
            </w:r>
          </w:p>
        </w:tc>
      </w:tr>
      <w:tr>
        <w:tc>
          <w:tcPr>
            <w:tcW w:type="dxa" w:w="3118"/>
          </w:tcPr>
          <w:p>
            <w:r>
              <w:t>Columna izquierda</w:t>
            </w:r>
          </w:p>
        </w:tc>
        <w:tc>
          <w:tcPr>
            <w:tcW w:type="dxa" w:w="6520"/>
          </w:tcPr>
          <w:p>
            <w:r>
              <w:t>La venta: sus líneas, los totales y el botón Cobrar. Al tocar el encabezado se abre cliente y comprobante.</w:t>
            </w:r>
          </w:p>
        </w:tc>
      </w:tr>
      <w:tr>
        <w:tc>
          <w:tcPr>
            <w:tcW w:type="dxa" w:w="3118"/>
          </w:tcPr>
          <w:p>
            <w:r>
              <w:t>Tocar una línea</w:t>
            </w:r>
          </w:p>
        </w:tc>
        <w:tc>
          <w:tcPr>
            <w:tcW w:type="dxa" w:w="6520"/>
          </w:tcPr>
          <w:p>
            <w:r>
              <w:t>La selecciona; con los botones de abajo se cambia la cantidad o se quita (la de quitar pide autorización).</w:t>
            </w:r>
          </w:p>
        </w:tc>
      </w:tr>
      <w:tr>
        <w:tc>
          <w:tcPr>
            <w:tcW w:type="dxa" w:w="3118"/>
          </w:tcPr>
          <w:p>
            <w:r>
              <w:t>Buscador (arriba a la derecha)</w:t>
            </w:r>
          </w:p>
        </w:tc>
        <w:tc>
          <w:tcPr>
            <w:tcW w:type="dxa" w:w="6520"/>
          </w:tcPr>
          <w:p>
            <w:r>
              <w:t>Busca por descripción o por código lo que no está en los mosaicos.</w:t>
            </w:r>
          </w:p>
        </w:tc>
      </w:tr>
      <w:tr>
        <w:tc>
          <w:tcPr>
            <w:tcW w:type="dxa" w:w="3118"/>
          </w:tcPr>
          <w:p>
            <w:r>
              <w:t>Pestañas de departamento y categoría</w:t>
            </w:r>
          </w:p>
        </w:tc>
        <w:tc>
          <w:tcPr>
            <w:tcW w:type="dxa" w:w="6520"/>
          </w:tcPr>
          <w:p>
            <w:r>
              <w:t>Filtran los mosaicos, como las secciones de un menú.</w:t>
            </w:r>
          </w:p>
        </w:tc>
      </w:tr>
      <w:tr>
        <w:tc>
          <w:tcPr>
            <w:tcW w:type="dxa" w:w="3118"/>
          </w:tcPr>
          <w:p>
            <w:r>
              <w:t>Mosaicos</w:t>
            </w:r>
          </w:p>
        </w:tc>
        <w:tc>
          <w:tcPr>
            <w:tcW w:type="dxa" w:w="6520"/>
          </w:tcPr>
          <w:p>
            <w:r>
              <w:t>Un toque agrega el artículo con su imagen y su precio. Aparecen los artículos marcados para el catálogo.</w:t>
            </w:r>
          </w:p>
        </w:tc>
      </w:tr>
      <w:tr>
        <w:tc>
          <w:tcPr>
            <w:tcW w:type="dxa" w:w="3118"/>
          </w:tcPr>
          <w:p>
            <w:r>
              <w:t>Barra de abajo</w:t>
            </w:r>
          </w:p>
        </w:tc>
        <w:tc>
          <w:tcPr>
            <w:tcW w:type="dxa" w:w="6520"/>
          </w:tcPr>
          <w:p>
            <w:r>
              <w:t>Cliente, consulta de precio, facturas en espera y devoluciones.</w:t>
            </w:r>
          </w:p>
        </w:tc>
      </w:tr>
    </w:tbl>
    <w:p/>
    <w:p>
      <w:r>
        <w:rPr>
          <w:i/>
          <w:color w:val="2E7D32"/>
        </w:rPr>
        <w:t>Los artículos que se pesan o que piden serial se atienden mejor en la pantalla principal; desde la secundaria se agrega una unidad y luego se ajusta la cantidad.</w:t>
      </w:r>
    </w:p>
    <w:p>
      <w:pPr>
        <w:pStyle w:val="Heading2"/>
      </w:pPr>
      <w:r>
        <w:t>3.6. Las teclas de función</w:t>
      </w:r>
    </w:p>
    <w:p>
      <w:r>
        <w:t>Buscar (F2) y Totalizar (F8) están siempre a la vista, junto al campo de escaneo. Todas las demás están en el panel de funciones, que se abre con el botón ☰. Las teclas F del teclado físico funcionan siempre, con el panel abierto o cerrado.</w:t>
      </w:r>
    </w:p>
    <w:p>
      <w:r>
        <w:t>Teclas de función:</w:t>
      </w:r>
    </w:p>
    <w:tbl>
      <w:tblPr>
        <w:tblStyle w:val="TableGrid"/>
        <w:tblW w:type="auto" w:w="0"/>
        <w:tblLook w:firstColumn="1" w:firstRow="1" w:lastColumn="0" w:lastRow="0" w:noHBand="0" w:noVBand="1" w:val="04A0"/>
      </w:tblPr>
      <w:tblGrid>
        <w:gridCol w:w="4759"/>
        <w:gridCol w:w="4759"/>
      </w:tblGrid>
      <w:tr>
        <w:tc>
          <w:tcPr>
            <w:tcW w:type="dxa" w:w="1701"/>
          </w:tcPr>
          <w:p>
            <w:r/>
            <w:r>
              <w:rPr>
                <w:b/>
                <w:color w:val="1B4D3E"/>
              </w:rPr>
              <w:t>Tecla</w:t>
            </w:r>
          </w:p>
        </w:tc>
        <w:tc>
          <w:tcPr>
            <w:tcW w:type="dxa" w:w="7937"/>
          </w:tcPr>
          <w:p>
            <w:r/>
            <w:r>
              <w:rPr>
                <w:b/>
                <w:color w:val="1B4D3E"/>
              </w:rPr>
              <w:t>Qué hace</w:t>
            </w:r>
          </w:p>
        </w:tc>
      </w:tr>
      <w:tr>
        <w:tc>
          <w:tcPr>
            <w:tcW w:type="dxa" w:w="1701"/>
          </w:tcPr>
          <w:p>
            <w:r>
              <w:t>F2</w:t>
            </w:r>
          </w:p>
        </w:tc>
        <w:tc>
          <w:tcPr>
            <w:tcW w:type="dxa" w:w="7937"/>
          </w:tcPr>
          <w:p>
            <w:r>
              <w:t>Buscar un artículo por descripción</w:t>
            </w:r>
          </w:p>
        </w:tc>
      </w:tr>
      <w:tr>
        <w:tc>
          <w:tcPr>
            <w:tcW w:type="dxa" w:w="1701"/>
          </w:tcPr>
          <w:p>
            <w:r>
              <w:t>F3</w:t>
            </w:r>
          </w:p>
        </w:tc>
        <w:tc>
          <w:tcPr>
            <w:tcW w:type="dxa" w:w="7937"/>
          </w:tcPr>
          <w:p>
            <w:r>
              <w:t>Límite de compra que pidió el cliente: avisa al pasarse y, al totalizar, pide confirmar «¿Cobrar de todas formas?» (queda en la auditoría)</w:t>
            </w:r>
          </w:p>
        </w:tc>
      </w:tr>
      <w:tr>
        <w:tc>
          <w:tcPr>
            <w:tcW w:type="dxa" w:w="1701"/>
          </w:tcPr>
          <w:p>
            <w:r>
              <w:t>F4</w:t>
            </w:r>
          </w:p>
        </w:tc>
        <w:tc>
          <w:tcPr>
            <w:tcW w:type="dxa" w:w="7937"/>
          </w:tcPr>
          <w:p>
            <w:r>
              <w:t>Cambiar la cantidad de la línea seleccionada</w:t>
            </w:r>
          </w:p>
        </w:tc>
      </w:tr>
      <w:tr>
        <w:tc>
          <w:tcPr>
            <w:tcW w:type="dxa" w:w="1701"/>
          </w:tcPr>
          <w:p>
            <w:r>
              <w:t>F5</w:t>
            </w:r>
          </w:p>
        </w:tc>
        <w:tc>
          <w:tcPr>
            <w:tcW w:type="dxa" w:w="7937"/>
          </w:tcPr>
          <w:p>
            <w:r>
              <w:t>Tomar el peso de la balanza</w:t>
            </w:r>
          </w:p>
        </w:tc>
      </w:tr>
      <w:tr>
        <w:tc>
          <w:tcPr>
            <w:tcW w:type="dxa" w:w="1701"/>
          </w:tcPr>
          <w:p>
            <w:r>
              <w:t>F6</w:t>
            </w:r>
          </w:p>
        </w:tc>
        <w:tc>
          <w:tcPr>
            <w:tcW w:type="dxa" w:w="7937"/>
          </w:tcPr>
          <w:p>
            <w:r>
              <w:t>Lista de boda: asociar la venta a una lista de regalos</w:t>
            </w:r>
          </w:p>
        </w:tc>
      </w:tr>
      <w:tr>
        <w:tc>
          <w:tcPr>
            <w:tcW w:type="dxa" w:w="1701"/>
          </w:tcPr>
          <w:p>
            <w:r>
              <w:t>F7</w:t>
            </w:r>
          </w:p>
        </w:tc>
        <w:tc>
          <w:tcPr>
            <w:tcW w:type="dxa" w:w="7937"/>
          </w:tcPr>
          <w:p>
            <w:r>
              <w:t>Facturas en espera (guardar la actual y retomar otra)</w:t>
            </w:r>
          </w:p>
        </w:tc>
      </w:tr>
      <w:tr>
        <w:tc>
          <w:tcPr>
            <w:tcW w:type="dxa" w:w="1701"/>
          </w:tcPr>
          <w:p>
            <w:r>
              <w:t>F8</w:t>
            </w:r>
          </w:p>
        </w:tc>
        <w:tc>
          <w:tcPr>
            <w:tcW w:type="dxa" w:w="7937"/>
          </w:tcPr>
          <w:p>
            <w:r>
              <w:t>Totalizar: abre el cobro</w:t>
            </w:r>
          </w:p>
        </w:tc>
      </w:tr>
      <w:tr>
        <w:tc>
          <w:tcPr>
            <w:tcW w:type="dxa" w:w="1701"/>
          </w:tcPr>
          <w:p>
            <w:r>
              <w:t>F9</w:t>
            </w:r>
          </w:p>
        </w:tc>
        <w:tc>
          <w:tcPr>
            <w:tcW w:type="dxa" w:w="7937"/>
          </w:tcPr>
          <w:p>
            <w:r>
              <w:t>Cotización: traer un presupuesto hecho en el Central</w:t>
            </w:r>
          </w:p>
        </w:tc>
      </w:tr>
      <w:tr>
        <w:tc>
          <w:tcPr>
            <w:tcW w:type="dxa" w:w="1701"/>
          </w:tcPr>
          <w:p>
            <w:r>
              <w:t>F10</w:t>
            </w:r>
          </w:p>
        </w:tc>
        <w:tc>
          <w:tcPr>
            <w:tcW w:type="dxa" w:w="7937"/>
          </w:tcPr>
          <w:p>
            <w:r>
              <w:t>Ir a devoluciones</w:t>
            </w:r>
          </w:p>
        </w:tc>
      </w:tr>
      <w:tr>
        <w:tc>
          <w:tcPr>
            <w:tcW w:type="dxa" w:w="1701"/>
          </w:tcPr>
          <w:p>
            <w:r>
              <w:t>F11</w:t>
            </w:r>
          </w:p>
        </w:tc>
        <w:tc>
          <w:tcPr>
            <w:tcW w:type="dxa" w:w="7937"/>
          </w:tcPr>
          <w:p>
            <w:r>
              <w:t>Consultar el precio de un artículo sin venderlo</w:t>
            </w:r>
          </w:p>
        </w:tc>
      </w:tr>
      <w:tr>
        <w:tc>
          <w:tcPr>
            <w:tcW w:type="dxa" w:w="1701"/>
          </w:tcPr>
          <w:p>
            <w:r>
              <w:t>F12</w:t>
            </w:r>
          </w:p>
        </w:tc>
        <w:tc>
          <w:tcPr>
            <w:tcW w:type="dxa" w:w="7937"/>
          </w:tcPr>
          <w:p>
            <w:r>
              <w:t>Cliente, comprobante y programa de fidelidad</w:t>
            </w:r>
          </w:p>
        </w:tc>
      </w:tr>
    </w:tbl>
    <w:p/>
    <w:p>
      <w:r>
        <w:t>Más operaciones (en el mismo panel, debajo): catálogo en mosaicos, eliminar línea, eliminar por escaneo, limpiar pantalla, descuento a la línea, descuento a la factura, entrega o envío, suspender, sincronizar, gaveta, reimprimir, retiro de efectivo, cierre de turno y salir.</w:t>
      </w:r>
    </w:p>
    <w:p>
      <w:r>
        <w:rPr>
          <w:i/>
          <w:color w:val="2E7D32"/>
        </w:rPr>
        <w:t>El teclado en pantalla de códigos, documentos y textos cambia entre números y letras con la tecla ABC / 123. El de cantidades y montos es solo numérico.</w:t>
      </w:r>
    </w:p>
    <w:p>
      <w:pPr>
        <w:pStyle w:val="Heading2"/>
      </w:pPr>
      <w:r>
        <w:t>3.7. Hacer una venta</w:t>
      </w:r>
    </w:p>
    <w:p>
      <w:pPr>
        <w:pStyle w:val="ListNumber"/>
      </w:pPr>
      <w:r>
        <w:t>Pase el código del artículo por el lector (o dígitelo y presione Enter). Para varias unidades: 12*CEM-425.</w:t>
      </w:r>
    </w:p>
    <w:p>
      <w:r>
        <w:rPr>
          <w:i/>
          <w:color w:val="2E7D32"/>
        </w:rPr>
        <w:t>Si se vuelve a pasar un artículo que ya está en la venta, se le suma una unidad a su línea en vez de abrirse otra. Así el cliente que se lleva doce, pasados de uno en uno, llega igual al precio por mayor: la lista mira las unidades de la línea. Lo que se vende de uno en uno sigue en su propia línea: lo serializado (cada unidad tiene su serial), lo pesado (cada pesada es una línea) y lo que ya lleve un descuento o un precio puesto a mano.</w:t>
      </w:r>
    </w:p>
    <w:p>
      <w:pPr>
        <w:pStyle w:val="ListNumber"/>
      </w:pPr>
      <w:r>
        <w:t>Para cambiar una cantidad, toque la cantidad en la línea o use F4. Para ver el otro código del artículo, toque el código.</w:t>
      </w:r>
    </w:p>
    <w:p>
      <w:r>
        <w:rPr>
          <w:i/>
          <w:color w:val="2E7D32"/>
        </w:rPr>
        <w:t>La cantidad que se digita tiene un tope: el que diga el parámetro Ventas.CantidadMaximaDigitada (10 de fábrica). Si el cliente lleva más, el artículo se pasa por el lector una vez por unidad. Vale para F4, para tocar la cantidad y para escanear con cantidad*código. No aplica a los artículos que se venden por peso ni a los de unidad con decimales, porque ahí la cantidad la da la balanza o la etiqueta.</w:t>
      </w:r>
    </w:p>
    <w:p>
      <w:pPr>
        <w:pStyle w:val="ListNumber"/>
      </w:pPr>
      <w:r>
        <w:t>Si el artículo se vende por peso, se toma el peso de la balanza (F5) o se digita.</w:t>
      </w:r>
    </w:p>
    <w:p>
      <w:pPr>
        <w:pStyle w:val="ListNumber"/>
      </w:pPr>
      <w:r>
        <w:t>Si el artículo lleva serial, el sistema lo pide al escanearlo.</w:t>
      </w:r>
    </w:p>
    <w:p>
      <w:pPr>
        <w:pStyle w:val="ListNumber"/>
      </w:pPr>
      <w:r>
        <w:t>Con F12 asigne el cliente si lleva comprobante fiscal, y su cédula del programa de fidelidad.</w:t>
      </w:r>
    </w:p>
    <w:p>
      <w:pPr>
        <w:pStyle w:val="ListNumber"/>
      </w:pPr>
      <w:r>
        <w:t>Revise el total con el cliente y presione F8 para cobrar.</w:t>
      </w:r>
    </w:p>
    <w:p>
      <w:r>
        <w:rPr>
          <w:i/>
          <w:color w:val="2E7D32"/>
        </w:rPr>
        <w:t>Cada operación se guarda al instante: si la caja se apaga, al volver a entrar la venta aparece tal como estaba.</w:t>
      </w:r>
    </w:p>
    <w:p>
      <w:pPr>
        <w:pStyle w:val="Heading2"/>
      </w:pPr>
      <w:r>
        <w:t>3.8. Cliente y tipo de comprobante (F12)</w:t>
      </w:r>
    </w:p>
    <w:p>
      <w:r>
        <w:t>Se digita la cédula o el RNC; la caja lo busca en los clientes, que bajan del Central. Si no aparece, se digita el nombre. El tipo de comprobante sale del cliente y cambiarlo a mano requiere permiso.</w:t>
      </w:r>
    </w:p>
    <w:p>
      <w:r>
        <w:t>Si no se sabe el documento de memoria, el botón «Buscar por nombre» abre una lista táctil donde se escribe con el teclado en pantalla y se elige tocando la fila. Busca lo mismo por documento (si se escriben solo números) o por nombre, desde tres caracteres, y muestra los primeros 50: si salen demasiados, hay que escribir algo más. Encuentra al instante por el principio del nombre; buscar una palabra de en medio también sirve, pero tarda un poco más porque la caja tiene el padrón entero de la DGII.</w:t>
      </w:r>
    </w:p>
    <w:tbl>
      <w:tblPr>
        <w:tblStyle w:val="TableGrid"/>
        <w:tblW w:type="auto" w:w="0"/>
        <w:tblLook w:firstColumn="1" w:firstRow="1" w:lastColumn="0" w:lastRow="0" w:noHBand="0" w:noVBand="1" w:val="04A0"/>
      </w:tblPr>
      <w:tblGrid>
        <w:gridCol w:w="4759"/>
        <w:gridCol w:w="4759"/>
      </w:tblGrid>
      <w:tr>
        <w:tc>
          <w:tcPr>
            <w:tcW w:type="dxa" w:w="2835"/>
          </w:tcPr>
          <w:p>
            <w:r/>
            <w:r>
              <w:rPr>
                <w:b/>
                <w:color w:val="1B4D3E"/>
              </w:rPr>
              <w:t>Comprobante</w:t>
            </w:r>
          </w:p>
        </w:tc>
        <w:tc>
          <w:tcPr>
            <w:tcW w:type="dxa" w:w="6803"/>
          </w:tcPr>
          <w:p>
            <w:r/>
            <w:r>
              <w:rPr>
                <w:b/>
                <w:color w:val="1B4D3E"/>
              </w:rPr>
              <w:t>Cuándo se usa</w:t>
            </w:r>
          </w:p>
        </w:tc>
      </w:tr>
      <w:tr>
        <w:tc>
          <w:tcPr>
            <w:tcW w:type="dxa" w:w="2835"/>
          </w:tcPr>
          <w:p>
            <w:r>
              <w:t>E32 – Consumo</w:t>
            </w:r>
          </w:p>
        </w:tc>
        <w:tc>
          <w:tcPr>
            <w:tcW w:type="dxa" w:w="6803"/>
          </w:tcPr>
          <w:p>
            <w:r>
              <w:t>Cliente común. Desde el monto configurado (RD$250,000 por defecto) exige cédula o RNC.</w:t>
            </w:r>
          </w:p>
        </w:tc>
      </w:tr>
      <w:tr>
        <w:tc>
          <w:tcPr>
            <w:tcW w:type="dxa" w:w="2835"/>
          </w:tcPr>
          <w:p>
            <w:r>
              <w:t>E31 – Crédito fiscal</w:t>
            </w:r>
          </w:p>
        </w:tc>
        <w:tc>
          <w:tcPr>
            <w:tcW w:type="dxa" w:w="6803"/>
          </w:tcPr>
          <w:p>
            <w:r>
              <w:t>Empresa que necesita el ITBIS. Exige RNC o cédula.</w:t>
            </w:r>
          </w:p>
        </w:tc>
      </w:tr>
      <w:tr>
        <w:tc>
          <w:tcPr>
            <w:tcW w:type="dxa" w:w="2835"/>
          </w:tcPr>
          <w:p>
            <w:r>
              <w:t>E44 – Régimen especial</w:t>
            </w:r>
          </w:p>
        </w:tc>
        <w:tc>
          <w:tcPr>
            <w:tcW w:type="dxa" w:w="6803"/>
          </w:tcPr>
          <w:p>
            <w:r>
              <w:t>Zonas francas, diplomáticos y demás acogidos a un régimen especial, que deben presentar su carné o certificación de exención de la DGII. La factura va SIN ITBIS.</w:t>
            </w:r>
          </w:p>
        </w:tc>
      </w:tr>
      <w:tr>
        <w:tc>
          <w:tcPr>
            <w:tcW w:type="dxa" w:w="2835"/>
          </w:tcPr>
          <w:p>
            <w:r>
              <w:t>E45 – Gubernamental</w:t>
            </w:r>
          </w:p>
        </w:tc>
        <w:tc>
          <w:tcPr>
            <w:tcW w:type="dxa" w:w="6803"/>
          </w:tcPr>
          <w:p>
            <w:r>
              <w:t>Instituciones del Estado. Exige RNC. Lleva ITBIS, salvo que la entidad presente su certificación de exención.</w:t>
            </w:r>
          </w:p>
        </w:tc>
      </w:tr>
    </w:tbl>
    <w:p/>
    <w:p>
      <w:r>
        <w:t>Factura exenta (E44): al elegir este comprobante, toda la factura pasa a ser exenta de ITBIS, tengan o no impuesto los artículos. Como los precios ya van sin ITBIS, simplemente no se le suma: un artículo de RD$100 se cobra a RD$100 y no a RD$118. La pantalla, la pantalla del cliente y el ticket lo indican con “EXENTA DE ITBIS – RÉGIMEN ESPECIAL”. Si el bien que se vende no está exento para ese cliente, no se usa el E44: se le factura con E31.</w:t>
      </w:r>
    </w:p>
    <w:p>
      <w:r>
        <w:t>Entidad del Estado con exención (E45): si la institución presenta su certificación de exención de ITBIS, digite el número en el diálogo del cliente y toque “Aplicar exención”. La factura pasa a ser exenta y el ticket lo indica con el número de la certificación. Si no la presenta, la factura lleva su ITBIS normal.</w:t>
      </w:r>
    </w:p>
    <w:p>
      <w:r>
        <w:t>Retención de la Ley 32-23: en las facturas E45, si el negocio configuró el porcentaje, el sistema lo calcula sobre el subtotal ya con descuentos y se lo descuenta a lo que el cliente paga en caja. La factura mantiene su total; el ticket muestra “RETENCIÓN LEY 32-23” y “TOTAL A PAGAR”. Normalmente va en cero: quien factura electrónicamente está exento de esa retención.</w:t>
      </w:r>
    </w:p>
    <w:p>
      <w:pPr>
        <w:pStyle w:val="Heading2"/>
      </w:pPr>
      <w:r>
        <w:t>3.9. Lista de boda (F6)</w:t>
      </w:r>
    </w:p>
    <w:p>
      <w:pPr>
        <w:pStyle w:val="ListNumber"/>
      </w:pPr>
      <w:r>
        <w:t>Pida al cliente el número de la lista (la crea la administración en el Central).</w:t>
      </w:r>
    </w:p>
    <w:p>
      <w:pPr>
        <w:pStyle w:val="ListNumber"/>
      </w:pPr>
      <w:r>
        <w:t>Presione F6, digite el número y acepte: la lista queda en el encabezado de la venta y sale en el ticket.</w:t>
      </w:r>
    </w:p>
    <w:p>
      <w:pPr>
        <w:pStyle w:val="ListNumber"/>
      </w:pPr>
      <w:r>
        <w:t>Al cobrar, la compra queda registrada en la lista y, si el negocio lo tiene configurado, baja las cantidades pedidas.</w:t>
      </w:r>
    </w:p>
    <w:p>
      <w:r>
        <w:rPr>
          <w:i/>
          <w:color w:val="2E7D32"/>
        </w:rPr>
        <w:t>La lista se consulta en el Central: si no hay comunicación, no se puede asociar. Una lista cerrada no se acepta.</w:t>
      </w:r>
    </w:p>
    <w:p>
      <w:pPr>
        <w:pStyle w:val="Heading2"/>
      </w:pPr>
      <w:r>
        <w:t>3.10. Descuentos y ofertas</w:t>
      </w:r>
    </w:p>
    <w:p>
      <w:pPr>
        <w:pStyle w:val="ListBullet"/>
      </w:pPr>
      <w:r>
        <w:t>Ofertas: se aplican solas según lo configurado en el Central. La columna Promo muestra cuál se aplicó; al tocarla se ve el detalle y se puede desactivar (con permiso).</w:t>
      </w:r>
    </w:p>
    <w:p>
      <w:pPr>
        <w:pStyle w:val="ListBullet"/>
      </w:pPr>
      <w:r>
        <w:t>Descuento a la línea: toque el precio de la línea. Descuento a la factura: panel de funciones (☰). Ambos piden motivo y la autorización de quien tenga tope suficiente; si el descuento pasa su tope, se pide una clave de nivel superior.</w:t>
      </w:r>
    </w:p>
    <w:p>
      <w:pPr>
        <w:pStyle w:val="ListBullet"/>
      </w:pPr>
      <w:r>
        <w:t>No se aplican descuentos manuales a artículos en oferta ni a departamentos que el negocio excluyó.</w:t>
      </w:r>
    </w:p>
    <w:p>
      <w:pPr>
        <w:pStyle w:val="ListBullet"/>
      </w:pPr>
      <w:r>
        <w:t>Descuento del banco por tarjeta: se aplica solo, al pasar la tarjeta en el cobro (ver 3.11).</w:t>
      </w:r>
    </w:p>
    <w:p>
      <w:pPr>
        <w:pStyle w:val="Heading2"/>
      </w:pPr>
      <w:r>
        <w:t>3.11. Cobrar (F8)</w:t>
      </w:r>
    </w:p>
    <w:p>
      <w:r>
        <w:t>En la pantalla de cobro elija la forma de pago, digite el monto y agréguelo. Se puede combinar cuantas formas haga falta; arriba siempre se ve lo pagado, lo que falta o la devuelta.</w:t>
      </w:r>
    </w:p>
    <w:tbl>
      <w:tblPr>
        <w:tblStyle w:val="TableGrid"/>
        <w:tblW w:type="auto" w:w="0"/>
        <w:tblLook w:firstColumn="1" w:firstRow="1" w:lastColumn="0" w:lastRow="0" w:noHBand="0" w:noVBand="1" w:val="04A0"/>
      </w:tblPr>
      <w:tblGrid>
        <w:gridCol w:w="4759"/>
        <w:gridCol w:w="4759"/>
      </w:tblGrid>
      <w:tr>
        <w:tc>
          <w:tcPr>
            <w:tcW w:type="dxa" w:w="2268"/>
          </w:tcPr>
          <w:p>
            <w:r/>
            <w:r>
              <w:rPr>
                <w:b/>
                <w:color w:val="1B4D3E"/>
              </w:rPr>
              <w:t>Forma de pago</w:t>
            </w:r>
          </w:p>
        </w:tc>
        <w:tc>
          <w:tcPr>
            <w:tcW w:type="dxa" w:w="7370"/>
          </w:tcPr>
          <w:p>
            <w:r/>
            <w:r>
              <w:rPr>
                <w:b/>
                <w:color w:val="1B4D3E"/>
              </w:rPr>
              <w:t>Qué pide y qué hay que saber</w:t>
            </w:r>
          </w:p>
        </w:tc>
      </w:tr>
      <w:tr>
        <w:tc>
          <w:tcPr>
            <w:tcW w:type="dxa" w:w="2268"/>
          </w:tcPr>
          <w:p>
            <w:r>
              <w:t>Efectivo</w:t>
            </w:r>
          </w:p>
        </w:tc>
        <w:tc>
          <w:tcPr>
            <w:tcW w:type="dxa" w:w="7370"/>
          </w:tcPr>
          <w:p>
            <w:r>
              <w:t>Es el único que da devuelta. Hay botones de billetes rápidos y “Exacto”.</w:t>
            </w:r>
          </w:p>
        </w:tc>
      </w:tr>
      <w:tr>
        <w:tc>
          <w:tcPr>
            <w:tcW w:type="dxa" w:w="2268"/>
          </w:tcPr>
          <w:p>
            <w:r>
              <w:t>CardNet o Azul</w:t>
            </w:r>
          </w:p>
        </w:tc>
        <w:tc>
          <w:tcPr>
            <w:tcW w:type="dxa" w:w="7370"/>
          </w:tcPr>
          <w:p>
            <w:r>
              <w:t>Cobran en el panel de firma de su equipo. No piden nada: se presiona Pasar tarjeta y el terminal atiende al cliente. La aprobación, la marca y los últimos dígitos los devuelve él. Si el negocio activó los descuentos de banco, el equipo también informa el BIN y el descuento se aplica antes de cobrar, así que la factura sale por lo que el cliente pagó. Una caja tiene un solo equipo: la forma de pago del otro procesador se ve apagada.</w:t>
            </w:r>
          </w:p>
        </w:tc>
      </w:tr>
      <w:tr>
        <w:tc>
          <w:tcPr>
            <w:tcW w:type="dxa" w:w="2268"/>
          </w:tcPr>
          <w:p>
            <w:r>
              <w:t>Tarjeta o Amex</w:t>
            </w:r>
          </w:p>
        </w:tc>
        <w:tc>
          <w:tcPr>
            <w:tcW w:type="dxa" w:w="7370"/>
          </w:tcPr>
          <w:p>
            <w:r>
              <w:t>Se cobró en un equipo aparte. Solo piden el número de aprobación del volante, que es obligatorio: es lo único con que después se cuadra el turno contra los comprobantes. No llevan marca ni descuento de banco, porque nadie leyó la tarjeta.</w:t>
            </w:r>
          </w:p>
        </w:tc>
      </w:tr>
      <w:tr>
        <w:tc>
          <w:tcPr>
            <w:tcW w:type="dxa" w:w="2268"/>
          </w:tcPr>
          <w:p>
            <w:r>
              <w:t>Dólares u otra moneda</w:t>
            </w:r>
          </w:p>
        </w:tc>
        <w:tc>
          <w:tcPr>
            <w:tcW w:type="dxa" w:w="7370"/>
          </w:tcPr>
          <w:p>
            <w:r>
              <w:t>Se convierte con la tasa del día; la devuelta se da en pesos.</w:t>
            </w:r>
          </w:p>
        </w:tc>
      </w:tr>
      <w:tr>
        <w:tc>
          <w:tcPr>
            <w:tcW w:type="dxa" w:w="2268"/>
          </w:tcPr>
          <w:p>
            <w:r>
              <w:t>Transferencia o cheque</w:t>
            </w:r>
          </w:p>
        </w:tc>
        <w:tc>
          <w:tcPr>
            <w:tcW w:type="dxa" w:w="7370"/>
          </w:tcPr>
          <w:p>
            <w:r>
              <w:t>Piden banco y número.</w:t>
            </w:r>
          </w:p>
        </w:tc>
      </w:tr>
      <w:tr>
        <w:tc>
          <w:tcPr>
            <w:tcW w:type="dxa" w:w="2268"/>
          </w:tcPr>
          <w:p>
            <w:r>
              <w:t>Bono o tarjeta de regalo</w:t>
            </w:r>
          </w:p>
        </w:tc>
        <w:tc>
          <w:tcPr>
            <w:tcW w:type="dxa" w:w="7370"/>
          </w:tcPr>
          <w:p>
            <w:r>
              <w:t>Pide el serial. No se acepta con crédito fiscal.</w:t>
            </w:r>
          </w:p>
        </w:tc>
      </w:tr>
      <w:tr>
        <w:tc>
          <w:tcPr>
            <w:tcW w:type="dxa" w:w="2268"/>
          </w:tcPr>
          <w:p>
            <w:r>
              <w:t>Nota de crédito</w:t>
            </w:r>
          </w:p>
        </w:tc>
        <w:tc>
          <w:tcPr>
            <w:tcW w:type="dxa" w:w="7370"/>
          </w:tcPr>
          <w:p>
            <w:r>
              <w:t>Se escanea el código de la nota. El sistema valida que exista, esté vigente y tenga saldo; si es de otra sucursal, lo consulta al Central.</w:t>
            </w:r>
          </w:p>
        </w:tc>
      </w:tr>
      <w:tr>
        <w:tc>
          <w:tcPr>
            <w:tcW w:type="dxa" w:w="2268"/>
          </w:tcPr>
          <w:p>
            <w:r>
              <w:t>Puntos de fidelidad</w:t>
            </w:r>
          </w:p>
        </w:tc>
        <w:tc>
          <w:tcPr>
            <w:tcW w:type="dxa" w:w="7370"/>
          </w:tcPr>
          <w:p>
            <w:r>
              <w:t>Requiere cliente con cédula inscrita y autorización para canjear.</w:t>
            </w:r>
          </w:p>
        </w:tc>
      </w:tr>
    </w:tbl>
    <w:p/>
    <w:p>
      <w:r>
        <w:t>Al terminar: se emite y firma la factura electrónica, se imprime el ticket, se abre la gaveta si hubo efectivo y empieza la siguiente venta. La pantalla del cliente muestra el total y la devuelta.</w:t>
      </w:r>
    </w:p>
    <w:p>
      <w:r>
        <w:rPr>
          <w:i/>
          <w:color w:val="2E7D32"/>
        </w:rPr>
        <w:t>Si no hay e-NCF disponible o el certificado no está cargado, la venta NO se cobra: primero hay que resolverlo con administración. El sistema no permite facturar sin comprobante fiscal.</w:t>
      </w:r>
    </w:p>
    <w:p>
      <w:pPr>
        <w:pStyle w:val="Heading2"/>
      </w:pPr>
      <w:r>
        <w:t>3.12. Facturar una cotización (F9)</w:t>
      </w:r>
    </w:p>
    <w:p>
      <w:r>
        <w:t>Una cotización es el presupuesto que administración le hizo al cliente desde el Central, con los precios del momento. El cliente llega con el papel y se le factura sin volver a digitar nada.</w:t>
      </w:r>
    </w:p>
    <w:p>
      <w:pPr>
        <w:pStyle w:val="ListNumber"/>
      </w:pPr>
      <w:r>
        <w:t>Presione F9 y escanee o digite el número de la cotización (empieza con COT).</w:t>
      </w:r>
    </w:p>
    <w:p>
      <w:pPr>
        <w:pStyle w:val="ListNumber"/>
      </w:pPr>
      <w:r>
        <w:t>La caja se la pide al Central y carga los artículos con los precios que se le prometieron al cliente: no se les aplican ofertas ni se recalculan.</w:t>
      </w:r>
    </w:p>
    <w:p>
      <w:pPr>
        <w:pStyle w:val="ListNumber"/>
      </w:pPr>
      <w:r>
        <w:t>Cobre normalmente. El ticket sale con el número de la cotización y en el Central queda marcada como facturada.</w:t>
      </w:r>
    </w:p>
    <w:p>
      <w:r>
        <w:rPr>
          <w:i/>
          <w:color w:val="2E7D32"/>
        </w:rPr>
        <w:t>Si la cotización venció, la caja pide la autorización de un supervisor y el motivo queda registrado. Una cotización ya facturada o anulada no se puede volver a usar.</w:t>
      </w:r>
    </w:p>
    <w:p>
      <w:r>
        <w:rPr>
          <w:i/>
          <w:color w:val="2E7D32"/>
        </w:rPr>
        <w:t>La cotización vive en el Central: si la caja está sin comunicación, no se puede traer. La pantalla lo dice con esas palabras, y siempre se puede facturar a mano.</w:t>
      </w:r>
    </w:p>
    <w:p>
      <w:r>
        <w:rPr>
          <w:i/>
          <w:color w:val="2E7D32"/>
        </w:rPr>
        <w:t>La venta tiene que estar vacía: si ya tiene artículos, termínela o límpiela antes de traer la cotización.</w:t>
      </w:r>
    </w:p>
    <w:p>
      <w:pPr>
        <w:pStyle w:val="Heading2"/>
      </w:pPr>
      <w:r>
        <w:t>3.13. Facturas en espera, limpiar y suspender</w:t>
      </w:r>
    </w:p>
    <w:p>
      <w:pPr>
        <w:pStyle w:val="ListBullet"/>
      </w:pPr>
      <w:r>
        <w:t>F7 – En espera: guarda la venta actual para atender a otro cliente y retomarla después. Se le pone una referencia corta, el nombre del cliente o unos dígitos («Sra. María», «102»), que es con lo que se encuentra en la lista al volver. Dos facturas en espera del mismo turno no pueden llamarse igual.</w:t>
      </w:r>
    </w:p>
    <w:p>
      <w:pPr>
        <w:pStyle w:val="ListBullet"/>
      </w:pPr>
      <w:r>
        <w:t>Para retomar una factura con otra venta en pantalla, escriba también la referencia de la que está en pantalla: las dos se intercambian. Si la de pantalla no tiene artículos, simplemente se descarta.</w:t>
      </w:r>
    </w:p>
    <w:p>
      <w:pPr>
        <w:pStyle w:val="ListBullet"/>
      </w:pPr>
      <w:r>
        <w:t>Mientras la venta se arma, la pantalla muestra el número de factura que le tocaría, pero el número se le da de verdad al cobrar, en el orden en que se cobra: una factura en espera no se lleva el número de otro cliente, y una venta que no se cobró no deja un hueco en la numeración. En la auditoría, la venta sin cobrar aparece como B-000015.</w:t>
      </w:r>
    </w:p>
    <w:p>
      <w:pPr>
        <w:pStyle w:val="ListBullet"/>
      </w:pPr>
      <w:r>
        <w:t>Una venta con tarjeta ya aprobada no se pone en espera: cóbrela o anule la tarjeta primero.</w:t>
      </w:r>
    </w:p>
    <w:p>
      <w:pPr>
        <w:pStyle w:val="ListBullet"/>
      </w:pPr>
      <w:r>
        <w:t>Limpiar pantalla (panel de funciones ☰): bota la transacción en curso y empieza otra. Pide la autorización del supervisor en un solo cuadro, donde el motivo es opcional: escanear lo que no era pasa varias veces al día y explicarlo cada vez solo entorpece. Como todavía no era una factura, desaparece de la caja; lo que tenía, quién la botó, quién lo autorizó y el motivo —si lo dio— quedan en la auditoría.</w:t>
      </w:r>
    </w:p>
    <w:p>
      <w:pPr>
        <w:pStyle w:val="ListBullet"/>
      </w:pPr>
      <w:r>
        <w:t>Suspender: el cajero elige por qué deja la caja (baño, almuerzo, receso, un llamado del supervisor u otro) y la pantalla se bloquea con un cronómetro grande que cuenta desde ese momento. Debajo del conteo está el botón Regresar: se vuelve con la clave del mismo cajero, y la venta que estaba en pantalla se conserva. El motivo «Otro» pide escribir en qué consistió.</w:t>
      </w:r>
    </w:p>
    <w:p>
      <w:pPr>
        <w:pStyle w:val="ListBullet"/>
      </w:pPr>
      <w:r>
        <w:t>Cada rato de caja parada sube al Central y sale en el módulo de cuadre, pestaña «Caja parada»: cuánto estuvo parada cada caja, cada cajera y por qué motivo. El tiempo previsto (almuerzo, receso) se cuenta aparte del imprevisto. Si nadie reanudó y el turno cerró, la parada se cierra ahí y queda marcada, para que no aparezca de catorce horas.</w:t>
      </w:r>
    </w:p>
    <w:p>
      <w:pPr>
        <w:pStyle w:val="ListBullet"/>
      </w:pPr>
      <w:r>
        <w:t>Los motivos los decide el negocio en el Central, en Maestros → Motivos de caja parada: ahí se dice cuáles son tiempo previsto y cuál pide explicación.</w:t>
      </w:r>
    </w:p>
    <w:p>
      <w:pPr>
        <w:pStyle w:val="ListBullet"/>
      </w:pPr>
      <w:r>
        <w:t>Suspender no pide autorización de supervisor: es la única manera de dejar la caja sola, y si hubiera que llamar a alguien para ir al baño nadie la usaría y el reporte de caja parada no mediría nada. Si el negocio prefiere que sí la pida, se enciende el parámetro «Caja.SuspenderRequiereAutorizacion» en el Central, en general, por sucursal o por caja.</w:t>
      </w:r>
    </w:p>
    <w:p>
      <w:r>
        <w:rPr>
          <w:i/>
          <w:color w:val="2E7D32"/>
        </w:rPr>
        <w:t>En el panel de funciones ya no está «Salir». Para ausentarse está Suspender, y desde la pantalla bloqueada se vuelve con la clave del mismo cajero o se cambia de usuario. Así no queda una salida por la que el tiempo parado no se mida; para terminar la jornada sigue estando Cierre de turno.</w:t>
      </w:r>
    </w:p>
    <w:p>
      <w:pPr>
        <w:pStyle w:val="ListBullet"/>
      </w:pPr>
      <w:r>
        <w:t>Eliminar línea, eliminar por escaneo y limpiar pantalla piden autorización de supervisor; la línea eliminada queda tachada en su lugar, con su mismo número, y sale del total. La numeración de las líneas sigue continua; quién la eliminó y quién lo autorizó queda en la auditoría.</w:t>
      </w:r>
    </w:p>
    <w:p>
      <w:r>
        <w:rPr>
          <w:i/>
          <w:color w:val="2E7D32"/>
        </w:rPr>
        <w:t>En el cuadro de autorización del supervisor, el motivo es opcional: quien autoriza está delante del cajero y muchas veces escribirlo solo entorpece. Lo que nunca se pierde es qué se autorizó, a quién y quién lo autorizó, que queda en la auditoría con o sin motivo.</w:t>
      </w:r>
    </w:p>
    <w:p>
      <w:pPr>
        <w:pStyle w:val="Heading2"/>
      </w:pPr>
      <w:r>
        <w:t>3.14. Entregas y envíos</w:t>
      </w:r>
    </w:p>
    <w:p>
      <w:r>
        <w:t>Cuando el cliente se lleva parte de la mercancía después:</w:t>
      </w:r>
    </w:p>
    <w:p>
      <w:pPr>
        <w:pStyle w:val="ListNumber"/>
      </w:pPr>
      <w:r>
        <w:t>En el panel de funciones (☰), elija Entrega / envío.</w:t>
      </w:r>
    </w:p>
    <w:p>
      <w:pPr>
        <w:pStyle w:val="ListNumber"/>
      </w:pPr>
      <w:r>
        <w:t>Marque qué líneas y qué cantidad quedan pendientes, y si el cliente lo retira en una sucursal (la suya u otra) o se le envía a una dirección, con la fecha comprometida.</w:t>
      </w:r>
    </w:p>
    <w:p>
      <w:pPr>
        <w:pStyle w:val="ListNumber"/>
      </w:pPr>
      <w:r>
        <w:t>Al cobrar se imprime un comprobante de pendiente por cada destino, con código de barras: una copia para el cliente y otra para quien despacha.</w:t>
      </w:r>
    </w:p>
    <w:p>
      <w:pPr>
        <w:pStyle w:val="ListNumber"/>
      </w:pPr>
      <w:r>
        <w:t>De ahí en adelante el pendiente se despacha desde el Central (Despacho → Pendientes): la caja ya no tiene nada que ver con él. Vea «2.14. Despacho de pendientes y envíos».</w:t>
      </w:r>
    </w:p>
    <w:p>
      <w:pPr>
        <w:pStyle w:val="Heading2"/>
      </w:pPr>
      <w:r>
        <w:t>3.15. Devoluciones y notas de crédito</w:t>
      </w:r>
    </w:p>
    <w:p>
      <w:r>
        <w:t>Se entra con F10 o directamente a /devoluciones.</w:t>
      </w:r>
    </w:p>
    <w:p>
      <w:pPr>
        <w:pStyle w:val="ListNumber"/>
      </w:pPr>
      <w:r>
        <w:t>Escanee el código de barras del ticket o digite el e-NCF de la factura.</w:t>
      </w:r>
    </w:p>
    <w:p>
      <w:pPr>
        <w:pStyle w:val="ListNumber"/>
      </w:pPr>
      <w:r>
        <w:t>Indique qué se devuelve de cada línea (el sistema muestra lo vendido, lo ya devuelto y lo disponible).</w:t>
      </w:r>
    </w:p>
    <w:p>
      <w:pPr>
        <w:pStyle w:val="ListNumber"/>
      </w:pPr>
      <w:r>
        <w:t>Elija el motivo y, si la factura no tiene cliente, digite la cédula o el RNC.</w:t>
      </w:r>
    </w:p>
    <w:p>
      <w:pPr>
        <w:pStyle w:val="ListNumber"/>
      </w:pPr>
      <w:r>
        <w:t>Indique cómo se le devuelve: saldo en la nota (lo normal), efectivo, a la tarjeta o cheque, según lo que el negocio permita.</w:t>
      </w:r>
    </w:p>
    <w:p>
      <w:pPr>
        <w:pStyle w:val="ListNumber"/>
      </w:pPr>
      <w:r>
        <w:t>Pida la autorización del encargado: se imprime la nota de crédito para el cliente y la copia de contabilidad.</w:t>
      </w:r>
    </w:p>
    <w:p>
      <w:r>
        <w:t>Tipos de nota de crédito:</w:t>
      </w:r>
    </w:p>
    <w:tbl>
      <w:tblPr>
        <w:tblStyle w:val="TableGrid"/>
        <w:tblW w:type="auto" w:w="0"/>
        <w:tblLook w:firstColumn="1" w:firstRow="1" w:lastColumn="0" w:lastRow="0" w:noHBand="0" w:noVBand="1" w:val="04A0"/>
      </w:tblPr>
      <w:tblGrid>
        <w:gridCol w:w="3173"/>
        <w:gridCol w:w="3173"/>
        <w:gridCol w:w="3173"/>
      </w:tblGrid>
      <w:tr>
        <w:tc>
          <w:tcPr>
            <w:tcW w:type="dxa" w:w="2551"/>
          </w:tcPr>
          <w:p>
            <w:r/>
            <w:r>
              <w:rPr>
                <w:b/>
                <w:color w:val="1B4D3E"/>
              </w:rPr>
              <w:t>Tipo</w:t>
            </w:r>
          </w:p>
        </w:tc>
        <w:tc>
          <w:tcPr>
            <w:tcW w:type="dxa" w:w="3118"/>
          </w:tcPr>
          <w:p>
            <w:r/>
            <w:r>
              <w:rPr>
                <w:b/>
                <w:color w:val="1B4D3E"/>
              </w:rPr>
              <w:t>Para qué</w:t>
            </w:r>
          </w:p>
        </w:tc>
        <w:tc>
          <w:tcPr>
            <w:tcW w:type="dxa" w:w="3969"/>
          </w:tcPr>
          <w:p>
            <w:r/>
            <w:r>
              <w:rPr>
                <w:b/>
                <w:color w:val="1B4D3E"/>
              </w:rPr>
              <w:t>Importante</w:t>
            </w:r>
          </w:p>
        </w:tc>
      </w:tr>
      <w:tr>
        <w:tc>
          <w:tcPr>
            <w:tcW w:type="dxa" w:w="2551"/>
          </w:tcPr>
          <w:p>
            <w:r>
              <w:t>Nota de crédito E34 (normal)</w:t>
            </w:r>
          </w:p>
        </w:tc>
        <w:tc>
          <w:tcPr>
            <w:tcW w:type="dxa" w:w="3118"/>
          </w:tcPr>
          <w:p>
            <w:r>
              <w:t>Devolución de mercancía</w:t>
            </w:r>
          </w:p>
        </w:tc>
        <w:tc>
          <w:tcPr>
            <w:tcW w:type="dxa" w:w="3969"/>
          </w:tcPr>
          <w:p>
            <w:r>
              <w:t>Es un comprobante fiscal: va a la DGII y al 607. Deja saldo que el cliente usa como pago hasta su vencimiento.</w:t>
            </w:r>
          </w:p>
        </w:tc>
      </w:tr>
      <w:tr>
        <w:tc>
          <w:tcPr>
            <w:tcW w:type="dxa" w:w="2551"/>
          </w:tcPr>
          <w:p>
            <w:r>
              <w:t>Nota de crédito interna</w:t>
            </w:r>
          </w:p>
        </w:tc>
        <w:tc>
          <w:tcPr>
            <w:tcW w:type="dxa" w:w="3118"/>
          </w:tcPr>
          <w:p>
            <w:r>
              <w:t>Corregir un problema de la factura sin devolver dinero</w:t>
            </w:r>
          </w:p>
        </w:tc>
        <w:tc>
          <w:tcPr>
            <w:tcW w:type="dxa" w:w="3969"/>
          </w:tcPr>
          <w:p>
            <w:r>
              <w:t>No lleva comprobante fiscal, no va a la DGII, no deja saldo y no sirve como forma de pago. Requiere autorización de un supervisor. Sale en los reportes de ventas.</w:t>
            </w:r>
          </w:p>
        </w:tc>
      </w:tr>
    </w:tbl>
    <w:p/>
    <w:p>
      <w:r>
        <w:rPr>
          <w:i/>
          <w:color w:val="2E7D32"/>
        </w:rPr>
        <w:t>La vigencia de las notas de crédito se cuenta desde su emisión con los días configurados HOY en el Central: si una nota se venció y el negocio decide aceptarla, se suben los días en el Central y vuelve a poder usarse.</w:t>
      </w:r>
    </w:p>
    <w:p>
      <w:r>
        <w:t>De dónde sale la factura:</w:t>
      </w:r>
    </w:p>
    <w:p>
      <w:pPr>
        <w:pStyle w:val="ListBullet"/>
      </w:pPr>
      <w:r>
        <w:t>La factura SIEMPRE se busca en el Central, aunque la haya vendido esta misma caja. El Central es el único que sabe cuánto se devolvió ya de cada línea en toda la empresa, y una nota de crédito nunca se hace contra una factura que el Central no tenga registrada.</w:t>
      </w:r>
    </w:p>
    <w:p>
      <w:pPr>
        <w:pStyle w:val="ListBullet"/>
      </w:pPr>
      <w:r>
        <w:t>Se puede devolver una factura de cualquier sucursal y de cualquier caja. Si no es de esta caja, la pantalla avisa de qué sucursal y caja viene.</w:t>
      </w:r>
    </w:p>
    <w:p>
      <w:pPr>
        <w:pStyle w:val="ListBullet"/>
      </w:pPr>
      <w:r>
        <w:t>La nota de crédito la emite SIEMPRE la caja donde está el cliente, con su propio certificado y su propio rango de e-NCF. La factura solo se consulta.</w:t>
      </w:r>
    </w:p>
    <w:p>
      <w:pPr>
        <w:pStyle w:val="ListBullet"/>
      </w:pPr>
      <w:r>
        <w:t>Mientras se emite, el Central le retiene esas líneas a esta caja, para que otra no devuelva al mismo tiempo la misma mercancía. La retención se suelta sola a los minutos configurados en el Central si la nota no se llega a emitir.</w:t>
      </w:r>
    </w:p>
    <w:p>
      <w:pPr>
        <w:pStyle w:val="ListBullet"/>
      </w:pPr>
      <w:r>
        <w:t>La copia de la factura que trajo el Central se borra en cuanto se emite la nota: la caja no guarda facturas.</w:t>
      </w:r>
    </w:p>
    <w:p>
      <w:r>
        <w:rPr>
          <w:i/>
          <w:color w:val="2E7D32"/>
        </w:rPr>
        <w:t>Las notas de crédito necesitan conexión con el Central. Si la caja está sin red, o si la factura es tan reciente que todavía no ha terminado de subir, la pantalla lo dice con esas palabras en vez de dejar al cajero esperando.</w:t>
      </w:r>
    </w:p>
    <w:p>
      <w:pPr>
        <w:pStyle w:val="Heading2"/>
      </w:pPr>
      <w:r>
        <w:t>3.16. Retiros, pre-cierre y cierre de turno</w:t>
      </w:r>
    </w:p>
    <w:p>
      <w:pPr>
        <w:pStyle w:val="ListBullet"/>
      </w:pPr>
      <w:r>
        <w:t>Retiro de efectivo: monto y motivo, autorización de supervisor, comprobante impreso con firmas. No se puede retirar más del efectivo que hay en la gaveta.</w:t>
      </w:r>
    </w:p>
    <w:p>
      <w:pPr>
        <w:pStyle w:val="ListBullet"/>
      </w:pPr>
      <w:r>
        <w:t>Pre-cierre: imprime lo esperado, con clave de supervisor (útil antes de cuadrar).</w:t>
      </w:r>
    </w:p>
    <w:p>
      <w:pPr>
        <w:pStyle w:val="ListBullet"/>
      </w:pPr>
      <w:r>
        <w:t>Cierre de turno: el cajero no declara nada ni ve lo esperado. Con la autorización del supervisor, el turno cierra y la caja imprime el cuadre con lo esperado por forma de pago, para el supervisor.</w:t>
      </w:r>
    </w:p>
    <w:p>
      <w:pPr>
        <w:pStyle w:val="ListBullet"/>
      </w:pPr>
      <w:r>
        <w:t>No se puede cerrar con facturas en espera, transacciones con artículos sin cobrar o ventas sin factura electrónica firmada: la pantalla dice exactamente qué falta.</w:t>
      </w:r>
    </w:p>
    <w:p>
      <w:pPr>
        <w:pStyle w:val="ListBullet"/>
      </w:pPr>
      <w:r>
        <w:t>Con un turno de un día anterior, las facturas en espera ya no se pueden cobrar: el cierre avisa cuáles son y pide retomarlas y limpiarlas (con la autorización de un supervisor) antes de cerrar.</w:t>
      </w:r>
    </w:p>
    <w:p>
      <w:pPr>
        <w:pStyle w:val="ListBullet"/>
      </w:pPr>
      <w:r>
        <w:t>Cobro con tarjeta: la forma de pago decide con qué equipo se cobra. CardNet y Azul le mandan el monto a su terminal y reciben solas la aprobación. Tarjeta y Amex son para lo que se cobró en un equipo aparte: piden el número de aprobación del volante, que es obligatorio porque es lo único con que después se cuadra el turno.</w:t>
      </w:r>
    </w:p>
    <w:p>
      <w:pPr>
        <w:pStyle w:val="ListBullet"/>
      </w:pPr>
      <w:r>
        <w:t>La marca de la tarjeta (Visa, Mastercard…) no se configura en ninguna parte ni la elige el cajero: la informa el terminal al aprobar, y desde ahí va al ticket y al cuadre de tarjetas.</w:t>
      </w:r>
    </w:p>
    <w:p>
      <w:pPr>
        <w:pStyle w:val="ListBullet"/>
      </w:pPr>
      <w:r>
        <w:t>Descuento del banco por la tarjeta: solo funciona si el negocio encendió «Caja.DescuentoTarjetaPorBin» en los parámetros del Central. Los primeros dígitos de la tarjeta (el BIN) nunca se digitan: los devuelve el terminal.</w:t>
      </w:r>
    </w:p>
    <w:p>
      <w:pPr>
        <w:pStyle w:val="ListBullet"/>
      </w:pPr>
      <w:r>
        <w:t>Cerrar lote: cierra el lote del terminal de tarjetas y compara lo aprobado en la caja con lo que reporta el terminal. El resultado queda guardado y sube con el cierre, así que el supervisor lo ve en el Central sin depender del papel.</w:t>
      </w:r>
    </w:p>
    <w:p>
      <w:pPr>
        <w:pStyle w:val="ListBullet"/>
      </w:pPr>
      <w:r>
        <w:t>Al cerrar se imprime el reporte del turno: lo esperado por forma de pago, los retiros, los reembolsos y los relevos.</w:t>
      </w:r>
    </w:p>
    <w:p>
      <w:pPr>
        <w:pStyle w:val="ListBullet"/>
      </w:pPr>
      <w:r>
        <w:t>Después, el cajero cuenta su efectivo a ciegas y se lo entrega al supervisor junto con el comprobante del lote. Quien declara el conteo es el supervisor, en el Central (Módulo de cuadre), y la diferencia queda a nombre del cajero.</w:t>
      </w:r>
    </w:p>
    <w:p>
      <w:pPr>
        <w:pStyle w:val="Heading2"/>
      </w:pPr>
      <w:r>
        <w:t>3.17. La barra de estado</w:t>
      </w:r>
    </w:p>
    <w:p>
      <w:r>
        <w:t>Abajo de la pantalla, siempre a la vista:</w:t>
      </w:r>
    </w:p>
    <w:p>
      <w:pPr>
        <w:pStyle w:val="ListBullet"/>
      </w:pPr>
      <w:r>
        <w:t>Sincronización: si la caja está comunicada con el Central y cuántos documentos están pendientes de enviar. Mientras baja datos dice «Actualizando» y en qué anda, y al pasar el mouse por encima se lee el detalle del último error, si lo hubo.</w:t>
      </w:r>
    </w:p>
    <w:p>
      <w:pPr>
        <w:pStyle w:val="ListBullet"/>
      </w:pPr>
      <w:r>
        <w:t>e-CF: si el certificado está cargado, cuántos comprobantes quedan en el rango y si algo está por vencer. Al tocarlo se digita el PIN del certificado cuando hace falta.</w:t>
      </w:r>
    </w:p>
    <w:p>
      <w:pPr>
        <w:pStyle w:val="ListBullet"/>
      </w:pPr>
      <w:r>
        <w:t>Avisos de la base de datos, la hora del equipo y el respaldo.</w:t>
      </w:r>
    </w:p>
    <w:p>
      <w:r>
        <w:rPr>
          <w:i/>
          <w:color w:val="2E7D32"/>
        </w:rPr>
        <w:t>La caja sincroniza sola cada cierto tiempo. Si acaban de cambiar un precio o crear un artículo en el Central y hace falta verlo ya, en el panel de funciones (☰) está «Sincronizar»: muestra en qué anda y se puede cerrar para seguir atendiendo mientras termina. No se puede con una venta empezada, porque los precios cambiarían a mitad de factura.</w:t>
      </w:r>
    </w:p>
    <w:p>
      <w:r>
        <w:br w:type="page"/>
      </w:r>
    </w:p>
    <w:p>
      <w:pPr>
        <w:pStyle w:val="Heading1"/>
      </w:pPr>
      <w:r>
        <w:t>4. Recorrido completo del sistema (para probarlo todo)</w:t>
      </w:r>
    </w:p>
    <w:p>
      <w:r>
        <w:t>Este es el orden recomendado para recorrer el sistema de punta a punta y comprobar que todo funciona.</w:t>
      </w:r>
    </w:p>
    <w:p>
      <w:pPr>
        <w:pStyle w:val="Heading2"/>
      </w:pPr>
      <w:r>
        <w:t>Primero, en el Central</w:t>
      </w:r>
    </w:p>
    <w:p>
      <w:pPr>
        <w:pStyle w:val="ListNumber"/>
      </w:pPr>
      <w:r>
        <w:t>Cree la base del Central con scripts/base-datos/estructura_base_datos_central.sql y entre con el usuario ADMIN (cambie su contraseña).</w:t>
      </w:r>
    </w:p>
    <w:p>
      <w:pPr>
        <w:pStyle w:val="ListNumber"/>
      </w:pPr>
      <w:r>
        <w:t>Revise Organización: cree la empresa, la sucursal y la caja. La credencial la pedirá la caja al instalarse.</w:t>
      </w:r>
    </w:p>
    <w:p>
      <w:pPr>
        <w:pStyle w:val="ListNumber"/>
      </w:pPr>
      <w:r>
        <w:t>En Parámetros, configure lo que el negocio necesita: fondo de caja, redondeo, días de vigencia de notas de crédito, retención de la Ley 32-23 (si aplica), chequeador y listas de boda.</w:t>
      </w:r>
    </w:p>
    <w:p>
      <w:pPr>
        <w:pStyle w:val="ListNumber"/>
      </w:pPr>
      <w:r>
        <w:t>Revise los catálogos que ya trae la base (monedas, impuestos, unidades, formas de pago, denominaciones, motivos) y cree los suyos: departamentos, categorías, marcas y bancos.</w:t>
      </w:r>
    </w:p>
    <w:p>
      <w:pPr>
        <w:pStyle w:val="ListNumber"/>
      </w:pPr>
      <w:r>
        <w:t>Cree los artículos sugeridos en el manual (o los suyos) con sus códigos de barras y precios, y al menos una promoción.</w:t>
      </w:r>
    </w:p>
    <w:p>
      <w:pPr>
        <w:pStyle w:val="ListNumber"/>
      </w:pPr>
      <w:r>
        <w:t>Asigne los rangos de e-CF a la caja (E31, E32, E34, E44, E45).</w:t>
      </w:r>
    </w:p>
    <w:p>
      <w:pPr>
        <w:pStyle w:val="ListNumber"/>
      </w:pPr>
      <w:r>
        <w:t>Cree los usuarios de caja: un cajero, un supervisor y un gerente, con sus niveles.</w:t>
      </w:r>
    </w:p>
    <w:p>
      <w:pPr>
        <w:pStyle w:val="ListNumber"/>
      </w:pPr>
      <w:r>
        <w:t>Cree una lista de boda de prueba y anote su número.</w:t>
      </w:r>
    </w:p>
    <w:p>
      <w:pPr>
        <w:pStyle w:val="Heading2"/>
      </w:pPr>
      <w:r>
        <w:t>Después, en la caja</w:t>
      </w:r>
    </w:p>
    <w:p>
      <w:pPr>
        <w:pStyle w:val="ListNumber"/>
      </w:pPr>
      <w:r>
        <w:t>Cree la base de la caja con scripts/base-datos/estructura_base_datos_pos.sql e instale la caja con su sucursal, su número y la dirección del Central.</w:t>
      </w:r>
    </w:p>
    <w:p>
      <w:pPr>
        <w:pStyle w:val="ListNumber"/>
      </w:pPr>
      <w:r>
        <w:t>Llene la pantalla de configuración de la caja con su sucursal, su código, su IP, la dirección del Central y la credencial.</w:t>
      </w:r>
    </w:p>
    <w:p>
      <w:pPr>
        <w:pStyle w:val="ListNumber"/>
      </w:pPr>
      <w:r>
        <w:t>Espere el primer ciclo de sincronización: la caja baja artículos, precios, usuarios y parámetros del Central.</w:t>
      </w:r>
    </w:p>
    <w:p>
      <w:r>
        <w:rPr>
          <w:i/>
          <w:color w:val="2E7D32"/>
        </w:rPr>
        <w:t>La primera bajada de una caja nueva es la más larga: con un catálogo grande son cientos de miles de filas. Vienen en tandas —la pantalla va diciendo «parte 2», «parte 3»— y cada tanda se guarda al llegar, así que si se corta la red o se reinicia el servicio, al volver se retoma donde iba y no hay que empezar de nuevo. El tamaño de la tanda se configura en el Central con «Central.Sincronizacion.FilasPorPagina»; sin tocarlo son 5,000 filas.</w:t>
      </w:r>
    </w:p>
    <w:p>
      <w:r>
        <w:rPr>
          <w:i/>
          <w:color w:val="2E7D32"/>
        </w:rPr>
        <w:t>Mientras bajan, la caja dice con qué se está actualizando —«Actualizando la caja con clientes»— y una barra de progreso muestra cuánto lleva, así que se ve de un vistazo si avanza o se quedó parado.</w:t>
      </w:r>
    </w:p>
    <w:p>
      <w:pPr>
        <w:pStyle w:val="ListNumber"/>
      </w:pPr>
      <w:r>
        <w:t>Entre con el usuario del cajero y abra el turno con su fondo.</w:t>
      </w:r>
    </w:p>
    <w:p>
      <w:pPr>
        <w:pStyle w:val="ListNumber"/>
      </w:pPr>
      <w:r>
        <w:t>Escanee artículos, cambie una cantidad y elimine una línea (le pedirá la clave del supervisor).</w:t>
      </w:r>
    </w:p>
    <w:p>
      <w:pPr>
        <w:pStyle w:val="ListNumber"/>
      </w:pPr>
      <w:r>
        <w:t>Con F12 asigne un cliente con RNC y verifique que el comprobante cambia a crédito fiscal.</w:t>
      </w:r>
    </w:p>
    <w:p>
      <w:pPr>
        <w:pStyle w:val="ListNumber"/>
      </w:pPr>
      <w:r>
        <w:t>Pruebe un descuento a la línea y otro a la factura, con su motivo y autorización.</w:t>
      </w:r>
    </w:p>
    <w:p>
      <w:pPr>
        <w:pStyle w:val="ListNumber"/>
      </w:pPr>
      <w:r>
        <w:t>Con F6 asocie la lista de boda de prueba.</w:t>
      </w:r>
    </w:p>
    <w:p>
      <w:pPr>
        <w:pStyle w:val="ListNumber"/>
      </w:pPr>
      <w:r>
        <w:t>Cobre con F8: primero parte en efectivo y el resto con tarjeta, y verifique el ticket y la devuelta.</w:t>
      </w:r>
    </w:p>
    <w:p>
      <w:pPr>
        <w:pStyle w:val="ListNumber"/>
      </w:pPr>
      <w:r>
        <w:t>Repita una venta y cóbrela completa en efectivo, para tener dos facturas.</w:t>
      </w:r>
    </w:p>
    <w:p>
      <w:pPr>
        <w:pStyle w:val="ListNumber"/>
      </w:pPr>
      <w:r>
        <w:t>Vaya a devoluciones (F10), devuelva un artículo de la primera factura y emita la nota de crédito.</w:t>
      </w:r>
    </w:p>
    <w:p>
      <w:pPr>
        <w:pStyle w:val="ListNumber"/>
      </w:pPr>
      <w:r>
        <w:t>Haga una segunda devolución marcando Nota de crédito interna y compruebe que no se puede usar como pago.</w:t>
      </w:r>
    </w:p>
    <w:p>
      <w:pPr>
        <w:pStyle w:val="ListNumber"/>
      </w:pPr>
      <w:r>
        <w:t>Cobre una tercera venta usando la nota de crédito normal como forma de pago.</w:t>
      </w:r>
    </w:p>
    <w:p>
      <w:pPr>
        <w:pStyle w:val="ListNumber"/>
      </w:pPr>
      <w:r>
        <w:t>Haga un retiro de efectivo con motivo y autorización.</w:t>
      </w:r>
    </w:p>
    <w:p>
      <w:pPr>
        <w:pStyle w:val="ListNumber"/>
      </w:pPr>
      <w:r>
        <w:t>Cierre el turno con la autorización del supervisor y revise el cuadre impreso con lo esperado por forma de pago.</w:t>
      </w:r>
    </w:p>
    <w:p>
      <w:pPr>
        <w:pStyle w:val="Heading2"/>
      </w:pPr>
      <w:r>
        <w:t>Por último, de vuelta en el Central</w:t>
      </w:r>
    </w:p>
    <w:p>
      <w:pPr>
        <w:pStyle w:val="ListNumber"/>
      </w:pPr>
      <w:r>
        <w:t>En Facturas, busque las facturas y notas de crédito que acaba de hacer y abra su detalle.</w:t>
      </w:r>
    </w:p>
    <w:p>
      <w:pPr>
        <w:pStyle w:val="ListNumber"/>
      </w:pPr>
      <w:r>
        <w:t>En Listas de boda, compruebe que la compra quedó registrada y que bajó lo pedido.</w:t>
      </w:r>
    </w:p>
    <w:p>
      <w:pPr>
        <w:pStyle w:val="ListNumber"/>
      </w:pPr>
      <w:r>
        <w:t>En Notas de crédito, revise el saldo de la nota emitida y su consumo.</w:t>
      </w:r>
    </w:p>
    <w:p>
      <w:pPr>
        <w:pStyle w:val="ListNumber"/>
      </w:pPr>
      <w:r>
        <w:t>Entre a /cuadre con el usuario de caja del supervisor, cuente las denominaciones del turno que acaba de cerrar y declárelo: el cierre pasa de pendiente a cuadrado con su diferencia.</w:t>
      </w:r>
    </w:p>
    <w:p>
      <w:pPr>
        <w:pStyle w:val="ListNumber"/>
      </w:pPr>
      <w:r>
        <w:t>En Cierre de sucursal, prepare el día, registre el depósito y ciérrelo.</w:t>
      </w:r>
    </w:p>
    <w:p>
      <w:pPr>
        <w:pStyle w:val="ListNumber"/>
      </w:pPr>
      <w:r>
        <w:t>En Reportes, saque Ventas, ITBIS, Cuadres y el Formato 607, y descárguelos en Excel y PDF.</w:t>
      </w:r>
    </w:p>
    <w:p>
      <w:pPr>
        <w:pStyle w:val="ListNumber"/>
      </w:pPr>
      <w:r>
        <w:t>En Monitor, verifique que la caja está comunicada y sin documentos pendientes ni conflictos.</w:t>
      </w:r>
    </w:p>
    <w:p>
      <w:pPr>
        <w:pStyle w:val="ListNumber"/>
      </w:pPr>
      <w:r>
        <w:t>Abra el chequeador de precios y consulte uno de los artículos creados.</w:t>
      </w:r>
    </w:p>
    <w:p>
      <w:r>
        <w:br w:type="page"/>
      </w:r>
    </w:p>
    <w:p>
      <w:pPr>
        <w:pStyle w:val="Heading1"/>
      </w:pPr>
      <w:r>
        <w:t>5. Qué hacer si…</w:t>
      </w:r>
    </w:p>
    <w:tbl>
      <w:tblPr>
        <w:tblStyle w:val="TableGrid"/>
        <w:tblW w:type="auto" w:w="0"/>
        <w:tblLook w:firstColumn="1" w:firstRow="1" w:lastColumn="0" w:lastRow="0" w:noHBand="0" w:noVBand="1" w:val="04A0"/>
      </w:tblPr>
      <w:tblGrid>
        <w:gridCol w:w="4759"/>
        <w:gridCol w:w="4759"/>
      </w:tblGrid>
      <w:tr>
        <w:tc>
          <w:tcPr>
            <w:tcW w:type="dxa" w:w="2551"/>
          </w:tcPr>
          <w:p>
            <w:r/>
            <w:r>
              <w:rPr>
                <w:b/>
                <w:color w:val="1B4D3E"/>
              </w:rPr>
              <w:t>Situación</w:t>
            </w:r>
          </w:p>
        </w:tc>
        <w:tc>
          <w:tcPr>
            <w:tcW w:type="dxa" w:w="7087"/>
          </w:tcPr>
          <w:p>
            <w:r/>
            <w:r>
              <w:rPr>
                <w:b/>
                <w:color w:val="1B4D3E"/>
              </w:rPr>
              <w:t>Qué pasa y qué hacer</w:t>
            </w:r>
          </w:p>
        </w:tc>
      </w:tr>
      <w:tr>
        <w:tc>
          <w:tcPr>
            <w:tcW w:type="dxa" w:w="2551"/>
          </w:tcPr>
          <w:p>
            <w:r>
              <w:t>La caja o el Central avisan que falta la base de datos</w:t>
            </w:r>
          </w:p>
        </w:tc>
        <w:tc>
          <w:tcPr>
            <w:tcW w:type="dxa" w:w="7087"/>
          </w:tcPr>
          <w:p>
            <w:r>
              <w:t>No se ejecutó el script de creación en ese equipo, o el sistema está apuntando a otra base. Ejecute scripts/base-datos/estructura_base_datos_central.sql en el servidor o scripts/base-datos/estructura_base_datos_pos.sql en la caja.</w:t>
            </w:r>
          </w:p>
        </w:tc>
      </w:tr>
      <w:tr>
        <w:tc>
          <w:tcPr>
            <w:tcW w:type="dxa" w:w="2551"/>
          </w:tcPr>
          <w:p>
            <w:r>
              <w:t>No hay internet</w:t>
            </w:r>
          </w:p>
        </w:tc>
        <w:tc>
          <w:tcPr>
            <w:tcW w:type="dxa" w:w="7087"/>
          </w:tcPr>
          <w:p>
            <w:r>
              <w:t>La caja sigue vendiendo, cobrando y facturando normal: todo se guarda y se envía cuando vuelva la comunicación. Solo quedan sin servicio las listas de boda, las notas de crédito de otra sucursal y el chequeador.</w:t>
            </w:r>
          </w:p>
        </w:tc>
      </w:tr>
      <w:tr>
        <w:tc>
          <w:tcPr>
            <w:tcW w:type="dxa" w:w="2551"/>
          </w:tcPr>
          <w:p>
            <w:r>
              <w:t>El terminal de tarjeta no responde</w:t>
            </w:r>
          </w:p>
        </w:tc>
        <w:tc>
          <w:tcPr>
            <w:tcW w:type="dxa" w:w="7087"/>
          </w:tcPr>
          <w:p>
            <w:r>
              <w:t>La caja lo avisa y dice con qué forma de pago registrar el cobro. Se cobra en el equipo aparte y se registra con «Tarjeta» o «Amex», digitando el número de aprobación del volante; eso no pide autorización, es su forma normal de cobrar. Digitar una aprobación dentro de CardNet o Azul —saltarse el equipo que sí está— sí pide autorización de supervisor y queda marcado para conciliar.</w:t>
            </w:r>
          </w:p>
        </w:tc>
      </w:tr>
      <w:tr>
        <w:tc>
          <w:tcPr>
            <w:tcW w:type="dxa" w:w="2551"/>
          </w:tcPr>
          <w:p>
            <w:r>
              <w:t>La caja no baja los artículos nuevos</w:t>
            </w:r>
          </w:p>
        </w:tc>
        <w:tc>
          <w:tcPr>
            <w:tcW w:type="dxa" w:w="7087"/>
          </w:tcPr>
          <w:p>
            <w:r>
              <w:t>Pase el mouse por el indicador de sincronización de la barra de estado: si la última actualización falló, ahí dice por qué y de qué artículo se trata. Casi siempre es un dato del Central que la caja no acepta (un artículo activo sin precio, una categoría que no es de su departamento). Se corrige en el Central y la caja lo aplica sola en el siguiente ciclo, sin perder nada.</w:t>
            </w:r>
          </w:p>
        </w:tc>
      </w:tr>
      <w:tr>
        <w:tc>
          <w:tcPr>
            <w:tcW w:type="dxa" w:w="2551"/>
          </w:tcPr>
          <w:p>
            <w:r>
              <w:t>A una caja le faltan artículos o clientes que en el Central sí están</w:t>
            </w:r>
          </w:p>
        </w:tc>
        <w:tc>
          <w:tcPr>
            <w:tcW w:type="dxa" w:w="7087"/>
          </w:tcPr>
          <w:p>
            <w:r>
              <w:t>La caja solo pide lo que cambió en el Central, así que lo que se haya perdido en su base no vuelve por su cuenta: allá no pasó nada. En el Central, Organización → Cajas, en el menú de esa caja, «Volver a sincronizar esta caja». Baja el catálogo entero otra vez la próxima vez que pregunte; tarda varios minutos y mientras dura esa caja no vende. Lo que ya tiene no se duplica: se actualiza.</w:t>
            </w:r>
          </w:p>
        </w:tc>
      </w:tr>
      <w:tr>
        <w:tc>
          <w:tcPr>
            <w:tcW w:type="dxa" w:w="2551"/>
          </w:tcPr>
          <w:p>
            <w:r>
              <w:t>Se acabaron los e-NCF o venció el rango</w:t>
            </w:r>
          </w:p>
        </w:tc>
        <w:tc>
          <w:tcPr>
            <w:tcW w:type="dxa" w:w="7087"/>
          </w:tcPr>
          <w:p>
            <w:r>
              <w:t>No se puede facturar. Administración debe asignar un rango nuevo en el Central; la caja lo recibe en su próxima sincronización. La barra de estado avisa antes de que se acabe.</w:t>
            </w:r>
          </w:p>
        </w:tc>
      </w:tr>
      <w:tr>
        <w:tc>
          <w:tcPr>
            <w:tcW w:type="dxa" w:w="2551"/>
          </w:tcPr>
          <w:p>
            <w:r>
              <w:t>El certificado pide PIN</w:t>
            </w:r>
          </w:p>
        </w:tc>
        <w:tc>
          <w:tcPr>
            <w:tcW w:type="dxa" w:w="7087"/>
          </w:tcPr>
          <w:p>
            <w:r>
              <w:t>Toque el indicador e-CF de la barra de estado y digite el PIN. Queda solo en memoria: si se reinicia el equipo, se vuelve a pedir.</w:t>
            </w:r>
          </w:p>
        </w:tc>
      </w:tr>
      <w:tr>
        <w:tc>
          <w:tcPr>
            <w:tcW w:type="dxa" w:w="2551"/>
          </w:tcPr>
          <w:p>
            <w:r>
              <w:t>La nota de crédito está vencida</w:t>
            </w:r>
          </w:p>
        </w:tc>
        <w:tc>
          <w:tcPr>
            <w:tcW w:type="dxa" w:w="7087"/>
          </w:tcPr>
          <w:p>
            <w:r>
              <w:t>Si el negocio decide aceptarla, se suben los días de vigencia en los parámetros del Central y la nota vuelve a poder usarse.</w:t>
            </w:r>
          </w:p>
        </w:tc>
      </w:tr>
      <w:tr>
        <w:tc>
          <w:tcPr>
            <w:tcW w:type="dxa" w:w="2551"/>
          </w:tcPr>
          <w:p>
            <w:r>
              <w:t>El cliente quiere su dinero de vuelta</w:t>
            </w:r>
          </w:p>
        </w:tc>
        <w:tc>
          <w:tcPr>
            <w:tcW w:type="dxa" w:w="7087"/>
          </w:tcPr>
          <w:p>
            <w:r>
              <w:t>En la devolución se elige efectivo, tarjeta o cheque, según lo que el negocio tenga habilitado; la nota de crédito se emite igual pero sin saldo.</w:t>
            </w:r>
          </w:p>
        </w:tc>
      </w:tr>
      <w:tr>
        <w:tc>
          <w:tcPr>
            <w:tcW w:type="dxa" w:w="2551"/>
          </w:tcPr>
          <w:p>
            <w:r>
              <w:t>Se cerró el turno por error</w:t>
            </w:r>
          </w:p>
        </w:tc>
        <w:tc>
          <w:tcPr>
            <w:tcW w:type="dxa" w:w="7087"/>
          </w:tcPr>
          <w:p>
            <w:r>
              <w:t>La caja no lo puede deshacer: el cierre es definitivo. En el Central, en Cierres de caja, se corrige lo declarado en la forma de pago que falló, con el motivo; queda guardado lo que la caja había informado.</w:t>
            </w:r>
          </w:p>
        </w:tc>
      </w:tr>
      <w:tr>
        <w:tc>
          <w:tcPr>
            <w:tcW w:type="dxa" w:w="2551"/>
          </w:tcPr>
          <w:p>
            <w:r>
              <w:t>Un usuario quedó bloqueado</w:t>
            </w:r>
          </w:p>
        </w:tc>
        <w:tc>
          <w:tcPr>
            <w:tcW w:type="dxa" w:w="7087"/>
          </w:tcPr>
          <w:p>
            <w:r>
              <w:t>Se desbloquea desde el Central, en Usuarios de caja.</w:t>
            </w:r>
          </w:p>
        </w:tc>
      </w:tr>
      <w:tr>
        <w:tc>
          <w:tcPr>
            <w:tcW w:type="dxa" w:w="2551"/>
          </w:tcPr>
          <w:p>
            <w:r>
              <w:t>Falta un parámetro</w:t>
            </w:r>
          </w:p>
        </w:tc>
        <w:tc>
          <w:tcPr>
            <w:tcW w:type="dxa" w:w="7087"/>
          </w:tcPr>
          <w:p>
            <w:r>
              <w:t>La operación se rechaza con el mensaje “Falta configurar el parámetro…”. Se configura en el Central, en Parámetros.</w:t>
            </w:r>
          </w:p>
        </w:tc>
      </w:tr>
      <w:tr>
        <w:tc>
          <w:tcPr>
            <w:tcW w:type="dxa" w:w="2551"/>
          </w:tcPr>
          <w:p>
            <w:r>
              <w:t>Al revisar la base de datos, las horas se ven adelantadas</w:t>
            </w:r>
          </w:p>
        </w:tc>
        <w:tc>
          <w:tcPr>
            <w:tcW w:type="dxa" w:w="7087"/>
          </w:tcPr>
          <w:p>
            <w:r>
              <w:t>No están mal: las fechas se guardan en UTC, que va cuatro horas adelante de la hora dominicana. Para verlas en hora de aquí consulte las vistas del esquema «local» (por ejemplo SELECT * FROM local.Auditoria) o use dbo.HoraRd(fecha).</w:t>
            </w:r>
          </w:p>
        </w:tc>
      </w:tr>
    </w:tbl>
    <w:p/>
    <w:p>
      <w:pPr>
        <w:pStyle w:val="Heading2"/>
      </w:pPr>
      <w:r>
        <w:t>5.1. Quién cambió cada cosa</w:t>
      </w:r>
    </w:p>
    <w:p>
      <w:r>
        <w:t>Las tablas que se administran a mano guardan en la propia fila quién las dejó así y cuándo: la empresa, las sucursales, las cajas, los parámetros, los usuarios y roles del Central, las listas de boda y todos los maestros. Es lo primero que se mira en un soporte, sin tener que buscar en otro lado.</w:t>
      </w:r>
    </w:p>
    <w:p>
      <w:r>
        <w:t>Los documentos (ventas, notas de crédito, devoluciones, cierres) no llevan esas columnas porque ya tienen las suyas: la fecha del documento y el cajero que lo hizo son datos del negocio, no del sistema. Y el detalle completo de cada cambio, con el antes y el después, está siempre en Seguridad → Auditoría.</w:t>
      </w:r>
    </w:p>
    <w:p>
      <w:r>
        <w:rPr>
          <w:i/>
          <w:color w:val="2E7D32"/>
        </w:rPr>
        <w:t>En una base que venía de antes, las filas anteriores al cambio aparecen como «Migración»: ese dato no se podía reconstruir hacia atrás.</w:t>
      </w:r>
    </w:p>
    <w:p>
      <w:pPr>
        <w:pStyle w:val="Heading2"/>
      </w:pPr>
      <w:r>
        <w:t>5.2. La hora de los datos</w:t>
      </w:r>
    </w:p>
    <w:p>
      <w:r>
        <w:t>El sistema guarda las fechas con la hora de aquí y su desfase del meridiano (por ejemplo 2026-09-18 11:41:21 -04:00). Quien consulte la base directamente ve la hora real del negocio, sin tener que convertir nada.</w:t>
      </w:r>
    </w:p>
    <w:p>
      <w:r>
        <w:t>El «-04:00» que acompaña a cada fecha es el desfase de República Dominicana, y va guardado junto al dato. Eso permite que el sistema ordene y compare operaciones de cualquier caja sin ambigüedad, aunque el reloj de un equipo esté mal puesto. No hay que quitarlo ni cambiarlo.</w:t>
      </w:r>
    </w:p>
    <w:p>
      <w:r>
        <w:rPr>
          <w:i/>
          <w:color w:val="2E7D32"/>
        </w:rPr>
        <w:t>El país no tiene horario de verano desde el año 2000, por eso el desfase es siempre -04:00.</w:t>
      </w:r>
    </w:p>
    <w:p>
      <w:pPr>
        <w:pStyle w:val="Heading1"/>
      </w:pPr>
      <w:r>
        <w:t>6. Reglas que conviene recordar</w:t>
      </w:r>
    </w:p>
    <w:p>
      <w:pPr>
        <w:pStyle w:val="ListBullet"/>
      </w:pPr>
      <w:r>
        <w:t>Sin factura electrónica no se cobra: el sistema no permite facturar sin e-NCF disponible.</w:t>
      </w:r>
    </w:p>
    <w:p>
      <w:pPr>
        <w:pStyle w:val="ListBullet"/>
      </w:pPr>
      <w:r>
        <w:t>Todo lo que el cajero no puede hacer solo se autoriza con usuario y clave de un supervisor, queda auditado con el motivo y la autorización sirve una sola vez.</w:t>
      </w:r>
    </w:p>
    <w:p>
      <w:pPr>
        <w:pStyle w:val="ListBullet"/>
      </w:pPr>
      <w:r>
        <w:t>Las reglas del negocio (plazos, montos, topes, porcentajes) no están fijas en el programa: se cambian en el Central, en Parámetros, y llegan solas a las cajas.</w:t>
      </w:r>
    </w:p>
    <w:p>
      <w:pPr>
        <w:pStyle w:val="ListBullet"/>
      </w:pPr>
      <w:r>
        <w:t>Cada documento tiene un número único en toda la empresa que dice de qué sucursal, de qué caja y de qué tipo es.</w:t>
      </w:r>
    </w:p>
    <w:p>
      <w:pPr>
        <w:pStyle w:val="ListBullet"/>
      </w:pPr>
      <w:r>
        <w:t>La caja es la que manda sobre sus ventas: el Central refleja lo que las cajas informan y nunca las modifica.</w:t>
      </w:r>
    </w:p>
    <w:p>
      <w:r>
        <w:rPr>
          <w:i/>
          <w:color w:val="2E7D32"/>
        </w:rPr>
        <w:t>Documento generado para CG-POS. Las direcciones de ejemplo (localhost) corresponden a la instalación de pruebas; en producción se usa la dirección del servidor del Central que indique el equipo de tecnología.</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B4D3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B4D3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