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su sucursal y su número;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Cada campo con su valor anterior (tachado) y el que quedó. Una creación no tiene valor anterior y una eliminación no tiene valor nuevo.</w:t>
            </w:r>
          </w:p>
        </w:tc>
      </w:tr>
    </w:tbl>
    <w:p/>
    <w:p>
      <w:r>
        <w:t>Los filtros de arriba acotan la búsqueda: rango de fechas, acción,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rPr>
          <w:i/>
          <w:color w:val="2E7D32"/>
        </w:rPr>
        <w:t>Las contraseñas, los certificados y las firmas se anotan como cambiados, pero su contenido nunca se muestra: en su lugar aparece «(oculto)».</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