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r>
        <w:tc>
          <w:tcPr>
            <w:tcW w:type="dxa" w:w="3402"/>
          </w:tcPr>
          <w:p>
            <w:r>
              <w:t>Caja – despacho de pendientes</w:t>
            </w:r>
          </w:p>
        </w:tc>
        <w:tc>
          <w:tcPr>
            <w:tcW w:type="dxa" w:w="3969"/>
          </w:tcPr>
          <w:p>
            <w:r>
              <w:t>http://localhost:5180/ingreso?pantalla=despacho</w:t>
            </w:r>
          </w:p>
        </w:tc>
        <w:tc>
          <w:tcPr>
            <w:tcW w:type="dxa" w:w="2268"/>
          </w:tcPr>
          <w:p>
            <w:r>
              <w:t>Personal de entrega</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scripts/base-datos/central/structura_base_datos.sql.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 y almacenes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Solicitudes de cajas</w:t>
            </w:r>
          </w:p>
        </w:tc>
        <w:tc>
          <w:tcPr>
            <w:tcW w:type="dxa" w:w="4535"/>
          </w:tcPr>
          <w:p>
            <w:r>
              <w:t>La caja la pide al instalarse y usted la acepta. Nadie copia claves a mano.</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habilitarlas, ver a qué equipo está atada cada una y liberar el equipo cuando la caja se muda a otra máquina. El código también es de dos dígitos (01 a 99) y único dentro de su sucursal.</w:t>
            </w:r>
          </w:p>
        </w:tc>
      </w:tr>
      <w:tr>
        <w:tc>
          <w:tcPr>
            <w:tcW w:type="dxa" w:w="2154"/>
          </w:tcPr>
          <w:p>
            <w:r>
              <w:t>Solicitudes de cajas</w:t>
            </w:r>
          </w:p>
        </w:tc>
        <w:tc>
          <w:tcPr>
            <w:tcW w:type="dxa" w:w="2835"/>
          </w:tcPr>
          <w:p>
            <w:r>
              <w:t>/organizacion/solicitudes-cajas</w:t>
            </w:r>
          </w:p>
        </w:tc>
        <w:tc>
          <w:tcPr>
            <w:tcW w:type="dxa" w:w="4649"/>
          </w:tcPr>
          <w:p>
            <w:r>
              <w:t>Cajas recién instaladas que piden entrar al Central. Al aceptar una se le entrega su credencial y queda atada a ese equipo.</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de inmediato o a partir de una fecha.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scripts/base-datos/central/cargar-clientes-dgii.sql,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lo deja activo. El teléfono, el correo, el contacto, el tipo de comprobante, la lista de precios y las direcciones no se tocan: eso lo llenó usted.</w:t>
            </w:r>
          </w:p>
        </w:tc>
      </w:tr>
      <w:tr>
        <w:tc>
          <w:tcPr>
            <w:tcW w:type="dxa" w:w="2268"/>
          </w:tcPr>
          <w:p>
            <w:r>
              <w:t>Si no existe</w:t>
            </w:r>
          </w:p>
        </w:tc>
        <w:tc>
          <w:tcPr>
            <w:tcW w:type="dxa" w:w="6803"/>
          </w:tcPr>
          <w:p>
            <w:r>
              <w:t>Lo crea. Un RNC de 9 dígitos nace con crédito fiscal (E31) y una cédula de 11 con consumo (E32). El código del cliente es su propio documento.</w:t>
            </w:r>
          </w:p>
        </w:tc>
      </w:tr>
      <w:tr>
        <w:tc>
          <w:tcPr>
            <w:tcW w:type="dxa" w:w="2268"/>
          </w:tcPr>
          <w:p>
            <w:r>
              <w:t>Estado</w:t>
            </w:r>
          </w:p>
        </w:tc>
        <w:tc>
          <w:tcPr>
            <w:tcW w:type="dxa" w:w="6803"/>
          </w:tcPr>
          <w:p>
            <w:r>
              <w:t>Solo se cargan los contribuyentes ACTIVO.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con impuesto incluido;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t>5. Almacenes, para las entregas y los envíos: uno por sucursal y, si aplica, el depósito desde donde se despacha.</w:t>
      </w:r>
    </w:p>
    <w:tbl>
      <w:tblPr>
        <w:tblStyle w:val="TableGrid"/>
        <w:tblW w:type="auto" w:w="0"/>
        <w:tblLook w:firstColumn="1" w:firstRow="1" w:lastColumn="0" w:lastRow="0" w:noHBand="0" w:noVBand="1" w:val="04A0"/>
      </w:tblPr>
      <w:tblGrid>
        <w:gridCol w:w="3173"/>
        <w:gridCol w:w="3173"/>
        <w:gridCol w:w="3173"/>
      </w:tblGrid>
      <w:tr>
        <w:tc>
          <w:tcPr>
            <w:tcW w:type="dxa" w:w="1587"/>
          </w:tcPr>
          <w:p>
            <w:r/>
            <w:r>
              <w:rPr>
                <w:b/>
                <w:color w:val="1B4D3E"/>
              </w:rPr>
              <w:t>Código</w:t>
            </w:r>
          </w:p>
        </w:tc>
        <w:tc>
          <w:tcPr>
            <w:tcW w:type="dxa" w:w="2835"/>
          </w:tcPr>
          <w:p>
            <w:r/>
            <w:r>
              <w:rPr>
                <w:b/>
                <w:color w:val="1B4D3E"/>
              </w:rPr>
              <w:t>Almacén</w:t>
            </w:r>
          </w:p>
        </w:tc>
        <w:tc>
          <w:tcPr>
            <w:tcW w:type="dxa" w:w="3969"/>
          </w:tcPr>
          <w:p>
            <w:r/>
            <w:r>
              <w:rPr>
                <w:b/>
                <w:color w:val="1B4D3E"/>
              </w:rPr>
              <w:t>Para qué</w:t>
            </w:r>
          </w:p>
        </w:tc>
      </w:tr>
      <w:tr>
        <w:tc>
          <w:tcPr>
            <w:tcW w:type="dxa" w:w="1587"/>
          </w:tcPr>
          <w:p>
            <w:r>
              <w:t>ALM-01</w:t>
            </w:r>
          </w:p>
        </w:tc>
        <w:tc>
          <w:tcPr>
            <w:tcW w:type="dxa" w:w="2835"/>
          </w:tcPr>
          <w:p>
            <w:r>
              <w:t>Almacén de la sucursal</w:t>
            </w:r>
          </w:p>
        </w:tc>
        <w:tc>
          <w:tcPr>
            <w:tcW w:type="dxa" w:w="3969"/>
          </w:tcPr>
          <w:p>
            <w:r>
              <w:t>Retiro del cliente en el local</w:t>
            </w:r>
          </w:p>
        </w:tc>
      </w:tr>
      <w:tr>
        <w:tc>
          <w:tcPr>
            <w:tcW w:type="dxa" w:w="1587"/>
          </w:tcPr>
          <w:p>
            <w:r>
              <w:t>DEP-CEN</w:t>
            </w:r>
          </w:p>
        </w:tc>
        <w:tc>
          <w:tcPr>
            <w:tcW w:type="dxa" w:w="2835"/>
          </w:tcPr>
          <w:p>
            <w:r>
              <w:t>Depósito central</w:t>
            </w:r>
          </w:p>
        </w:tc>
        <w:tc>
          <w:tcPr>
            <w:tcW w:type="dxa" w:w="3969"/>
          </w:tcPr>
          <w:p>
            <w:r>
              <w:t>Pedidos grandes que salen del depósito (cajas, barriles)</w:t>
            </w:r>
          </w:p>
        </w:tc>
      </w:tr>
    </w:tbl>
    <w:p/>
    <w:p>
      <w:r>
        <w:t>6.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7.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8. Usuarios y roles de caja: al menos un cajero (solo vender y cobrar), un supervisor (autoriza descuentos, devoluciones, retiros y notas internas) y un gerente (además reabre cierres y autoriza lo de mayor monto).</w:t>
      </w:r>
    </w:p>
    <w:p>
      <w:r>
        <w:t>9. Rangos de comprobantes fiscales por caja (E31, E32, E34, E44 y E45), con los números que le asignó la DGII.</w:t>
      </w:r>
    </w:p>
    <w:p>
      <w:r>
        <w:t>10.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anulaciones,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reabrir un cierre, autorizar lo que pasa el tope del supervisor y cambiar el comprobante de una factura.</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Cierre ciego</w:t>
            </w:r>
          </w:p>
        </w:tc>
        <w:tc>
          <w:tcPr>
            <w:tcW w:type="dxa" w:w="1701"/>
          </w:tcPr>
          <w:p>
            <w:r>
              <w:t>Sí</w:t>
            </w:r>
          </w:p>
        </w:tc>
        <w:tc>
          <w:tcPr>
            <w:tcW w:type="dxa" w:w="5102"/>
          </w:tcPr>
          <w:p>
            <w:r>
              <w:t>El cajero declara lo que contó sin ver lo esperado: es lo que hace útil el cuadre.</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se cambia si le factura a quien la aplica (E44).</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Importar (/promociones/importar): carga masiva desde un archivo CSV; se valida todo el archivo y solo se publica si no hay errores.</w:t>
      </w:r>
    </w:p>
    <w:p>
      <w:pPr>
        <w:pStyle w:val="ListBullet"/>
      </w:pPr>
      <w:r>
        <w:t>Simular (/promociones/simular): antes de publicar, muestra qué oferta tomaría la caja para un artículo, cantidad, sucursal y fecha.</w:t>
      </w:r>
    </w:p>
    <w:p>
      <w:pPr>
        <w:pStyle w:val="ListBullet"/>
      </w:pPr>
      <w:r>
        <w:t>La lista muestra el estado de cada promoción y cuántas cajas ya la recibieron.</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Código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Nueva lista: datos de los festejados (cédula o RNC, teléfono, correo), del evento (nombre, fecha, lugar) y los artículos pedidos con su cantidad. Los artículos se buscan por su código interno o su descripción y se eligen del maestro: no se escriben a mano, para que lo pedido sea exactamente lo que la caja cobra.</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pPr>
        <w:pStyle w:val="Heading2"/>
      </w:pPr>
      <w:r>
        <w:t>2.13. Fidelidad</w:t>
      </w:r>
    </w:p>
    <w:p>
      <w:r>
        <w:t>Ruta: /fidelidad/miembros. Miembros con su nivel, saldo de puntos, movimientos y ajustes. Los niveles y las reglas de acumulación se configuran en los catálogos.</w:t>
      </w:r>
    </w:p>
    <w:p>
      <w:pPr>
        <w:pStyle w:val="Heading2"/>
      </w:pPr>
      <w:r>
        <w:t>2.14. Despacho</w:t>
      </w:r>
    </w:p>
    <w:p>
      <w:r>
        <w:t>Ruta: /despacho/pendientes. Todos los pendientes de entrega y envíos de todas las sucursales, con su estado y sus atrasos; si el negocio lo activa, el Central le avisa por correo al cliente cuando su pedido queda preparado.</w:t>
      </w:r>
    </w:p>
    <w:p>
      <w:pPr>
        <w:pStyle w:val="Heading2"/>
      </w:pPr>
      <w:r>
        <w:t>2.15.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Si una caja informa un cierre de ese día después de consolidar, el consolidado no cambia, pero la lista lo avisa.</w:t>
      </w:r>
    </w:p>
    <w:p>
      <w:pPr>
        <w:pStyle w:val="Heading2"/>
      </w:pPr>
      <w:r>
        <w:t>2.16.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2.17.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2.18.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las ofertas vigentes; la consulta se borra sola a los pocos segundos para el siguiente cliente.</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No hay que emitir ninguna clave: la caja la pedirá sola.</w:t>
      </w:r>
    </w:p>
    <w:p>
      <w:pPr>
        <w:pStyle w:val="ListNumber"/>
      </w:pPr>
      <w:r>
        <w:t>En el equipo de la caja, instale SQL Server Express y ejecute scripts/base-datos/pos/structura_base_datos.sql.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Al no tener credencial, se anuncia al Central y queda esperando; en su registro dirá que la solicitud quedó registrada.</w:t>
      </w:r>
    </w:p>
    <w:p>
      <w:pPr>
        <w:pStyle w:val="ListNumber"/>
      </w:pPr>
      <w:r>
        <w:t>En el Central, entre a Organización → Solicitudes de cajas, revise que el equipo que pide sea el que acaba de instalar (verá su nombre, su dirección y la hora) y acéptela. La caja recoge su credencial sola en el siguiente intento.</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La credencial queda guardada cifrada en ese equipo y solo sirve ahí: si alguien copia la configuración a otra máquina, el Central la rechaza y el intento queda registrado. Por eso, cuando una caja cambia de equipo, hay que usar «Liberar equipo».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Cambiar una caja de equipo</w:t>
      </w:r>
    </w:p>
    <w:p>
      <w:r>
        <w:t>El equipo de la caja se dañó, se reinstaló Windows o se reemplaza por otro. La caja es la misma; lo que cambia es la máquina.</w:t>
      </w:r>
    </w:p>
    <w:p>
      <w:pPr>
        <w:pStyle w:val="ListNumber"/>
      </w:pPr>
      <w:r>
        <w:t>En el Central, Organización → Cajas, en el menú de esa caja, elija «Liberar equipo» e indique el motivo. Queda registrado quién lo hizo.</w:t>
      </w:r>
    </w:p>
    <w:p>
      <w:pPr>
        <w:pStyle w:val="ListNumber"/>
      </w:pPr>
      <w:r>
        <w:t>Instale la caja en el equipo nuevo, con la misma sucursal y el mismo número.</w:t>
      </w:r>
    </w:p>
    <w:p>
      <w:pPr>
        <w:pStyle w:val="ListNumber"/>
      </w:pPr>
      <w:r>
        <w:t>Arránquela y acepte su solicitud en Solicitudes de cajas, comprobando que el equipo sea el que acaba de instalar.</w:t>
      </w:r>
    </w:p>
    <w:p>
      <w:r>
        <w:rPr>
          <w:i/>
          <w:color w:val="2E7D32"/>
        </w:rPr>
        <w:t>Si el equipo se perdió o se lo robaron, en vez de liberar conviene revocar la credencial: así la anterior deja de servir aunque alguien tenga el equipo.</w:t>
      </w:r>
    </w:p>
    <w:p>
      <w:r>
        <w:rPr>
          <w:i/>
          <w:color w:val="2E7D32"/>
        </w:rPr>
        <w:t>Si el técnico olvida liberar el equipo, la caja nueva no podrá comunicarse y su registro lo dirá con todas las letras: la credencial está atada a otro equipo. Nada se pierde: se libera y se acepta.</w:t>
      </w:r>
    </w:p>
    <w:p>
      <w:pPr>
        <w:pStyle w:val="Heading2"/>
      </w:pPr>
      <w:r>
        <w:t>3.2. Entrar a la caja</w:t>
      </w:r>
    </w:p>
    <w:p>
      <w:pPr>
        <w:pStyle w:val="ListNumber"/>
      </w:pPr>
      <w:r>
        <w:t>En la pantalla de ingreso digite su usuario y su clave (no hay PIN ni carné: siempre usuario y clave).</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w:t>
      </w:r>
    </w:p>
    <w:p>
      <w:pPr>
        <w:pStyle w:val="ListBullet"/>
      </w:pPr>
      <w:r>
        <w:t>Si el último cierre se hizo por error, aparece Reabrir el último cierre: pide motivo y la autorización de alguien de nivel superior, y queda registrado.</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transacción, cantidad de artículos, límite de compra, programa de fidelidad y lista de boda.</w:t>
            </w:r>
          </w:p>
        </w:tc>
      </w:tr>
      <w:tr>
        <w:tc>
          <w:tcPr>
            <w:tcW w:type="dxa" w:w="2835"/>
          </w:tcPr>
          <w:p>
            <w:r>
              <w:t>Encabezado derecho</w:t>
            </w:r>
          </w:p>
        </w:tc>
        <w:tc>
          <w:tcPr>
            <w:tcW w:type="dxa" w:w="6803"/>
          </w:tcPr>
          <w:p>
            <w:r>
              <w:t>Subtotal, ITBIS, descuentos, TOTAL y, en facturas de régimen especial, la retención y el total a pagar.</w:t>
            </w:r>
          </w:p>
        </w:tc>
      </w:tr>
      <w:tr>
        <w:tc>
          <w:tcPr>
            <w:tcW w:type="dxa" w:w="2835"/>
          </w:tcPr>
          <w:p>
            <w:r>
              <w:t>Campo de escaneo</w:t>
            </w:r>
          </w:p>
        </w:tc>
        <w:tc>
          <w:tcPr>
            <w:tcW w:type="dxa" w:w="6803"/>
          </w:tcPr>
          <w:p>
            <w:r>
              <w:t>Donde el lector escribe el código. También se puede digitar.</w:t>
            </w:r>
          </w:p>
        </w:tc>
      </w:tr>
      <w:tr>
        <w:tc>
          <w:tcPr>
            <w:tcW w:type="dxa" w:w="2835"/>
          </w:tcPr>
          <w:p>
            <w:r>
              <w:t>Grilla de líneas</w:t>
            </w:r>
          </w:p>
        </w:tc>
        <w:tc>
          <w:tcPr>
            <w:tcW w:type="dxa" w:w="6803"/>
          </w:tcPr>
          <w:p>
            <w:r>
              <w:t>Los artículos de la venta: línea, código, descripción, cantidad, precio, importe y la oferta aplicada.</w:t>
            </w:r>
          </w:p>
        </w:tc>
      </w:tr>
      <w:tr>
        <w:tc>
          <w:tcPr>
            <w:tcW w:type="dxa" w:w="2835"/>
          </w:tcPr>
          <w:p>
            <w:r>
              <w:t>Barra de teclas F</w:t>
            </w:r>
          </w:p>
        </w:tc>
        <w:tc>
          <w:tcPr>
            <w:tcW w:type="dxa" w:w="6803"/>
          </w:tcPr>
          <w:p>
            <w:r>
              <w:t>Las funciones, en dos páginas.</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Primera página:</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Segunda página (se cambia con el botón de la misma barra): catálogo en mosaicos, eliminar línea, eliminar por escaneo, limpiar pantalla, descuento a la línea, descuento a la factura, entrega o envío, despacho, anular, suspender, gaveta, reimprimir, retiro de efectivo, cierre de turno y salir.</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Clientes de régimen especial. Si el negocio lo tiene configurado, se le aplica la retención de la Ley 32-23.</w:t>
            </w:r>
          </w:p>
        </w:tc>
      </w:tr>
      <w:tr>
        <w:tc>
          <w:tcPr>
            <w:tcW w:type="dxa" w:w="2835"/>
          </w:tcPr>
          <w:p>
            <w:r>
              <w:t>E45 – Gubernamental</w:t>
            </w:r>
          </w:p>
        </w:tc>
        <w:tc>
          <w:tcPr>
            <w:tcW w:type="dxa" w:w="6803"/>
          </w:tcPr>
          <w:p>
            <w:r>
              <w:t>Instituciones del Estado. Exige RNC.</w:t>
            </w:r>
          </w:p>
        </w:tc>
      </w:tr>
    </w:tbl>
    <w:p/>
    <w:p>
      <w:r>
        <w:t>Retención de la Ley 32-23: en las facturas E44, el sistema calcula el porcentaje configurado sobre el subtotal ya con descuentos y se lo descuenta a lo que el cliente paga en caja. La factura mantiene su total; el ticket muestra “RETENCIÓN LEY 32-23” y “TOTAL A PAGAR”.</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segunda página de teclas.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Facturas en espera, anular y suspender</w:t>
      </w:r>
    </w:p>
    <w:p>
      <w:pPr>
        <w:pStyle w:val="ListBullet"/>
      </w:pPr>
      <w:r>
        <w:t>F7 – En espera: guarda la venta actual para atender a otro cliente y retomarla después.</w:t>
      </w:r>
    </w:p>
    <w:p>
      <w:pPr>
        <w:pStyle w:val="ListBullet"/>
      </w:pPr>
      <w:r>
        <w:t>Anular (segunda página): cancela la transacción en curso con motivo y autorización.</w:t>
      </w:r>
    </w:p>
    <w:p>
      <w:pPr>
        <w:pStyle w:val="ListBullet"/>
      </w:pPr>
      <w:r>
        <w:t>Suspender: bloquea la pantalla; se reanuda con la clave del cajero.</w:t>
      </w:r>
    </w:p>
    <w:p>
      <w:pPr>
        <w:pStyle w:val="ListBullet"/>
      </w:pPr>
      <w:r>
        <w:t>Eliminar línea, eliminar por escaneo y limpiar pantalla piden autorización de supervisor; la línea eliminada queda tachada y con su reverso en rojo, para que todo quede a la vista.</w:t>
      </w:r>
    </w:p>
    <w:p>
      <w:pPr>
        <w:pStyle w:val="Heading2"/>
      </w:pPr>
      <w:r>
        <w:t>3.13. Entregas y envíos</w:t>
      </w:r>
    </w:p>
    <w:p>
      <w:r>
        <w:t>Cuando el cliente se lleva parte de la mercancía después:</w:t>
      </w:r>
    </w:p>
    <w:p>
      <w:pPr>
        <w:pStyle w:val="ListNumber"/>
      </w:pPr>
      <w:r>
        <w:t>En la segunda página de teclas, elija Entrega / envío.</w:t>
      </w:r>
    </w:p>
    <w:p>
      <w:pPr>
        <w:pStyle w:val="ListNumber"/>
      </w:pPr>
      <w:r>
        <w:t>Marque qué líneas y qué cantidad quedan pendientes, y si es retiro en un almacén o envío a una dirección, con la fecha comprometida.</w:t>
      </w:r>
    </w:p>
    <w:p>
      <w:pPr>
        <w:pStyle w:val="ListNumber"/>
      </w:pPr>
      <w:r>
        <w:t>Al cobrar se imprime un comprobante de pendiente por cada destino, con código de barras.</w:t>
      </w:r>
    </w:p>
    <w:p>
      <w:pPr>
        <w:pStyle w:val="ListNumber"/>
      </w:pPr>
      <w:r>
        <w:t>En la pantalla /despacho se escanea ese comprobante para preparar, entregar (total o parcial, con quien recibe) o anular.</w:t>
      </w:r>
    </w:p>
    <w:p>
      <w:pPr>
        <w:pStyle w:val="Heading2"/>
      </w:pPr>
      <w:r>
        <w:t>3.14.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pPr>
        <w:pStyle w:val="Heading2"/>
      </w:pPr>
      <w:r>
        <w:t>3.15.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se declara lo que hay por forma de pago y se cuenta el efectivo por denominaciones. Normalmente el cajero no ve lo esperado (cierre ciego).</w:t>
      </w:r>
    </w:p>
    <w:p>
      <w:pPr>
        <w:pStyle w:val="ListBullet"/>
      </w:pPr>
      <w:r>
        <w:t>No se puede cerrar con facturas en espera, transacciones con artículos sin cobrar o ventas sin factura electrónica firmada: la pantalla dice exactamente qué falta.</w:t>
      </w:r>
    </w:p>
    <w:p>
      <w:pPr>
        <w:pStyle w:val="ListBullet"/>
      </w:pPr>
      <w:r>
        <w:t>Cerrar lote: cierra el lote del terminal de tarjetas y compara lo aprobado en la caja con lo que reporta el terminal.</w:t>
      </w:r>
    </w:p>
    <w:p>
      <w:pPr>
        <w:pStyle w:val="ListBullet"/>
      </w:pPr>
      <w:r>
        <w:t>Al cerrar se imprime el reporte del turno: esperado, declarado y diferencia por forma de pago, denominaciones, retiros, reembolsos y relevos.</w:t>
      </w:r>
    </w:p>
    <w:p>
      <w:pPr>
        <w:pStyle w:val="Heading2"/>
      </w:pPr>
      <w:r>
        <w:t>3.16. La barra de estado</w:t>
      </w:r>
    </w:p>
    <w:p>
      <w:r>
        <w:t>Abajo de la pantalla, siempre a la vista:</w:t>
      </w:r>
    </w:p>
    <w:p>
      <w:pPr>
        <w:pStyle w:val="ListBullet"/>
      </w:pPr>
      <w:r>
        <w:t>Sincronización: si la caja está comunicada con el Central y cuántos documentos están pendientes de enviar.</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scripts/base-datos/central/structura_base_datos.sql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bancos y almacenes.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scripts/base-datos/pos/structura_base_datos.sql e instale la caja con su sucursal, su número y la dirección del Central.</w:t>
      </w:r>
    </w:p>
    <w:p>
      <w:pPr>
        <w:pStyle w:val="ListNumber"/>
      </w:pPr>
      <w:r>
        <w:t>Acepte la solicitud de esa caja en el Central (Organización → Solicitudes de cajas).</w:t>
      </w:r>
    </w:p>
    <w:p>
      <w:pPr>
        <w:pStyle w:val="ListNumber"/>
      </w:pPr>
      <w:r>
        <w:t>Espere el primer ciclo de sincronización: la caja baja artículos, precios, usuarios y parámetros del Central.</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declare por forma de pago, cuente las denominaciones y revise el reporte impreso.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scripts/base-datos/central/structura_base_datos.sql en el servidor o scripts/base-datos/pos/structura_base_datos.sql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Desde la apertura, Reabrir el último cierre con motivo y autorización de nivel superior.</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