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rPr>
          <w:i/>
          <w:color w:val="2E7D32"/>
        </w:rPr>
        <w:t>El turno cierra en la caja aunque el Central esté caído: el cuadre espera. La caja nunca se queda trancada por la red.</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Cerrar lote: cierra el lote del terminal de tarjetas y compara lo aprobado en la caja con lo que reporta el terminal.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