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r>
        <w:rPr>
          <w:i/>
          <w:color w:val="2E7D32"/>
        </w:rPr>
        <w:t>A la derecha de la barra, Artículos tiene dos filtros más: «Tipo» —normal, pesado, serializado o combo— y «Estado». El estado arranca en Activos, que es lo que se mira a diario; los artículos dados de baja se piden a propósito eligiendo Inactivos, o Todos para ver los dos. Los filtros se suman a lo que se busque: «alambre» entre los pesados y activos es las tres cosas a la vez.</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 El último escaneado sale arriba del todo, así que en una venta larga no hay que desplazar la lista para comprobar lo que acaba de entrar; el número de línea sigue diciendo en qué orden se agregaron.</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r>
        <w:rPr>
          <w:i/>
          <w:color w:val="2E7D32"/>
        </w:rPr>
        <w:t>Si se vuelve a pasar un artículo que ya está en la venta, se le suma una unidad a su línea en vez de abrirse otra. Así el cliente que se lleva doce, pasados de uno en uno, llega igual al precio por mayor: la lista mira las unidades de la línea. Lo que se vende de uno en uno sigue en su propia línea: lo serializado (cada unidad tiene su serial), lo pesado (cada pesada es una línea) y lo que ya lleve un descuento o un precio puesto a mano.</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