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limpiar la pantalla,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A una misma caja se le pueden cargar varios rangos del mismo tipo: la caja usa el de numeración más baja y, cuando se acaba o se vence, sigue sola con el siguiente. No hay que hacer nada entre uno y otro.</w:t>
      </w:r>
    </w:p>
    <w:p>
      <w:pPr>
        <w:pStyle w:val="ListBullet"/>
      </w:pPr>
      <w:r>
        <w:t>Dos rangos del mismo tipo no pueden pisarse, ni siquiera entre cajas distintas: si a la caja 01 se le dio del 1 al 5, a la 02 no se le puede dar del 3 al 8, porque las dos emitirían los mismos números ante la DGII. El sistema lo rechaza y dice con qué caja choca.</w:t>
      </w:r>
    </w:p>
    <w:p>
      <w:pPr>
        <w:pStyle w:val="ListBullet"/>
      </w:pPr>
      <w:r>
        <w:t>El rango que se agota deja de listarse; sigue guardado como constancia de qué se emitió y se ve marcando «Ver agotados». En la caja sí se borra: si volviera a bajar, empezaría a repetir números.</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siete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r>
        <w:tc>
          <w:tcPr>
            <w:tcW w:type="dxa" w:w="2268"/>
          </w:tcPr>
          <w:p>
            <w:r>
              <w:t>Caja parada</w:t>
            </w:r>
          </w:p>
        </w:tc>
        <w:tc>
          <w:tcPr>
            <w:tcW w:type="dxa" w:w="7370"/>
          </w:tcPr>
          <w:p>
            <w:r>
              <w:t>Cuánto estuvo parada cada caja y por qué: el total del período, el mismo tiempo visto por caja, por cajera y por motivo, y el detalle de cada parada. El tiempo previsto (almuerzo, receso) se cuenta aparte del imprevisto.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r>
        <w:rPr>
          <w:i/>
          <w:color w:val="2E7D32"/>
        </w:rPr>
        <w:t>Los avisos que salen bajo la barra de escaneo —un error, un rango de e-CF por acabarse, una advertencia— se quitan solos a los 6 segundos, y también se pueden cerrar con la ✕. El tiempo se cambia en el Central con el parámetro «Pantallas.SegundosAviso», en general, por sucursal o por caja; con 0 el aviso se queda hasta que el cajero lo cierre. Lo que no se va es lo que describe una situación que sigue: el turno de un día anterior, la factura que exige la cédula o el límite de compra pasado.</w:t>
      </w:r>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suspender, sincronizar,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limpiar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Limpiar pantalla (panel de funciones ☰): bota la transacción en curso y empieza otra. Pide el motivo, pero se puede dejar en blanco: escanear lo que no era pasa varias veces al día. Como todavía no era una factura, desaparece de la caja; lo que tenía, quién la botó, quién lo autorizó y el motivo —si lo dio— quedan en la auditoría.</w:t>
      </w:r>
    </w:p>
    <w:p>
      <w:pPr>
        <w:pStyle w:val="ListBullet"/>
      </w:pPr>
      <w:r>
        <w:t>Suspender: el cajero elige por qué deja la caja (baño, almuerzo, receso, un llamado del supervisor u otro) y la pantalla se bloquea con un cronómetro grande que cuenta desde ese momento. Debajo del conteo está el botón Regresar: se vuelve con la clave del mismo cajero, y la venta que estaba en pantalla se conserva. El motivo «Otro» pide escribir en qué consistió.</w:t>
      </w:r>
    </w:p>
    <w:p>
      <w:pPr>
        <w:pStyle w:val="ListBullet"/>
      </w:pPr>
      <w:r>
        <w:t>Cada rato de caja parada sube al Central y sale en el módulo de cuadre, pestaña «Caja parada»: cuánto estuvo parada cada caja, cada cajera y por qué motivo. El tiempo previsto (almuerzo, receso) se cuenta aparte del imprevisto. Si nadie reanudó y el turno cerró, la parada se cierra ahí y queda marcada, para que no aparezca de catorce horas.</w:t>
      </w:r>
    </w:p>
    <w:p>
      <w:pPr>
        <w:pStyle w:val="ListBullet"/>
      </w:pPr>
      <w:r>
        <w:t>Los motivos los decide el negocio en el Central, en Maestros → Motivos de caja parada: ahí se dice cuáles son tiempo previsto y cuál pide explicación.</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si la caja tiene el terminal conectado, ella le manda el monto y recibe sola la aprobación. Si la tienda cobra con un equipo aparte (un inalámbrico, por ejemplo), el cajero digita el número de aprobación del volante: es obligatorio, porque es lo único con que después se cuadra el turno contra los comprobantes.</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rPr>
          <w:i/>
          <w:color w:val="2E7D32"/>
        </w:rPr>
        <w:t>La caja sincroniza sola cada cierto tiempo. Si acaban de cambiar un precio o crear un artículo en el Central y hace falta verlo ya, en el panel de funciones (☰) está «Sincronizar»: muestra en qué anda y se puede cerrar para seguir atendiendo mientras termina. No se puede con una venta empezada, porque los precios cambiarían a mitad de factura.</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r>
        <w:rPr>
          <w:i/>
          <w:color w:val="2E7D32"/>
        </w:rPr>
        <w:t>La primera bajada de una caja nueva es la más larga: con un catálogo grande son cientos de miles de filas. Vienen en tandas —la pantalla va diciendo «parte 2», «parte 3»— y cada tanda se guarda al llegar, así que si se corta la red o se reinicia el servicio, al volver se retoma donde iba y no hay que empezar de nuevo. El tamaño de la tanda se configura en el Central con «Central.Sincronizacion.FilasPorPagina»; sin tocarlo son 5,000 filas.</w:t>
      </w:r>
    </w:p>
    <w:p>
      <w:r>
        <w:rPr>
          <w:i/>
          <w:color w:val="2E7D32"/>
        </w:rPr>
        <w:t>Mientras bajan, la caja dice con qué se está actualizando —«Actualizando la caja con clientes»— y una barra de progreso muestra cuánto lleva, así que se ve de un vistazo si avanza o se quedó parado.</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A la caja le faltan artículos o clientes que en el Central sí están</w:t>
            </w:r>
          </w:p>
        </w:tc>
        <w:tc>
          <w:tcPr>
            <w:tcW w:type="dxa" w:w="7087"/>
          </w:tcPr>
          <w:p>
            <w:r>
              <w:t>La caja solo pide lo que cambió en el Central, así que lo que se haya perdido en su base no vuelve por su cuenta: allá no pasó nada. En la pantalla de ingreso, «Configuración de la caja» → «Volver a bajar todo del Central», con el usuario del Central que lo autorice. La caja baja el catálogo entero otra vez; tarda y mientras dura no se puede vender. Lo que ya tiene no se duplica: se actualiza.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