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pantalla de ventas principal</w:t>
            </w:r>
          </w:p>
        </w:tc>
        <w:tc>
          <w:tcPr>
            <w:tcW w:type="dxa" w:w="3969"/>
          </w:tcPr>
          <w:p>
            <w:r>
              <w:t>http://localhost:5180/</w:t>
            </w:r>
          </w:p>
        </w:tc>
        <w:tc>
          <w:tcPr>
            <w:tcW w:type="dxa" w:w="2268"/>
          </w:tcPr>
          <w:p>
            <w:r>
              <w:t>Cajero, con lector y teclado</w:t>
            </w:r>
          </w:p>
        </w:tc>
      </w:tr>
      <w:tr>
        <w:tc>
          <w:tcPr>
            <w:tcW w:type="dxa" w:w="3402"/>
          </w:tcPr>
          <w:p>
            <w:r>
              <w:t>Caja – pantalla de ventas secundaria</w:t>
            </w:r>
          </w:p>
        </w:tc>
        <w:tc>
          <w:tcPr>
            <w:tcW w:type="dxa" w:w="3969"/>
          </w:tcPr>
          <w:p>
            <w:r>
              <w:t>http://localhost:5180/venta-secundaria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w:t>
            </w:r>
          </w:p>
        </w:tc>
      </w:tr>
      <w:tr>
        <w:tc>
          <w:tcPr>
            <w:tcW w:type="dxa" w:w="3402"/>
          </w:tcPr>
          <w:p>
            <w:r>
              <w:t>Caja – devoluciones</w:t>
            </w:r>
          </w:p>
        </w:tc>
        <w:tc>
          <w:tcPr>
            <w:tcW w:type="dxa" w:w="3969"/>
          </w:tcPr>
          <w:p>
            <w:r>
              <w:t>http://localhost:5180/devoluciones</w:t>
            </w:r>
          </w:p>
        </w:tc>
        <w:tc>
          <w:tcPr>
            <w:tcW w:type="dxa" w:w="2268"/>
          </w:tcPr>
          <w:p>
            <w:r>
              <w:t>Cajero o encargado de devoluciones</w:t>
            </w:r>
          </w:p>
        </w:tc>
      </w:tr>
      <w:tr>
        <w:tc>
          <w:tcPr>
            <w:tcW w:type="dxa" w:w="3402"/>
          </w:tcPr>
          <w:p>
            <w:r>
              <w:t>Caja – despacho de pendientes</w:t>
            </w:r>
          </w:p>
        </w:tc>
        <w:tc>
          <w:tcPr>
            <w:tcW w:type="dxa" w:w="3969"/>
          </w:tcPr>
          <w:p>
            <w:r>
              <w:t>http://localhost:5180/despacho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el usuario administrador, los parámetros del negocio con valores razonables y los catálogos que son iguales en cualquier negocio dominicano.</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Empresa, sucursales y cajas</w:t>
            </w:r>
          </w:p>
        </w:tc>
      </w:tr>
      <w:tr>
        <w:tc>
          <w:tcPr>
            <w:tcW w:type="dxa" w:w="4819"/>
          </w:tcPr>
          <w:p>
            <w:r>
              <w:t>Parámetros con valores de arranque (plazos, topes, fidelidad, cuadre…)</w:t>
            </w:r>
          </w:p>
        </w:tc>
        <w:tc>
          <w:tcPr>
            <w:tcW w:type="dxa" w:w="4819"/>
          </w:tcPr>
          <w:p>
            <w:r>
              <w:t>Departamentos, categorías y marcas</w:t>
            </w:r>
          </w:p>
        </w:tc>
      </w:tr>
      <w:tr>
        <w:tc>
          <w:tcPr>
            <w:tcW w:type="dxa" w:w="4819"/>
          </w:tcPr>
          <w:p>
            <w:r>
              <w:t>Monedas: peso dominicano y dólar</w:t>
            </w:r>
          </w:p>
        </w:tc>
        <w:tc>
          <w:tcPr>
            <w:tcW w:type="dxa" w:w="4819"/>
          </w:tcPr>
          <w:p>
            <w:r>
              <w:t>Artículos y sus precios</w:t>
            </w:r>
          </w:p>
        </w:tc>
      </w:tr>
      <w:tr>
        <w:tc>
          <w:tcPr>
            <w:tcW w:type="dxa" w:w="4819"/>
          </w:tcPr>
          <w:p>
            <w:r>
              <w:t>Impuestos: ITBIS 18 %, 16 %, 0 % y exento</w:t>
            </w:r>
          </w:p>
        </w:tc>
        <w:tc>
          <w:tcPr>
            <w:tcW w:type="dxa" w:w="4819"/>
          </w:tcPr>
          <w:p>
            <w:r>
              <w:t>Clientes</w:t>
            </w:r>
          </w:p>
        </w:tc>
      </w:tr>
      <w:tr>
        <w:tc>
          <w:tcPr>
            <w:tcW w:type="dxa" w:w="4819"/>
          </w:tcPr>
          <w:p>
            <w:r>
              <w:t>Unidades de medida: unidad, libra, pie, yarda, galón</w:t>
            </w:r>
          </w:p>
        </w:tc>
        <w:tc>
          <w:tcPr>
            <w:tcW w:type="dxa" w:w="4819"/>
          </w:tcPr>
          <w:p>
            <w:r>
              <w:t>Bancos y almacenes</w:t>
            </w:r>
          </w:p>
        </w:tc>
      </w:tr>
      <w:tr>
        <w:tc>
          <w:tcPr>
            <w:tcW w:type="dxa" w:w="4819"/>
          </w:tcPr>
          <w:p>
            <w:r>
              <w:t>Denominaciones de billetes y monedas, para el cuadre</w:t>
            </w:r>
          </w:p>
        </w:tc>
        <w:tc>
          <w:tcPr>
            <w:tcW w:type="dxa" w:w="4819"/>
          </w:tcPr>
          <w:p>
            <w:r>
              <w:t>Promociones</w:t>
            </w:r>
          </w:p>
        </w:tc>
      </w:tr>
      <w:tr>
        <w:tc>
          <w:tcPr>
            <w:tcW w:type="dxa" w:w="4819"/>
          </w:tcPr>
          <w:p>
            <w:r>
              <w:t>Formas de pago: efectivo, tarjeta, transferencia, cheque, dólares, nota de crédito, bonos, puntos…</w:t>
            </w:r>
          </w:p>
        </w:tc>
        <w:tc>
          <w:tcPr>
            <w:tcW w:type="dxa" w:w="4819"/>
          </w:tcPr>
          <w:p>
            <w:r>
              <w:t>Rangos de comprobantes fiscales</w:t>
            </w:r>
          </w:p>
        </w:tc>
      </w:tr>
      <w:tr>
        <w:tc>
          <w:tcPr>
            <w:tcW w:type="dxa" w:w="4819"/>
          </w:tcPr>
          <w:p>
            <w:r>
              <w:t>Tipos de tarjeta y motivos de descuento y de devolución</w:t>
            </w:r>
          </w:p>
        </w:tc>
        <w:tc>
          <w:tcPr>
            <w:tcW w:type="dxa" w:w="4819"/>
          </w:tcPr>
          <w:p>
            <w:r>
              <w:t>Usuarios y roles de caja</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Empresa, sucursal y caja</w:t>
            </w:r>
          </w:p>
        </w:tc>
        <w:tc>
          <w:tcPr>
            <w:tcW w:type="dxa" w:w="2721"/>
          </w:tcPr>
          <w:p>
            <w:r>
              <w:t>Organización</w:t>
            </w:r>
          </w:p>
        </w:tc>
        <w:tc>
          <w:tcPr>
            <w:tcW w:type="dxa" w:w="4535"/>
          </w:tcPr>
          <w:p>
            <w:r>
              <w:t>La caja se identifica por su sucursal y su número;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no se cambia).</w:t>
            </w:r>
          </w:p>
        </w:tc>
      </w:tr>
      <w:tr>
        <w:tc>
          <w:tcPr>
            <w:tcW w:type="dxa" w:w="2154"/>
          </w:tcPr>
          <w:p>
            <w:r>
              <w:t>Sucursales</w:t>
            </w:r>
          </w:p>
        </w:tc>
        <w:tc>
          <w:tcPr>
            <w:tcW w:type="dxa" w:w="2835"/>
          </w:tcPr>
          <w:p>
            <w:r>
              <w:t>/organizacion/sucursales</w:t>
            </w:r>
          </w:p>
        </w:tc>
        <w:tc>
          <w:tcPr>
            <w:tcW w:type="dxa" w:w="4649"/>
          </w:tcPr>
          <w:p>
            <w:r>
              <w:t>Alta y datos de cada sucursal.</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r>
        <w:rPr>
          <w:i/>
          <w:color w:val="2E7D32"/>
        </w:rPr>
        <w:t>El nivel se usa para las autorizaciones: un descuento que pasa el tope de un supervisor pide la clave de alguien de nivel superior.</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