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Si se escribe algo mal, la ✕ del final del campo lo borra, y la tecla Esc hace lo mismo sin soltar el teclado.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la autorización del supervisor en un solo cuadro, donde el motivo es opcional: escanear lo que no era pasa varias veces al día y explicarlo cada vez solo entorpece.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r>
        <w:rPr>
          <w:i/>
          <w:color w:val="2E7D32"/>
        </w:rPr>
        <w:t>En el cuadro de autorización del supervisor, el motivo es opcional: quien autoriza está delante del cajero y muchas veces escribirlo solo entorpece. Lo que nunca se pierde es qué se autorizó, a quién y quién lo autorizó, que queda en la auditoría con o sin motivo.</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