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3.14.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Facturas de otra sucursal o de otra caja:</w:t>
      </w:r>
    </w:p>
    <w:p>
      <w:pPr>
        <w:pStyle w:val="ListBullet"/>
      </w:pPr>
      <w:r>
        <w:t>Se devuelven igual. Si la factura no es de esta caja, el sistema se la pide al Central y la trae con lo que ya se devolvió de ella en cualquier tienda de la empresa; la pantalla avisa de qué sucursal y caja viene.</w:t>
      </w:r>
    </w:p>
    <w:p>
      <w:pPr>
        <w:pStyle w:val="ListBullet"/>
      </w:pPr>
      <w:r>
        <w:t>La nota de crédito la emite SIEMPRE esta caja, con su propio certificado y su propio rango de e-NCF. La factura solo se consulta.</w:t>
      </w:r>
    </w:p>
    <w:p>
      <w:pPr>
        <w:pStyle w:val="ListBullet"/>
      </w:pPr>
      <w:r>
        <w:t>Mientras se emite, el Central le retiene esas líneas a esta caja, para que otra tienda no devuelva al mismo tiempo la misma mercancía. La retención se suelta sola a los minutos configurados en el Central si la nota no se llega a emitir.</w:t>
      </w:r>
    </w:p>
    <w:p>
      <w:pPr>
        <w:pStyle w:val="ListBullet"/>
      </w:pPr>
      <w:r>
        <w:t>La copia de la factura traída del Central se borra en cuanto se emite la nota: en la caja no queda guardada la venta de otra tienda.</w:t>
      </w:r>
    </w:p>
    <w:p>
      <w:r>
        <w:rPr>
          <w:i/>
          <w:color w:val="2E7D32"/>
        </w:rPr>
        <w:t>Para devolver una factura de otra tienda hace falta conexión con el Central. Sin conexión solo se devuelven las facturas de esta misma caja, y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