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r>
        <w:rPr>
          <w:i/>
          <w:color w:val="2E7D32"/>
        </w:rPr>
        <w:t>A la derecha de la barra, Artículos tiene dos filtros más: «Tipo» —normal, pesado, serializado o combo— y «Estado». El estado arranca en Activos, que es lo que se mira a diario; los artículos dados de baja se piden a propósito eligiendo Inactivos, o Todos para ver los dos. Los filtros se suman a lo que se busque: «alambre» entre los pesados y activos es las tres cosas a la vez.</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Si se escribe algo mal, la ✕ del final del campo lo borra, y la tecla Esc hace lo mismo sin soltar el teclado.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p>
      <w:r>
        <w:t>Si no se sabe el documento de memoria, el botón «Buscar por nombre» abre una lista táctil donde se escribe con el teclado en pantalla y se elige tocando la fila. Busca lo mismo por documento (si se escriben solo números) o por nombre, desde tres caracteres, y muestra los primeros 50: si salen demasiados, hay que escribir algo más. Encuentra al instante por el principio del nombre; buscar una palabra de en medio también sirve, pero tarda un poco más porque la caja tiene el padrón entero de la DGII.</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la autorización del supervisor en un solo cuadro, donde el motivo es opcional: escanear lo que no era pasa varias veces al día y explicarlo cada vez solo entorpece.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r>
        <w:rPr>
          <w:i/>
          <w:color w:val="2E7D32"/>
        </w:rPr>
        <w:t>En el cuadro de autorización del supervisor, el motivo es opcional: quien autoriza está delante del cajero y muchas veces escribirlo solo entorpece. Lo que nunca se pierde es qué se autorizó, a quién y quién lo autorizó, que queda en la auditoría con o sin motivo.</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A una caja le faltan artículos o clientes que en el Central sí están</w:t>
            </w:r>
          </w:p>
        </w:tc>
        <w:tc>
          <w:tcPr>
            <w:tcW w:type="dxa" w:w="7087"/>
          </w:tcPr>
          <w:p>
            <w:r>
              <w:t>La caja solo pide lo que cambió en el Central, así que lo que se haya perdido en su base no vuelve por su cuenta: allá no pasó nada. En el Central, Organización → Cajas, en el menú de esa caja, «Volver a sincronizar esta caja». Baja el catálogo entero otra vez la próxima vez que pregunte; tarda varios minutos y mientras dura esa caja no vende. Lo que ya tiene no se duplica: se actualiza.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