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color w:val="555555"/>
          <w:sz w:val="19"/>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color w:val="555555"/>
          <w:sz w:val="19"/>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color w:val="555555"/>
          <w:sz w:val="19"/>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color w:val="555555"/>
          <w:sz w:val="19"/>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color w:val="555555"/>
          <w:sz w:val="19"/>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color w:val="555555"/>
          <w:sz w:val="19"/>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color w:val="555555"/>
          <w:sz w:val="19"/>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anular,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color w:val="555555"/>
          <w:sz w:val="19"/>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color w:val="555555"/>
          <w:sz w:val="19"/>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color w:val="555555"/>
          <w:sz w:val="19"/>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color w:val="555555"/>
          <w:sz w:val="19"/>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color w:val="555555"/>
          <w:sz w:val="19"/>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y autorice con el supervisor.</w:t>
      </w:r>
    </w:p>
    <w:p>
      <w:r>
        <w:rPr>
          <w:b/>
          <w:color w:val="1B4D3E"/>
        </w:rPr>
        <w:t xml:space="preserve">Debe pasar: </w:t>
      </w:r>
      <w:r>
        <w:rPr>
          <w:color w:val="555555"/>
        </w:rPr>
        <w:t>La venta se descarta entera y empieza otra vacía. La descartada no deja factura ni consume número.</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color w:val="555555"/>
          <w:sz w:val="19"/>
        </w:rPr>
        <w:t>☐ Pasó          ☐ Falló          Observación: ______________________________________________</w:t>
      </w:r>
    </w:p>
    <w:p>
      <w:pPr>
        <w:pStyle w:val="Heading3"/>
      </w:pPr>
      <w:r>
        <w:t>I3 · Tarjeta rechazada y aprobación manual</w:t>
      </w:r>
    </w:p>
    <w:p>
      <w:pPr>
        <w:pStyle w:val="ListNumber"/>
      </w:pPr>
      <w:r>
        <w:t>Haga que el terminal rechace un cobro (o simúlelo) y observe qué pasa.</w:t>
      </w:r>
    </w:p>
    <w:p>
      <w:pPr>
        <w:pStyle w:val="ListNumber"/>
      </w:pPr>
      <w:r>
        <w:t>Si la pasarela no responde, use la aprobación manual con el permiso correspondiente.</w:t>
      </w:r>
    </w:p>
    <w:p>
      <w:r>
        <w:rPr>
          <w:b/>
          <w:color w:val="1B4D3E"/>
        </w:rPr>
        <w:t xml:space="preserve">Debe pasar: </w:t>
      </w:r>
      <w:r>
        <w:rPr>
          <w:color w:val="555555"/>
        </w:rPr>
        <w:t>El rechazo no cobra la venta ni la daña: se puede reintentar. La aprobación manual queda marcada para conciliarla después contra el lote.</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color w:val="555555"/>
          <w:sz w:val="19"/>
        </w:rPr>
        <w:t>☐ Pasó          ☐ Falló          Observación: ______________________________________________</w:t>
      </w:r>
    </w:p>
    <w:p>
      <w:pPr>
        <w:pStyle w:val="Heading3"/>
      </w:pPr>
      <w:r>
        <w:t>J3 · Aviso de secuencia baja</w:t>
      </w:r>
    </w:p>
    <w:p>
      <w:pPr>
        <w:pStyle w:val="ListNumber"/>
      </w:pPr>
      <w:r>
        <w:t>Deje el rango de e-NCF casi agotado (o configure el aviso para que salte antes).</w:t>
      </w:r>
    </w:p>
    <w:p>
      <w:r>
        <w:rPr>
          <w:b/>
          <w:color w:val="1B4D3E"/>
        </w:rPr>
        <w:t xml:space="preserve">Debe pasar: </w:t>
      </w:r>
      <w:r>
        <w:rPr>
          <w:color w:val="555555"/>
        </w:rPr>
        <w:t>La barra de estado avisa que quedan pocos comprobantes, con tiempo para pedir más a la DGII.</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color w:val="555555"/>
          <w:sz w:val="19"/>
        </w:rPr>
        <w:t>☐ Pasó          ☐ Falló          Observación: ______________________________________________</w:t>
      </w:r>
    </w:p>
    <w:p>
      <w:pPr>
        <w:pStyle w:val="Heading3"/>
      </w:pPr>
      <w:r>
        <w:t>P6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