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lo deja activo. El teléfono, el correo, el contacto, el tipo de comprobante, la lista de precios y las direcciones no se tocan: eso lo llenó usted.</w:t>
            </w:r>
          </w:p>
        </w:tc>
      </w:tr>
      <w:tr>
        <w:tc>
          <w:tcPr>
            <w:tcW w:type="dxa" w:w="2268"/>
          </w:tcPr>
          <w:p>
            <w:r>
              <w:t>Si no existe</w:t>
            </w:r>
          </w:p>
        </w:tc>
        <w:tc>
          <w:tcPr>
            <w:tcW w:type="dxa" w:w="6803"/>
          </w:tcPr>
          <w:p>
            <w:r>
              <w:t>Lo crea. Un RNC de 9 dígitos nace con crédito fiscal (E31) y una cédula de 11 con consumo (E32). El código del cliente es su propio documento.</w:t>
            </w:r>
          </w:p>
        </w:tc>
      </w:tr>
      <w:tr>
        <w:tc>
          <w:tcPr>
            <w:tcW w:type="dxa" w:w="2268"/>
          </w:tcPr>
          <w:p>
            <w:r>
              <w:t>Estado</w:t>
            </w:r>
          </w:p>
        </w:tc>
        <w:tc>
          <w:tcPr>
            <w:tcW w:type="dxa" w:w="6803"/>
          </w:tcPr>
          <w:p>
            <w:r>
              <w:t>Solo se cargan los contribuyentes ACTIVO.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Código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y su fecha de vencimiento, según los días configurados en Parámetros.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2.18.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2.19.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2.20.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 Los precios se muestran con el ITBIS ya sumado, que es lo que el cliente paga.</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Cerrar el turno es definitivo: la caja no puede volver atrás. Cuente con calma antes de cerrar; si de todos modos quedó mal, la corrección se hace en el Central.</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anular, suspender,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anular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Anular (panel de funciones ☰): cancela la transacción en curso con motivo y autorización. Como todavía no era una factura, desaparece de la caja; lo que tenía, quién la anuló, quién lo autorizó y el motivo quedan en la auditoría.</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