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Antes de ejecutar el script en el servidor de la empresa, revise en él el RNC: es el que sale en las facturas y ante la DGII, y después no se puede cambiar desde el Central. La razón social, el nombre comercial, la dirección y el teléfono sí se corrigen luego en Organización → Empresa.</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su RNC (revíselo antes de instalar)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Sucursal y caja</w:t>
            </w:r>
          </w:p>
        </w:tc>
        <w:tc>
          <w:tcPr>
            <w:tcW w:type="dxa" w:w="2721"/>
          </w:tcPr>
          <w:p>
            <w:r>
              <w:t>Organización</w:t>
            </w:r>
          </w:p>
        </w:tc>
        <w:tc>
          <w:tcPr>
            <w:tcW w:type="dxa" w:w="4535"/>
          </w:tcPr>
          <w:p>
            <w:r>
              <w:t>La caja se identifica por su sucursal y su número; sin eso no se conecta. La empresa ya viene creada: revise sus datos.</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no se cambia).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r>
        <w:rPr>
          <w:i/>
          <w:color w:val="2E7D32"/>
        </w:rPr>
        <w:t>El nivel se usa para las autorizaciones: un descuento que pasa el tope de un supervisor pide la clave de alguien de nivel superior.</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