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Национальный Исследовательский Университет Высшая Школа Экономики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4"/>
          <w:szCs w:val="44"/>
        </w:rPr>
        <w:t>Домашнее задание №1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>«Первичная обработка и представление статистических данных»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Студентка ФКН, ПИ</w:t>
      </w:r>
    </w:p>
    <w:p>
      <w:pPr>
        <w:pStyle w:val="Normal"/>
        <w:jc w:val="right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группы БПИ 172</w:t>
      </w:r>
    </w:p>
    <w:p>
      <w:pPr>
        <w:pStyle w:val="Normal"/>
        <w:jc w:val="right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Карнаухова Алёна Юрьевна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Москва 2018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dt>
      <w:sdtPr>
        <w:docPartObj>
          <w:docPartGallery w:val="Table of Contents"/>
          <w:docPartUnique w:val="true"/>
        </w:docPartObj>
        <w:id w:val="444935498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b/>
              <w:color w:val="000000" w:themeColor="text1"/>
              <w:sz w:val="40"/>
              <w:szCs w:val="40"/>
            </w:rPr>
            <w:t>Оглавление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008_2574651875">
            <w:r>
              <w:rPr>
                <w:webHidden/>
                <w:rStyle w:val="IndexLink"/>
              </w:rPr>
              <w:t>Описание показателей выбранных для исследования</w:t>
              <w:tab/>
              <w:t>4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_Toc1012_2574651875">
            <w:r>
              <w:rPr>
                <w:webHidden/>
                <w:rStyle w:val="IndexLink"/>
              </w:rPr>
              <w:t>Экономическая интерпретация</w:t>
              <w:tab/>
              <w:t>4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_Toc992_2574651875">
            <w:r>
              <w:rPr>
                <w:webHidden/>
                <w:rStyle w:val="IndexLink"/>
              </w:rPr>
              <w:t>Графический анализ</w:t>
              <w:tab/>
              <w:t>5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994_2574651875">
            <w:r>
              <w:rPr>
                <w:webHidden/>
                <w:rStyle w:val="IndexLink"/>
              </w:rPr>
              <w:t>Анализ вариационных рядов</w:t>
              <w:tab/>
              <w:t>6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_Toc996_2574651875">
            <w:r>
              <w:rPr>
                <w:webHidden/>
                <w:rStyle w:val="IndexLink"/>
              </w:rPr>
              <w:t>Построение интервального вариационного ряда</w:t>
              <w:tab/>
              <w:t>6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_Toc998_2574651875">
            <w:r>
              <w:rPr>
                <w:webHidden/>
                <w:rStyle w:val="IndexLink"/>
              </w:rPr>
              <w:t>Графическое представление исходных данных</w:t>
              <w:tab/>
              <w:t>7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_Toc1018_2574651875">
            <w:r>
              <w:rPr>
                <w:webHidden/>
                <w:rStyle w:val="IndexLink"/>
              </w:rPr>
              <w:t>Анализ частот</w:t>
              <w:tab/>
              <w:t>9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1002_2574651875">
            <w:r>
              <w:rPr>
                <w:webHidden/>
                <w:rStyle w:val="IndexLink"/>
              </w:rPr>
              <w:t>Основные числовые характеристики</w:t>
              <w:tab/>
              <w:t>10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_Toc1004_2574651875">
            <w:r>
              <w:rPr>
                <w:webHidden/>
                <w:rStyle w:val="IndexLink"/>
              </w:rPr>
              <w:t>График квартильного распределения</w:t>
              <w:tab/>
              <w:t>11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1006_2574651875">
            <w:r>
              <w:rPr>
                <w:webHidden/>
                <w:rStyle w:val="IndexLink"/>
              </w:rPr>
              <w:t>Список использованной литературы</w:t>
              <w:tab/>
              <w:t>12</w:t>
            </w:r>
          </w:hyperlink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  <w:r>
            <w:rPr>
              <w:sz w:val="32"/>
              <w:b/>
              <w:szCs w:val="32"/>
              <w:rFonts w:cs="Times New Roman" w:ascii="Times New Roman" w:hAnsi="Times New Roman"/>
            </w:rPr>
            <w:fldChar w:fldCharType="end"/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</w:rPr>
          </w:r>
        </w:p>
      </w:sdtContent>
    </w:sdt>
    <w:tbl>
      <w:tblPr>
        <w:tblStyle w:val="a6"/>
        <w:tblW w:w="9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0"/>
        <w:gridCol w:w="6754"/>
        <w:gridCol w:w="1452"/>
      </w:tblGrid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Номер  региона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Области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Цены за 1 кв. м.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 xml:space="preserve">(рубль)  общей  </w:t>
            </w: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площади квартир на рынке жилья (рубль), РФ, II квартал, 2018 г.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Брянская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30415,37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Воронежская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41395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Калужская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42067,51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Курская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36699,19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Московская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72222,86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Рязанская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38877,69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Смоленская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33656,46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Тамбовская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34933,07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Ярославская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45439,09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г. Москва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112053,9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Карелия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48099,88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Вологодская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39109,27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Калининградская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49049,8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Ленинградская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48992,27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Новгородская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36249,1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Псковская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36832,81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г. Санкт-Петербург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98099,42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Калмыкия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26688,48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Крым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55214,38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Краснодарский край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41969,11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Астраханская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38106,69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Волгоградская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39155,68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Ростовская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42893,66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г. Севастополь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58253,58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Ингушетия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40529,71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Кабардино-Балкарская Республика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25829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Карачаево-Черкесская Республика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41514,89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Северная Осетия - Алания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35906,99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Чеченская Республика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41726,42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Ставропольский край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34653,45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Башкортостан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50475,15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Марий Эл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30328,82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Мордовия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39104,12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Татарстан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54197,8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Удмуртская Республика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46430,41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35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Чувашская Республика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39807,41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36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Пермский край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60078,95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37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Кировская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39589,92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38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Нижегородская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54405,41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39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Оренбургская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38259,29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Пензенская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36553,79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41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Самарская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39990,24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42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Саратовская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33970,9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Ульяновская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37534,33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44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Свердловская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57538,06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Тюменская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48505,26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46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Ханты-Мансийский автономный округ-Югра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52160,54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47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Ямало-Ненецкий автономный округ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65315,5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Тюменская область (кроме Ханты-Мансийского автономного округа - Югры и Ямало-Ненецкого автономного округа)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46990,01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49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Челябинская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33835,81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Сибирский федеральный округ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44939,95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51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Алтай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35950,89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52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Хакасия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33948,16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53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Алтайский край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40931,29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54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Забайкальский край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39531,56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55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Красноярский край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48493,52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56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Иркутская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44386,61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57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Кемеровская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39682,71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58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Новосибирская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49029,47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59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Омская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40186,52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Томская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49499,81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61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Дальневосточный федеральный округ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59682,53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62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Республика Саха (Якутия)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68424,88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63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Приморский край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49742,24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64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Хабаровский край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56571,62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65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Амурская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51067,6</w:t>
            </w:r>
          </w:p>
        </w:tc>
      </w:tr>
      <w:tr>
        <w:trPr>
          <w:trHeight w:val="300" w:hRule="atLeast"/>
        </w:trPr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66</w:t>
            </w:r>
          </w:p>
        </w:tc>
        <w:tc>
          <w:tcPr>
            <w:tcW w:w="6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Сахалинская область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70329,39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>Таблица 1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</w:r>
    </w:p>
    <w:p>
      <w:pPr>
        <w:pStyle w:val="Heading1"/>
        <w:jc w:val="center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bookmarkStart w:id="0" w:name="__RefHeading___Toc1008_2574651875"/>
      <w:bookmarkStart w:id="1" w:name="_Toc528663358"/>
      <w:bookmarkEnd w:id="0"/>
      <w:r>
        <w:rPr>
          <w:rFonts w:ascii="Times New Roman" w:hAnsi="Times New Roman"/>
          <w:b/>
          <w:bCs/>
          <w:color w:val="000000"/>
          <w:sz w:val="40"/>
          <w:szCs w:val="40"/>
        </w:rPr>
        <w:t>Описание показателей выбранных для исследования</w:t>
      </w:r>
      <w:bookmarkEnd w:id="1"/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Heading2"/>
        <w:jc w:val="center"/>
        <w:rPr/>
      </w:pPr>
      <w:bookmarkStart w:id="2" w:name="__RefHeading___Toc1012_2574651875"/>
      <w:bookmarkEnd w:id="2"/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Э</w:t>
      </w:r>
      <w:bookmarkStart w:id="3" w:name="_Toc528663359"/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кономическая интерпретация</w:t>
      </w:r>
      <w:bookmarkEnd w:id="3"/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32"/>
          <w:szCs w:val="32"/>
        </w:rPr>
        <w:t xml:space="preserve">Данные были взяты с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 w:themeColor="text1"/>
            <w:sz w:val="32"/>
            <w:szCs w:val="32"/>
          </w:rPr>
          <w:t>http://cbsd.gks.ru/</w:t>
        </w:r>
      </w:hyperlink>
      <w:r>
        <w:rPr>
          <w:rFonts w:cs="Times New Roman" w:ascii="Times New Roman" w:hAnsi="Times New Roman"/>
          <w:b w:val="false"/>
          <w:bCs w:val="false"/>
          <w:color w:val="000000" w:themeColor="text1"/>
          <w:sz w:val="32"/>
          <w:szCs w:val="32"/>
        </w:rPr>
        <w:t>. Данными для исследования является средняя цена (рубль) за 1 кв. м общей площади квартир на рынке жилья в некоторых областях РФ во II квартале 2018 г. Ряд — количественна непрерывная величина. Прослеживается следующая закономерность цен в регионах: чем регион богаче, тем средняя цена за  1 кв. м общей площади квартир выше. Например, самая высокая средняя цена за 1 кв. м общей площади квартир — в Москве.</w:t>
      </w:r>
    </w:p>
    <w:p>
      <w:pPr>
        <w:pStyle w:val="Heading2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32"/>
          <w:szCs w:val="32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Heading2"/>
        <w:jc w:val="center"/>
        <w:rPr/>
      </w:pPr>
      <w:bookmarkStart w:id="4" w:name="__RefHeading___Toc992_2574651875"/>
      <w:bookmarkStart w:id="5" w:name="_Toc528663361"/>
      <w:bookmarkEnd w:id="4"/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Графический анализ</w:t>
      </w:r>
      <w:bookmarkEnd w:id="5"/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401193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Рис. 1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Большая часть значений (93%) находится в пределе от 15000 руб. до 65000 руб. Остальные наблюдения являются аномальными, что объясняется экономически: самые высокие цены за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32"/>
          <w:szCs w:val="32"/>
        </w:rPr>
        <w:t>1 кв. м общей площади квартир - в г. Москве и г. Санкт-Петербурге. Наблюдается прямая зависимость стоимоть цен за 1 кв. м общей площади квартир от уровня жизни в регионе.</w:t>
      </w:r>
      <w:r>
        <w:br w:type="page"/>
      </w:r>
    </w:p>
    <w:p>
      <w:pPr>
        <w:pStyle w:val="Heading1"/>
        <w:jc w:val="center"/>
        <w:rPr/>
      </w:pPr>
      <w:bookmarkStart w:id="6" w:name="__RefHeading___Toc994_2574651875"/>
      <w:bookmarkStart w:id="7" w:name="_Toc528663362"/>
      <w:bookmarkEnd w:id="6"/>
      <w:r>
        <w:rPr>
          <w:rFonts w:cs="Times New Roman" w:ascii="Times New Roman" w:hAnsi="Times New Roman"/>
          <w:b/>
          <w:color w:val="000000" w:themeColor="text1"/>
          <w:sz w:val="40"/>
          <w:szCs w:val="40"/>
        </w:rPr>
        <w:t>Анализ вариационных рядов</w:t>
      </w:r>
      <w:bookmarkEnd w:id="7"/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Heading2"/>
        <w:jc w:val="center"/>
        <w:rPr/>
      </w:pPr>
      <w:bookmarkStart w:id="8" w:name="__RefHeading___Toc996_2574651875"/>
      <w:bookmarkStart w:id="9" w:name="_Toc528663363"/>
      <w:bookmarkEnd w:id="8"/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Построение интервального вариационного ряда</w:t>
      </w:r>
      <w:bookmarkEnd w:id="9"/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tbl>
      <w:tblPr>
        <w:tblStyle w:val="a6"/>
        <w:tblW w:w="7650" w:type="dxa"/>
        <w:jc w:val="left"/>
        <w:tblInd w:w="6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99"/>
        <w:gridCol w:w="3750"/>
      </w:tblGrid>
      <w:tr>
        <w:trPr>
          <w:trHeight w:val="300" w:hRule="atLeast"/>
        </w:trPr>
        <w:tc>
          <w:tcPr>
            <w:tcW w:w="3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Начало интервала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Конец интервала</w:t>
            </w:r>
          </w:p>
        </w:tc>
      </w:tr>
      <w:tr>
        <w:trPr>
          <w:trHeight w:val="300" w:hRule="atLeast"/>
        </w:trPr>
        <w:tc>
          <w:tcPr>
            <w:tcW w:w="3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19727,68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31930,32</w:t>
            </w:r>
          </w:p>
        </w:tc>
      </w:tr>
      <w:tr>
        <w:trPr>
          <w:trHeight w:val="300" w:hRule="atLeast"/>
        </w:trPr>
        <w:tc>
          <w:tcPr>
            <w:tcW w:w="3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31930,32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44132,95</w:t>
            </w:r>
          </w:p>
        </w:tc>
      </w:tr>
      <w:tr>
        <w:trPr>
          <w:trHeight w:val="300" w:hRule="atLeast"/>
        </w:trPr>
        <w:tc>
          <w:tcPr>
            <w:tcW w:w="3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44132,95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56335,58</w:t>
            </w:r>
          </w:p>
        </w:tc>
      </w:tr>
      <w:tr>
        <w:trPr>
          <w:trHeight w:val="300" w:hRule="atLeast"/>
        </w:trPr>
        <w:tc>
          <w:tcPr>
            <w:tcW w:w="3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56335,58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68538,21</w:t>
            </w:r>
          </w:p>
        </w:tc>
      </w:tr>
      <w:tr>
        <w:trPr>
          <w:trHeight w:val="300" w:hRule="atLeast"/>
        </w:trPr>
        <w:tc>
          <w:tcPr>
            <w:tcW w:w="3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68538,21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80740,84</w:t>
            </w:r>
          </w:p>
        </w:tc>
      </w:tr>
      <w:tr>
        <w:trPr>
          <w:trHeight w:val="300" w:hRule="atLeast"/>
        </w:trPr>
        <w:tc>
          <w:tcPr>
            <w:tcW w:w="3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80740,84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92943,47</w:t>
            </w:r>
          </w:p>
        </w:tc>
      </w:tr>
      <w:tr>
        <w:trPr>
          <w:trHeight w:val="300" w:hRule="atLeast"/>
        </w:trPr>
        <w:tc>
          <w:tcPr>
            <w:tcW w:w="3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92943,47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105146,1</w:t>
            </w:r>
          </w:p>
        </w:tc>
      </w:tr>
      <w:tr>
        <w:trPr>
          <w:trHeight w:val="300" w:hRule="atLeast"/>
        </w:trPr>
        <w:tc>
          <w:tcPr>
            <w:tcW w:w="3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105146,1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117348,7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Таблица 2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2"/>
        <w:jc w:val="center"/>
        <w:rPr/>
      </w:pPr>
      <w:bookmarkStart w:id="10" w:name="__RefHeading___Toc998_2574651875"/>
      <w:bookmarkStart w:id="11" w:name="_Toc528663364"/>
      <w:bookmarkEnd w:id="10"/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Графическое представление исходных данных</w:t>
      </w:r>
      <w:bookmarkEnd w:id="11"/>
    </w:p>
    <w:p>
      <w:pPr>
        <w:pStyle w:val="Normal"/>
        <w:jc w:val="center"/>
        <w:rPr/>
      </w:pPr>
      <w:r>
        <w:rPr/>
        <w:drawing>
          <wp:inline distT="0" distB="0" distL="0" distR="0">
            <wp:extent cx="4819650" cy="385572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Рис. 2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91100" cy="399288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Рис. 3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48225" cy="3878580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Рис. 4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81880" cy="3905250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Рис. 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Heading2"/>
        <w:jc w:val="center"/>
        <w:rPr/>
      </w:pPr>
      <w:bookmarkStart w:id="12" w:name="__RefHeading___Toc1018_2574651875"/>
      <w:bookmarkEnd w:id="12"/>
      <w:r>
        <w:rPr>
          <w:rFonts w:ascii="Times new Roman" w:hAnsi="Times new Roman"/>
          <w:b/>
          <w:bCs/>
          <w:color w:val="000000"/>
          <w:sz w:val="32"/>
          <w:szCs w:val="32"/>
        </w:rPr>
        <w:t>Анализ частот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Наблюдается правосторонняя асимметрия данных и островершинное распределение. Также имеются четко выраженные аномальные наблюдения.</w:t>
      </w:r>
      <w:r>
        <w:br w:type="page"/>
      </w:r>
    </w:p>
    <w:p>
      <w:pPr>
        <w:pStyle w:val="Heading1"/>
        <w:jc w:val="center"/>
        <w:rPr/>
      </w:pPr>
      <w:bookmarkStart w:id="13" w:name="__RefHeading___Toc1002_2574651875"/>
      <w:bookmarkStart w:id="14" w:name="_Toc528663366"/>
      <w:bookmarkEnd w:id="13"/>
      <w:r>
        <w:rPr>
          <w:rFonts w:cs="Times New Roman" w:ascii="Times New Roman" w:hAnsi="Times New Roman"/>
          <w:b/>
          <w:color w:val="000000" w:themeColor="text1"/>
          <w:sz w:val="40"/>
          <w:szCs w:val="40"/>
        </w:rPr>
        <w:t>Основные числовые характеристики</w:t>
      </w:r>
      <w:bookmarkEnd w:id="14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6"/>
        <w:tblW w:w="908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0"/>
        <w:gridCol w:w="3847"/>
        <w:gridCol w:w="1637"/>
        <w:gridCol w:w="2489"/>
      </w:tblGrid>
      <w:tr>
        <w:trPr>
          <w:trHeight w:val="478" w:hRule="atLeast"/>
        </w:trPr>
        <w:tc>
          <w:tcPr>
            <w:tcW w:w="1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Показатели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Интервальный вариационный ряд</w:t>
            </w:r>
          </w:p>
        </w:tc>
      </w:tr>
      <w:tr>
        <w:trPr>
          <w:trHeight w:val="478" w:hRule="atLeast"/>
        </w:trPr>
        <w:tc>
          <w:tcPr>
            <w:tcW w:w="1110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Средние величины</w:t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Среднее арифметическое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46180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46409</w:t>
            </w:r>
          </w:p>
        </w:tc>
      </w:tr>
      <w:tr>
        <w:trPr>
          <w:trHeight w:val="478" w:hRule="atLeast"/>
        </w:trPr>
        <w:tc>
          <w:tcPr>
            <w:tcW w:w="11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Медиана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54197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42838</w:t>
            </w:r>
          </w:p>
        </w:tc>
      </w:tr>
      <w:tr>
        <w:trPr>
          <w:trHeight w:val="478" w:hRule="atLeast"/>
        </w:trPr>
        <w:tc>
          <w:tcPr>
            <w:tcW w:w="11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Мода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30415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40159</w:t>
            </w:r>
          </w:p>
        </w:tc>
      </w:tr>
      <w:tr>
        <w:trPr>
          <w:trHeight w:val="478" w:hRule="atLeast"/>
        </w:trPr>
        <w:tc>
          <w:tcPr>
            <w:tcW w:w="1110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Показатели вариации </w:t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Дисперсия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206 468 161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218 847 622</w:t>
            </w:r>
          </w:p>
        </w:tc>
      </w:tr>
      <w:tr>
        <w:trPr>
          <w:trHeight w:val="478" w:hRule="atLeast"/>
        </w:trPr>
        <w:tc>
          <w:tcPr>
            <w:tcW w:w="11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14369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14789</w:t>
            </w:r>
          </w:p>
        </w:tc>
      </w:tr>
      <w:tr>
        <w:trPr>
          <w:trHeight w:val="478" w:hRule="atLeast"/>
        </w:trPr>
        <w:tc>
          <w:tcPr>
            <w:tcW w:w="11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Размах вариации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86224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86224</w:t>
            </w:r>
          </w:p>
        </w:tc>
      </w:tr>
      <w:tr>
        <w:trPr>
          <w:trHeight w:val="478" w:hRule="atLeast"/>
        </w:trPr>
        <w:tc>
          <w:tcPr>
            <w:tcW w:w="11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Интерквартильный размах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12288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12288</w:t>
            </w:r>
          </w:p>
        </w:tc>
      </w:tr>
      <w:tr>
        <w:trPr>
          <w:trHeight w:val="478" w:hRule="atLeast"/>
        </w:trPr>
        <w:tc>
          <w:tcPr>
            <w:tcW w:w="11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1-й квартиль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37820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37820</w:t>
            </w:r>
          </w:p>
        </w:tc>
      </w:tr>
      <w:tr>
        <w:trPr>
          <w:trHeight w:val="478" w:hRule="atLeast"/>
        </w:trPr>
        <w:tc>
          <w:tcPr>
            <w:tcW w:w="11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3-й квартиль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50108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50108</w:t>
            </w:r>
          </w:p>
        </w:tc>
      </w:tr>
      <w:tr>
        <w:trPr>
          <w:trHeight w:val="478" w:hRule="atLeast"/>
        </w:trPr>
        <w:tc>
          <w:tcPr>
            <w:tcW w:w="11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Коэффициент вариации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0.311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0.318</w:t>
            </w:r>
          </w:p>
        </w:tc>
      </w:tr>
      <w:tr>
        <w:trPr>
          <w:trHeight w:val="478" w:hRule="atLeast"/>
        </w:trPr>
        <w:tc>
          <w:tcPr>
            <w:tcW w:w="1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Коэффициент асимметрии 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2.22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2.02</w:t>
            </w:r>
          </w:p>
        </w:tc>
      </w:tr>
      <w:tr>
        <w:trPr>
          <w:trHeight w:val="478" w:hRule="atLeast"/>
        </w:trPr>
        <w:tc>
          <w:tcPr>
            <w:tcW w:w="1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Коэффициент эксцесса 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6.82</w:t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5.72</w:t>
            </w:r>
          </w:p>
        </w:tc>
      </w:tr>
    </w:tbl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Таблица 3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Вывод:</w:t>
      </w:r>
      <w:r>
        <w:rPr>
          <w:rFonts w:cs="Times New Roman" w:ascii="Times New Roman" w:hAnsi="Times New Roman"/>
          <w:b w:val="false"/>
          <w:bCs w:val="false"/>
          <w:color w:val="000000"/>
          <w:sz w:val="32"/>
          <w:szCs w:val="32"/>
        </w:rPr>
        <w:t xml:space="preserve"> Центром группирования наблюдений является интервал 42 тыс — 46 тыс. Медиана исходного ряда отличается от медианы вариационного ряда из-за большой скученности данных во 2-м и 3-м интервалах. Большая вариация обусловлена вполне приемлемым средним квадратическим отклонением (14369). Так как коэффициент вариации небольшой (0.311) СКО по отношению к центру группирования(46180) небольшое. Размах вариации большой(86224) ввиду наличия аномальных наблюдений, хотя интерквартильный размах(12288) совсем невелик, что свидетельствует о том, что наблюдения между 1-м и 3-м квартилем не слишком разбросаны. Коэффициент асимметрии положительный(2.22), что подтверждает правостороннюю асимметрию. Коэффициент эксцесса составил (6.82), что подтверждает остроконечность распределния. Средняя цена за кв.м. по России составляет 46180 руб. Разброс в обе стороны небольшой за исключением некоторых аномальных цен превышающих 65 тыс.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Heading2"/>
        <w:jc w:val="center"/>
        <w:rPr/>
      </w:pPr>
      <w:bookmarkStart w:id="15" w:name="__RefHeading___Toc1004_2574651875"/>
      <w:bookmarkStart w:id="16" w:name="_Toc528663367"/>
      <w:bookmarkEnd w:id="15"/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График квартильного распределения</w:t>
      </w:r>
      <w:bookmarkEnd w:id="16"/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432550" cy="3581400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Рис. 6</w:t>
      </w:r>
      <w:r>
        <w:br w:type="page"/>
      </w:r>
    </w:p>
    <w:p>
      <w:pPr>
        <w:pStyle w:val="Heading1"/>
        <w:jc w:val="center"/>
        <w:rPr/>
      </w:pPr>
      <w:bookmarkStart w:id="17" w:name="__RefHeading___Toc1006_2574651875"/>
      <w:bookmarkStart w:id="18" w:name="_Toc528663368"/>
      <w:bookmarkEnd w:id="17"/>
      <w:r>
        <w:rPr>
          <w:rFonts w:cs="Times New Roman" w:ascii="Times New Roman" w:hAnsi="Times New Roman"/>
          <w:b/>
          <w:color w:val="000000" w:themeColor="text1"/>
          <w:sz w:val="40"/>
          <w:szCs w:val="40"/>
        </w:rPr>
        <w:t>Список использованной литературы</w:t>
      </w:r>
      <w:bookmarkEnd w:id="18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Статистика: учебник и практикум для академического бакалавриата / В. С. Мхитарян [и др.] ; под ред. В. С. Мхитаряна. — М.: Издательство Юрайт, 2018. — 250 с. — (Серия: Бакалавр. Академический курс). — ISBN 978-5-9916-5591-0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Times New Roman"/>
      <w:b w:val="false"/>
      <w:bCs w:val="false"/>
      <w:color w:val="000000" w:themeColor="text1"/>
      <w:sz w:val="32"/>
      <w:szCs w:val="32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imes New Roman" w:hAnsi="Times New Roman" w:cs="Times New Roman"/>
      <w:b w:val="false"/>
      <w:bCs w:val="false"/>
      <w:color w:val="000000" w:themeColor="text1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qFormat/>
    <w:pPr/>
    <w:rPr>
      <w:lang w:eastAsia="ru-RU"/>
    </w:rPr>
  </w:style>
  <w:style w:type="paragraph" w:styleId="Contents1">
    <w:name w:val="TOC 1"/>
    <w:basedOn w:val="Normal"/>
    <w:pPr>
      <w:spacing w:before="0" w:after="100"/>
    </w:pPr>
    <w:rPr/>
  </w:style>
  <w:style w:type="paragraph" w:styleId="Contents2">
    <w:name w:val="TOC 2"/>
    <w:basedOn w:val="Normal"/>
    <w:pPr>
      <w:spacing w:before="0" w:after="100"/>
      <w:ind w:left="2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bsd.gks.ru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12</Pages>
  <Words>786</Words>
  <Characters>5244</Characters>
  <CharactersWithSpaces>5742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2018-10-31T18:22:11Z</dcterms:created>
  <dc:creator/>
  <dc:description/>
  <dc:language>en-US</dc:language>
  <cp:lastModifiedBy/>
  <dcterms:modified xsi:type="dcterms:W3CDTF">2018-10-31T18:34:45Z</dcterms:modified>
  <cp:revision>5</cp:revision>
  <dc:subject/>
  <dc:title/>
</cp:coreProperties>
</file>