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spacing w:after="320"/>
        <w:jc w:val="center"/>
      </w:pPr>
      <w:r>
        <w:rPr>
          <w:rFonts w:ascii="Times New Roman" w:hAnsi="Times New Roman" w:eastAsia="Times New Roman"/>
          <w:i/>
          <w:color w:val="444444"/>
          <w:sz w:val="22"/>
        </w:rPr>
        <w:t>Multiclass Gait Asymmetry Severity Classification for Post Stroke Rehabilitation Using Wearable IMU and EMG Signals</w:t>
      </w:r>
    </w:p>
    <w:p>
      <w:r>
        <w:rPr>
          <w:rFonts w:ascii="Times New Roman" w:hAnsi="Times New Roman" w:eastAsia="Times New Roman"/>
          <w:color w:val="000000"/>
          <w:sz w:val="22"/>
        </w:rPr>
        <w:t>A two-stage analytical framework was used. First, a continuous Sensor-Derived Gait Asymmetry Severity score (SGAS-v2) and three fixed severity classes were constructed from raw bilateral shank inertial measurement unit recordings. Second, the frozen labels were predicted from eligible cycle-aligned inertial features and mapped electromyographic features under nested subject-level validation. The target-definition and predictor-development stages were kept separate to prevent the variables used to construct SGAS-v2 from re-entering the primary classifier. SGAS-v2 quantifies relative gait asymmetry within this cohort and was not treated as a substitute for a clinical stroke-severity scale.</w:t>
      </w:r>
    </w:p>
    <w:p>
      <w:pPr>
        <w:pStyle w:val="Heading1"/>
        <w:keepNext/>
      </w:pPr>
      <w:r>
        <w:t>2.1 Study design and analytical framework</w:t>
      </w:r>
    </w:p>
    <w:p>
      <w:r>
        <w:rPr>
          <w:rFonts w:ascii="Times New Roman" w:hAnsi="Times New Roman" w:eastAsia="Times New Roman"/>
          <w:color w:val="000000"/>
          <w:sz w:val="22"/>
        </w:rPr>
        <w:t>The analysis used bilateral shank accelerometer and gyroscope recordings from healthy participants and participants with stroke. Previously extracted electromyographic (EMG) features were incorporated after the severity labels had been defined and frozen. The framework therefore separated reference-standard construction from predictive modeling. Raw gyroscope-z signals were used only to identify gait cycles and derive the four SGAS-v2 components. The primary classifiers used accelerometer signals, gyroscope-x/y signals, and EMG features; gyroscope-z predictors and all direct descendants of the severity score were excluded.</w:t>
      </w:r>
    </w:p>
    <w:p>
      <w:r>
        <w:rPr>
          <w:rFonts w:ascii="Times New Roman" w:hAnsi="Times New Roman" w:eastAsia="Times New Roman"/>
          <w:color w:val="000000"/>
          <w:sz w:val="22"/>
        </w:rPr>
        <w:t>The raw archive contained participant folders for 16 healthy and 16 stroke participants. Sensor-quality processing yielded valid SGAS-v2 records for 30 participants. The verified extracted-feature mapping covered 15 healthy and 15 stroke participants, and its intersection with the frozen severity dataset produced a matched multimodal cohort of 28 participants. This matched cohort contained 14 Low/reference, 6 Moderate, and 8 High participants. All modality comparisons used these same 28 participants so that differences in performance could not be attributed to different test cohorts.</w:t>
      </w:r>
    </w:p>
    <w:p>
      <w:pPr>
        <w:pStyle w:val="Caption"/>
      </w:pPr>
      <w:r>
        <w:rPr>
          <w:rFonts w:ascii="Times New Roman" w:hAnsi="Times New Roman" w:eastAsia="Times New Roman"/>
          <w:b/>
          <w:color w:val="000000"/>
          <w:sz w:val="20"/>
        </w:rPr>
        <w:t>Table 1. Analytical cohorts and their 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tblHeader w:val="true"/>
          <w:cantSplit w:val="true"/>
        </w:trPr>
        <w:tc>
          <w:tcPr>
            <w:tcW w:type="dxa" w:w="2232"/>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Cohort</w:t>
            </w:r>
          </w:p>
        </w:tc>
        <w:tc>
          <w:tcPr>
            <w:tcW w:type="dxa" w:w="2376"/>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Participants</w:t>
            </w:r>
          </w:p>
        </w:tc>
        <w:tc>
          <w:tcPr>
            <w:tcW w:type="dxa" w:w="5040"/>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Use in the analysis</w:t>
            </w:r>
          </w:p>
        </w:tc>
      </w:tr>
      <w:tr>
        <w:trPr>
          <w:cantSplit w:val="true"/>
        </w:trP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Raw IMU archive</w:t>
            </w:r>
          </w:p>
        </w:tc>
        <w:tc>
          <w:tcPr>
            <w:tcW w:type="dxa" w:w="2376"/>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16 healthy and 16 stroke</w:t>
            </w:r>
          </w:p>
        </w:tc>
        <w:tc>
          <w:tcPr>
            <w:tcW w:type="dxa" w:w="504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Source data for synchronization, gait-cycle detection, SGAS-v2 construction, and eligible cycle-aligned IMU predictors</w:t>
            </w:r>
          </w:p>
        </w:tc>
      </w:tr>
      <w:tr>
        <w:trPr>
          <w:cantSplit w:val="true"/>
        </w:trPr>
        <w:tc>
          <w:tcPr>
            <w:tcW w:type="dxa" w:w="223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Frozen SGAS-v2 cohort</w:t>
            </w:r>
          </w:p>
        </w:tc>
        <w:tc>
          <w:tcPr>
            <w:tcW w:type="dxa" w:w="2376"/>
            <w:shd w:fill="EAF1F8"/>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30 participants</w:t>
            </w:r>
          </w:p>
        </w:tc>
        <w:tc>
          <w:tcPr>
            <w:tcW w:type="dxa" w:w="504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Primary three-class IMU analysis and continuous-score regression</w:t>
            </w:r>
          </w:p>
        </w:tc>
      </w:tr>
      <w:tr>
        <w:trPr>
          <w:cantSplit w:val="true"/>
        </w:trP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Mapped feature table</w:t>
            </w:r>
          </w:p>
        </w:tc>
        <w:tc>
          <w:tcPr>
            <w:tcW w:type="dxa" w:w="2376"/>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15 healthy and 15 stroke</w:t>
            </w:r>
          </w:p>
        </w:tc>
        <w:tc>
          <w:tcPr>
            <w:tcW w:type="dxa" w:w="504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Source of participant-level EMG features and optional eligible legacy IMU summaries</w:t>
            </w:r>
          </w:p>
        </w:tc>
      </w:tr>
      <w:tr>
        <w:trPr>
          <w:cantSplit w:val="true"/>
        </w:trPr>
        <w:tc>
          <w:tcPr>
            <w:tcW w:type="dxa" w:w="223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Matched multimodal cohort</w:t>
            </w:r>
          </w:p>
        </w:tc>
        <w:tc>
          <w:tcPr>
            <w:tcW w:type="dxa" w:w="2376"/>
            <w:shd w:fill="EAF1F8"/>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28 participants: 14 Low, 6 Moderate, 8 High</w:t>
            </w:r>
          </w:p>
        </w:tc>
        <w:tc>
          <w:tcPr>
            <w:tcW w:type="dxa" w:w="504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Controlled comparison of matched IMU-only, EMG-only, and IMU+EMG models</w:t>
            </w:r>
          </w:p>
        </w:tc>
      </w:tr>
    </w:tbl>
    <w:p>
      <w:pPr>
        <w:spacing w:after="0"/>
      </w:pPr>
    </w:p>
    <w:p>
      <w:pPr>
        <w:pStyle w:val="Heading1"/>
        <w:keepNext/>
      </w:pPr>
      <w:r>
        <w:t>2.2 Data sources and participant mapping</w:t>
      </w:r>
    </w:p>
    <w:p>
      <w:pPr>
        <w:pStyle w:val="Heading2"/>
        <w:keepNext/>
      </w:pPr>
      <w:r>
        <w:t>2.2.1 Raw bilateral inertial recordings</w:t>
      </w:r>
    </w:p>
    <w:p>
      <w:r>
        <w:rPr>
          <w:rFonts w:ascii="Times New Roman" w:hAnsi="Times New Roman" w:eastAsia="Times New Roman"/>
          <w:color w:val="000000"/>
          <w:sz w:val="22"/>
        </w:rPr>
        <w:t>Each participant directory contained four comma-separated files: left-shank accelerometer, left-shank gyroscope, right-shank accelerometer, and right-shank gyroscope recordings. Each file provided an epoch timestamp and three sensor axes. Required columns were converted to numeric values, rows with unusable values were removed, timestamps were sorted, and duplicate timestamps were discarded before synchronization.</w:t>
      </w:r>
    </w:p>
    <w:p>
      <w:pPr>
        <w:pStyle w:val="Heading2"/>
        <w:keepNext/>
      </w:pPr>
      <w:r>
        <w:t>2.2.2 Extracted EMG and legacy IMU features</w:t>
      </w:r>
    </w:p>
    <w:p>
      <w:r>
        <w:rPr>
          <w:rFonts w:ascii="Times New Roman" w:hAnsi="Times New Roman" w:eastAsia="Times New Roman"/>
          <w:color w:val="000000"/>
          <w:sz w:val="22"/>
        </w:rPr>
        <w:t>The extracted feature table was read as a semicolon-delimited file with decimal commas. It contained two limb-level rows per participant. The verified mapping linked feature-table IDs 1-15 to Healthy_Patient_1 through Healthy_Patient_15 and IDs 16-30 to Stroke_Patient_1 through Stroke_Patient_15. Each healthy ID was required to contain the source-label pair (0, 0), and each stroke ID the pair (1, 2). These source labels served only as mapping checks and were not used as model inputs or severity outcomes.</w:t>
      </w:r>
    </w:p>
    <w:p>
      <w:r>
        <w:rPr>
          <w:rFonts w:ascii="Times New Roman" w:hAnsi="Times New Roman" w:eastAsia="Times New Roman"/>
          <w:color w:val="000000"/>
          <w:sz w:val="22"/>
        </w:rPr>
        <w:t>The table included EMG features from the gluteus medius, rectus femoris, biceps femoris, medial gastrocnemius, tibialis anterior, and peroneus longus. Column names that used PLLinter were standardized to PLinter only after uniqueness had been verified. Eligible non-z legacy IMU summaries were retained for sensitivity analysis, whereas all legacy gyroscope-z summaries were prohibited because gyroscope-z defined the SGAS-v2 target.</w:t>
      </w:r>
    </w:p>
    <w:p>
      <w:pPr>
        <w:pStyle w:val="Heading1"/>
        <w:keepNext/>
      </w:pPr>
      <w:r>
        <w:t>2.3 Construction of the SGAS v2 reference standard</w:t>
      </w:r>
    </w:p>
    <w:p>
      <w:pPr>
        <w:pStyle w:val="Heading2"/>
        <w:keepNext/>
      </w:pPr>
      <w:r>
        <w:t>2.3.1 Synchronization and signal validity</w:t>
      </w:r>
    </w:p>
    <w:p>
      <w:r>
        <w:rPr>
          <w:rFonts w:ascii="Times New Roman" w:hAnsi="Times New Roman" w:eastAsia="Times New Roman"/>
          <w:color w:val="000000"/>
          <w:sz w:val="22"/>
        </w:rPr>
        <w:t>The four raw IMU streams were synchronized over their common time interval on a 100 Hz grid. Each axis was linearly interpolated to this grid. A synchronized time point was marked invalid when its nearest recorded observation was more than 50 ms away. Bilateral gyroscope validity required valid left and right gyroscope samples at the same synchronized time point. The participant-level valid fraction was defined as the mean of this Boolean bilateral-validity vector, giving the proportion of synchronized samples with usable bilateral gyroscope data.</w:t>
      </w:r>
    </w:p>
    <w:p>
      <w:pPr>
        <w:pStyle w:val="Heading2"/>
        <w:keepNext/>
      </w:pPr>
      <w:r>
        <w:t>2.3.2 Gyroscope filtering and gait cycle detection</w:t>
      </w:r>
    </w:p>
    <w:p>
      <w:r>
        <w:rPr>
          <w:rFonts w:ascii="Times New Roman" w:hAnsi="Times New Roman" w:eastAsia="Times New Roman"/>
          <w:color w:val="000000"/>
          <w:sz w:val="22"/>
        </w:rPr>
        <w:t>Cycle detection used gyroscope-z because it provided a consistent bilateral gait-cycle marker for constructing the reference standard. Only contiguous bilaterally valid segments lasting at least 8 s were processed. Each eligible segment was filtered with a second-order 35 Hz Butterworth low-pass filter using zero-phase forward-backward processing. Gait cycles were then detected independently for the left and right legs.</w:t>
      </w:r>
    </w:p>
    <w:p>
      <w:r>
        <w:rPr>
          <w:rFonts w:ascii="Times New Roman" w:hAnsi="Times New Roman" w:eastAsia="Times New Roman"/>
          <w:color w:val="000000"/>
          <w:sz w:val="22"/>
        </w:rPr>
        <w:t>Signal polarity was determined automatically within each valid segment. The upper and lower tails were compared with the segment median, and the signal was oriented toward the larger excursion before positive-peak detection. This procedure accommodated changes in sensor mounting polarity without requiring prior knowledge of the affected side. The polarity decision was retained for audit but was not used as a classifier predictor.</w:t>
      </w:r>
    </w:p>
    <w:p>
      <w:r>
        <w:rPr>
          <w:rFonts w:ascii="Times New Roman" w:hAnsi="Times New Roman" w:eastAsia="Times New Roman"/>
          <w:color w:val="000000"/>
          <w:sz w:val="22"/>
        </w:rPr>
        <w:t>Peak thresholds were adapted to segment variability. The robust spread estimate was 1.4826 times the median absolute deviation. Peak height was set to the segment median plus the larger of 5 degrees/s or 1.5 times the robust spread. Peak prominence was the larger of 3 degrees/s or 0.75 times the robust spread. Peaks were separated by at least 0.80 s. Consecutive accepted peaks defined a candidate cycle, which was retained when its duration was 0.60-2.00 s, its samples were finite, it contained at least four samples, and its peak-to-peak amplitude was positive. Participants required at least 10 valid cycles per leg.</w:t>
      </w:r>
    </w:p>
    <w:p>
      <w:pPr>
        <w:pStyle w:val="Caption"/>
      </w:pPr>
      <w:r>
        <w:rPr>
          <w:rFonts w:ascii="Times New Roman" w:hAnsi="Times New Roman" w:eastAsia="Times New Roman"/>
          <w:b/>
          <w:color w:val="000000"/>
          <w:sz w:val="20"/>
        </w:rPr>
        <w:t>Table 2. Parameters used to construct SGAS v2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tblHeader w:val="true"/>
          <w:cantSplit w:val="true"/>
        </w:trPr>
        <w:tc>
          <w:tcPr>
            <w:tcW w:type="dxa" w:w="2880"/>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Parameter</w:t>
            </w:r>
          </w:p>
        </w:tc>
        <w:tc>
          <w:tcPr>
            <w:tcW w:type="dxa" w:w="2376"/>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Value</w:t>
            </w:r>
          </w:p>
        </w:tc>
        <w:tc>
          <w:tcPr>
            <w:tcW w:type="dxa" w:w="4392"/>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Purpose</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Synchronization frequency</w:t>
            </w:r>
          </w:p>
        </w:tc>
        <w:tc>
          <w:tcPr>
            <w:tcW w:type="dxa" w:w="2376"/>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100 Hz</w:t>
            </w:r>
          </w:p>
        </w:tc>
        <w:tc>
          <w:tcPr>
            <w:tcW w:type="dxa" w:w="439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Common bilateral time grid</w:t>
            </w:r>
          </w:p>
        </w:tc>
      </w:tr>
      <w:tr>
        <w:trPr>
          <w:cantSplit w:val="true"/>
        </w:trPr>
        <w:tc>
          <w:tcPr>
            <w:tcW w:type="dxa" w:w="288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Maximum interpolation gap</w:t>
            </w:r>
          </w:p>
        </w:tc>
        <w:tc>
          <w:tcPr>
            <w:tcW w:type="dxa" w:w="2376"/>
            <w:shd w:fill="EAF1F8"/>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0.05 s</w:t>
            </w:r>
          </w:p>
        </w:tc>
        <w:tc>
          <w:tcPr>
            <w:tcW w:type="dxa" w:w="439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Reject samples too far from an observation</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Minimum valid segment</w:t>
            </w:r>
          </w:p>
        </w:tc>
        <w:tc>
          <w:tcPr>
            <w:tcW w:type="dxa" w:w="2376"/>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8 s</w:t>
            </w:r>
          </w:p>
        </w:tc>
        <w:tc>
          <w:tcPr>
            <w:tcW w:type="dxa" w:w="439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Ensure stable filtering and cycle detection</w:t>
            </w:r>
          </w:p>
        </w:tc>
      </w:tr>
      <w:tr>
        <w:trPr>
          <w:cantSplit w:val="true"/>
        </w:trPr>
        <w:tc>
          <w:tcPr>
            <w:tcW w:type="dxa" w:w="288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Gyroscope-z filter</w:t>
            </w:r>
          </w:p>
        </w:tc>
        <w:tc>
          <w:tcPr>
            <w:tcW w:type="dxa" w:w="2376"/>
            <w:shd w:fill="EAF1F8"/>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Second-order Butterworth, 35 Hz</w:t>
            </w:r>
          </w:p>
        </w:tc>
        <w:tc>
          <w:tcPr>
            <w:tcW w:type="dxa" w:w="439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Zero-phase smoothing for reference-standard cycle detection</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Minimum peak distance</w:t>
            </w:r>
          </w:p>
        </w:tc>
        <w:tc>
          <w:tcPr>
            <w:tcW w:type="dxa" w:w="2376"/>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0.80 s</w:t>
            </w:r>
          </w:p>
        </w:tc>
        <w:tc>
          <w:tcPr>
            <w:tcW w:type="dxa" w:w="439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Avoid implausibly close gait events</w:t>
            </w:r>
          </w:p>
        </w:tc>
      </w:tr>
      <w:tr>
        <w:trPr>
          <w:cantSplit w:val="true"/>
        </w:trPr>
        <w:tc>
          <w:tcPr>
            <w:tcW w:type="dxa" w:w="288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Accepted cycle duration</w:t>
            </w:r>
          </w:p>
        </w:tc>
        <w:tc>
          <w:tcPr>
            <w:tcW w:type="dxa" w:w="2376"/>
            <w:shd w:fill="EAF1F8"/>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0.60-2.00 s</w:t>
            </w:r>
          </w:p>
        </w:tc>
        <w:tc>
          <w:tcPr>
            <w:tcW w:type="dxa" w:w="439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Exclude implausible stride intervals</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Minimum cycles</w:t>
            </w:r>
          </w:p>
        </w:tc>
        <w:tc>
          <w:tcPr>
            <w:tcW w:type="dxa" w:w="2376"/>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10 per leg</w:t>
            </w:r>
          </w:p>
        </w:tc>
        <w:tc>
          <w:tcPr>
            <w:tcW w:type="dxa" w:w="439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Participant inclusion requirement</w:t>
            </w:r>
          </w:p>
        </w:tc>
      </w:tr>
      <w:tr>
        <w:trPr>
          <w:cantSplit w:val="true"/>
        </w:trPr>
        <w:tc>
          <w:tcPr>
            <w:tcW w:type="dxa" w:w="288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Waveform length</w:t>
            </w:r>
          </w:p>
        </w:tc>
        <w:tc>
          <w:tcPr>
            <w:tcW w:type="dxa" w:w="2376"/>
            <w:shd w:fill="EAF1F8"/>
            <w:tcMar>
              <w:top w:w="90" w:type="dxa"/>
              <w:start w:w="110" w:type="dxa"/>
              <w:bottom w:w="90" w:type="dxa"/>
              <w:end w:w="110" w:type="dxa"/>
            </w:tcMar>
            <w:vAlign w:val="center"/>
          </w:tcPr>
          <w:p>
            <w:pPr>
              <w:spacing w:after="0" w:line="252" w:lineRule="auto"/>
              <w:jc w:val="center"/>
            </w:pPr>
            <w:r>
              <w:rPr>
                <w:rFonts w:ascii="Times New Roman" w:hAnsi="Times New Roman" w:eastAsia="Times New Roman"/>
                <w:color w:val="000000"/>
                <w:sz w:val="18"/>
              </w:rPr>
              <w:t>101 points</w:t>
            </w:r>
          </w:p>
        </w:tc>
        <w:tc>
          <w:tcPr>
            <w:tcW w:type="dxa" w:w="439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Common representation of cycle shape</w:t>
            </w:r>
          </w:p>
        </w:tc>
      </w:tr>
    </w:tbl>
    <w:p>
      <w:pPr>
        <w:spacing w:after="0"/>
      </w:pPr>
    </w:p>
    <w:p>
      <w:pPr>
        <w:pStyle w:val="Heading2"/>
        <w:keepNext/>
      </w:pPr>
      <w:r>
        <w:t>2.3.3 Per-leg cycle summaries</w:t>
      </w:r>
    </w:p>
    <w:p>
      <w:r>
        <w:rPr>
          <w:rFonts w:ascii="Times New Roman" w:hAnsi="Times New Roman" w:eastAsia="Times New Roman"/>
          <w:color w:val="000000"/>
          <w:sz w:val="22"/>
        </w:rPr>
        <w:t>For each leg, the retained cycles were summarized by cycle count, median stride duration, stride-duration coefficient of variation, median gyroscope-z peak-to-peak amplitude, amplitude coefficient of variation, and a median time-normalized waveform of 101 points. These summaries were used only to construct the continuous severity score and its quality-control record.</w:t>
      </w:r>
    </w:p>
    <w:p>
      <w:pPr>
        <w:pStyle w:val="Heading2"/>
        <w:keepNext/>
      </w:pPr>
      <w:r>
        <w:t>2.3.4 Fixed bilateral asymmetry components</w:t>
      </w:r>
    </w:p>
    <w:p>
      <w:r>
        <w:rPr>
          <w:rFonts w:ascii="Times New Roman" w:hAnsi="Times New Roman" w:eastAsia="Times New Roman"/>
          <w:color w:val="000000"/>
          <w:sz w:val="22"/>
        </w:rPr>
        <w:t>Bilateral scalar differences were expressed with a symmetric difference that was invariant to exchanging the left and right legs:</w:t>
      </w:r>
    </w:p>
    <w:p>
      <w:pPr>
        <w:spacing w:before="80" w:after="100"/>
        <w:jc w:val="center"/>
      </w:pPr>
      <m:oMathPara>
        <m:oMathParaPr>
          <m:jc m:val="center"/>
        </m:oMathParaPr>
        <m:oMath>
          <m:r>
            <m:rPr>
              <m:sty m:val="p"/>
            </m:rPr>
            <m:t>D(L,R)=</m:t>
          </m:r>
          <m:f>
            <m:num>
              <m:r>
                <m:rPr>
                  <m:sty m:val="p"/>
                </m:rPr>
                <m:t>2|L-R|</m:t>
              </m:r>
            </m:num>
            <m:den>
              <m:r>
                <m:rPr>
                  <m:sty m:val="p"/>
                </m:rPr>
                <m:t>|L|+|R|+ε</m:t>
              </m:r>
            </m:den>
          </m:f>
        </m:oMath>
      </m:oMathPara>
    </w:p>
    <w:p>
      <w:r>
        <w:rPr>
          <w:rFonts w:ascii="Times New Roman" w:hAnsi="Times New Roman" w:eastAsia="Times New Roman"/>
          <w:color w:val="000000"/>
          <w:sz w:val="22"/>
        </w:rPr>
        <w:t>where L and R denote the corresponding left- and right-leg summaries and ε is a small positive constant used to avoid division by zero. Four components were fixed before modeling: temporal asymmetry, amplitude asymmetry, variability asymmetry, and waveform dissimilarity.</w:t>
      </w:r>
    </w:p>
    <w:p>
      <w:pPr>
        <w:pStyle w:val="Caption"/>
      </w:pPr>
      <w:r>
        <w:rPr>
          <w:rFonts w:ascii="Times New Roman" w:hAnsi="Times New Roman" w:eastAsia="Times New Roman"/>
          <w:b/>
          <w:color w:val="000000"/>
          <w:sz w:val="20"/>
        </w:rPr>
        <w:t>Table 3. SGAS v2 component definitions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tblHeader w:val="true"/>
          <w:cantSplit w:val="true"/>
        </w:trPr>
        <w:tc>
          <w:tcPr>
            <w:tcW w:type="dxa" w:w="2736"/>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Component</w:t>
            </w:r>
          </w:p>
        </w:tc>
        <w:tc>
          <w:tcPr>
            <w:tcW w:type="dxa" w:w="6912"/>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Definition</w:t>
            </w:r>
          </w:p>
        </w:tc>
      </w:tr>
      <w:tr>
        <w:trPr>
          <w:cantSplit w:val="true"/>
        </w:trPr>
        <w:tc>
          <w:tcPr>
            <w:tcW w:type="dxa" w:w="2736"/>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Temporal asymmetry</w:t>
            </w:r>
          </w:p>
        </w:tc>
        <w:tc>
          <w:tcPr>
            <w:tcW w:type="dxa" w:w="691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Symmetric difference between left and right median stride durations</w:t>
            </w:r>
          </w:p>
        </w:tc>
      </w:tr>
      <w:tr>
        <w:trPr>
          <w:cantSplit w:val="true"/>
        </w:trPr>
        <w:tc>
          <w:tcPr>
            <w:tcW w:type="dxa" w:w="2736"/>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Amplitude asymmetry</w:t>
            </w:r>
          </w:p>
        </w:tc>
        <w:tc>
          <w:tcPr>
            <w:tcW w:type="dxa" w:w="691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Symmetric difference between left and right median gyroscope-z cycle amplitudes</w:t>
            </w:r>
          </w:p>
        </w:tc>
      </w:tr>
      <w:tr>
        <w:trPr>
          <w:cantSplit w:val="true"/>
        </w:trPr>
        <w:tc>
          <w:tcPr>
            <w:tcW w:type="dxa" w:w="2736"/>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Variability asymmetry</w:t>
            </w:r>
          </w:p>
        </w:tc>
        <w:tc>
          <w:tcPr>
            <w:tcW w:type="dxa" w:w="691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Mean of the symmetric differences for stride-duration and amplitude coefficients of variation</w:t>
            </w:r>
          </w:p>
        </w:tc>
      </w:tr>
      <w:tr>
        <w:trPr>
          <w:cantSplit w:val="true"/>
        </w:trPr>
        <w:tc>
          <w:tcPr>
            <w:tcW w:type="dxa" w:w="2736"/>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Waveform dissimilarity</w:t>
            </w:r>
          </w:p>
        </w:tc>
        <w:tc>
          <w:tcPr>
            <w:tcW w:type="dxa" w:w="691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One minus the absolute correlation between median normalized left and right gyroscope-z waveforms, restricted to 0-1</w:t>
            </w:r>
          </w:p>
        </w:tc>
      </w:tr>
    </w:tbl>
    <w:p>
      <w:pPr>
        <w:spacing w:after="0"/>
      </w:pPr>
    </w:p>
    <w:p>
      <w:r>
        <w:rPr>
          <w:rFonts w:ascii="Times New Roman" w:hAnsi="Times New Roman" w:eastAsia="Times New Roman"/>
          <w:color w:val="000000"/>
          <w:sz w:val="22"/>
        </w:rPr>
        <w:t>Absolute bilateral comparisons were used throughout, so affected-side information was not required. This was important because the affected leg was not independently documented for every stroke participant.</w:t>
      </w:r>
    </w:p>
    <w:p>
      <w:pPr>
        <w:pStyle w:val="Heading2"/>
        <w:keepNext/>
      </w:pPr>
      <w:r>
        <w:t>2.3.5 Healthy-referenced standardization and continuous score</w:t>
      </w:r>
    </w:p>
    <w:p>
      <w:r>
        <w:rPr>
          <w:rFonts w:ascii="Times New Roman" w:hAnsi="Times New Roman" w:eastAsia="Times New Roman"/>
          <w:color w:val="000000"/>
          <w:sz w:val="22"/>
        </w:rPr>
        <w:t>Each component was standardized using valid healthy participants only. The healthy median was used as the center and 1.4826 times the healthy median absolute deviation as the scale. For a participant value x, healthy center c, and healthy scale s, the robust standardized value was:</w:t>
      </w:r>
    </w:p>
    <w:p>
      <w:pPr>
        <w:spacing w:before="80" w:after="100"/>
        <w:jc w:val="center"/>
      </w:pPr>
      <m:oMathPara>
        <m:oMathParaPr>
          <m:jc m:val="center"/>
        </m:oMathParaPr>
        <m:oMath>
          <m:r>
            <m:rPr>
              <m:sty m:val="p"/>
            </m:rPr>
            <m:t>z=</m:t>
          </m:r>
          <m:f>
            <m:num>
              <m:r>
                <m:rPr>
                  <m:sty m:val="p"/>
                </m:rPr>
                <m:t>x-c</m:t>
              </m:r>
            </m:num>
            <m:den>
              <m:r>
                <m:rPr>
                  <m:sty m:val="p"/>
                </m:rPr>
                <m:t>s</m:t>
              </m:r>
            </m:den>
          </m:f>
        </m:oMath>
      </m:oMathPara>
    </w:p>
    <w:p>
      <w:r>
        <w:rPr>
          <w:rFonts w:ascii="Times New Roman" w:hAnsi="Times New Roman" w:eastAsia="Times New Roman"/>
          <w:color w:val="000000"/>
          <w:sz w:val="22"/>
        </w:rPr>
        <w:t>When the median-absolute-deviation scale was unusable, the algorithm used the interquartile range divided by 1.349, then the sample standard deviation, and finally a unit scale. Negative robust z-scores were set to zero because values below the healthy center were not interpreted as increasing asymmetry severity. Each nonnegative standardized component was transformed as follows:</w:t>
      </w:r>
    </w:p>
    <w:p>
      <w:pPr>
        <w:spacing w:before="80" w:after="100"/>
        <w:jc w:val="center"/>
      </w:pPr>
      <m:oMathPara>
        <m:oMathParaPr>
          <m:jc m:val="center"/>
        </m:oMathParaPr>
        <m:oMath>
          <m:r>
            <m:rPr>
              <m:sty m:val="p"/>
            </m:rPr>
            <m:t>c=</m:t>
          </m:r>
          <m:f>
            <m:num>
              <m:r>
                <m:rPr>
                  <m:sty m:val="p"/>
                </m:rPr>
                <m:t>asinh(max(z,0)/3)</m:t>
              </m:r>
            </m:num>
            <m:den>
              <m:r>
                <m:rPr>
                  <m:sty m:val="p"/>
                </m:rPr>
                <m:t>asinh(1)</m:t>
              </m:r>
            </m:den>
          </m:f>
        </m:oMath>
      </m:oMathPara>
    </w:p>
    <w:p>
      <w:r>
        <w:rPr>
          <w:rFonts w:ascii="Times New Roman" w:hAnsi="Times New Roman" w:eastAsia="Times New Roman"/>
          <w:color w:val="000000"/>
          <w:sz w:val="22"/>
        </w:rPr>
        <w:t>The inverse-hyperbolic-sine transformation compressed extreme values without imposing a hard upper cap and preserved participant ordering. The continuous SGAS-v2 score was the arithmetic mean of the four transformed contributions, giving each component a fixed weight of 0.25.</w:t>
      </w:r>
    </w:p>
    <w:p>
      <w:pPr>
        <w:spacing w:before="80" w:after="100"/>
        <w:jc w:val="center"/>
      </w:pPr>
      <m:oMathPara>
        <m:oMathParaPr>
          <m:jc m:val="center"/>
        </m:oMathParaPr>
        <m:oMath>
          <m:r>
            <m:rPr>
              <m:sty m:val="p"/>
            </m:rPr>
            <m:t>SGAS-v2=</m:t>
          </m:r>
          <m:f>
            <m:num>
              <m:r>
                <m:rPr>
                  <m:sty m:val="p"/>
                </m:rPr>
                <m:t>c temporal+c amplitude+c variability+c waveform</m:t>
              </m:r>
            </m:num>
            <m:den>
              <m:r>
                <m:rPr>
                  <m:sty m:val="p"/>
                </m:rPr>
                <m:t>4</m:t>
              </m:r>
            </m:den>
          </m:f>
        </m:oMath>
      </m:oMathPara>
    </w:p>
    <w:p>
      <w:pPr>
        <w:pStyle w:val="Heading2"/>
        <w:keepNext/>
      </w:pPr>
      <w:r>
        <w:t>2.3.6 Severity class formation</w:t>
      </w:r>
    </w:p>
    <w:p>
      <w:r>
        <w:rPr>
          <w:rFonts w:ascii="Times New Roman" w:hAnsi="Times New Roman" w:eastAsia="Times New Roman"/>
          <w:color w:val="000000"/>
          <w:sz w:val="22"/>
        </w:rPr>
        <w:t>All valid healthy participants were assigned to Class 0, defined as Low/reference asymmetry. A leave-one-out healthy-reference cutoff was also calculated from the maximum healthy score, but it was used as a diagnostic indicator rather than a class gate. Known stroke participants were divided into Class 1, Moderate sensor-derived asymmetry, and Class 2, High sensor-derived asymmetry using only their continuous SGAS-v2 scores.</w:t>
      </w:r>
    </w:p>
    <w:p>
      <w:r>
        <w:rPr>
          <w:rFonts w:ascii="Times New Roman" w:hAnsi="Times New Roman" w:eastAsia="Times New Roman"/>
          <w:color w:val="000000"/>
          <w:sz w:val="22"/>
        </w:rPr>
        <w:t>The primary stroke split used a transparent median-rank rule. Stroke scores were sorted, candidate boundaries were restricted to those leaving at least five participants in each class, and boundaries that separated tied scores were rejected. The valid boundary closest to the sample median was chosen, and the numerical cutoff was placed halfway between the largest score in the lower group and the smallest score in the upper group. A constrained one-dimensional within-group sum-of-squares split was retained as an optional sensitivity method. The selected cutoff was sample-relative and was not interpreted as a universal clinical threshold.</w:t>
      </w:r>
    </w:p>
    <w:p>
      <w:pPr>
        <w:pStyle w:val="Heading2"/>
        <w:keepNext/>
      </w:pPr>
      <w:r>
        <w:t>2.3.7 Boundary stability and quality control</w:t>
      </w:r>
    </w:p>
    <w:p>
      <w:r>
        <w:rPr>
          <w:rFonts w:ascii="Times New Roman" w:hAnsi="Times New Roman" w:eastAsia="Times New Roman"/>
          <w:color w:val="000000"/>
          <w:sz w:val="22"/>
        </w:rPr>
        <w:t>The stability of the Moderate/High boundary was evaluated with 500 bootstrap resamples of the stroke scores. The split was recalculated in each successful resample. For each stroke participant, the probability of High assignment was the proportion of bootstrap cutoffs below that participant's score; assignment confidence was the larger of this probability and its complement. Confidence below 0.70 defined a borderline assignment. Borderline status was fixed before classifier evaluation and was used only in a predeclared sensitivity analysis.</w:t>
      </w:r>
    </w:p>
    <w:p>
      <w:r>
        <w:rPr>
          <w:rFonts w:ascii="Times New Roman" w:hAnsi="Times New Roman" w:eastAsia="Times New Roman"/>
          <w:color w:val="000000"/>
          <w:sz w:val="22"/>
        </w:rPr>
        <w:t>Automatic cycle-detection quality control flagged participants when the smaller-count leg contained fewer than 15 cycles, the bilateral cycle-count ratio exceeded 1.50, stride-duration variability exceeded 0.25 on either leg, more than 10% of cycles were close to the accepted duration limits, or bilateral gyroscope validity was below 0.80. A flag triggered review of the participant's validation plot rather than automatic exclusion. The plot displayed filtered bilateral gyroscope-z signals and accepted cycle starts. Manual decisions and notes were retained in the quality-control table.</w:t>
      </w:r>
    </w:p>
    <w:p>
      <w:pPr>
        <w:pStyle w:val="Heading2"/>
        <w:keepNext/>
      </w:pPr>
      <w:r>
        <w:t>2.3.8 Freezing and fingerprinting the target</w:t>
      </w:r>
    </w:p>
    <w:p>
      <w:r>
        <w:rPr>
          <w:rFonts w:ascii="Times New Roman" w:hAnsi="Times New Roman" w:eastAsia="Times New Roman"/>
          <w:color w:val="000000"/>
          <w:sz w:val="22"/>
        </w:rPr>
        <w:t>The completed definition recorded the SGAS-v2 version, component order and weights, healthy reference centers and scales, transformation rules, class rules, frozen Moderate/High cutoff, minimum stroke-class size, and borderline-confidence criterion. A canonical JavaScript Object Notation representation was hashed with SHA-256. The version and hash were copied into every severity record. The classifier verified this definition and an independent hash of the participant-to-class assignments before any predictors were extracted or models were fitted. Any change to the frozen labels caused the analysis to stop.</w:t>
      </w:r>
    </w:p>
    <w:p>
      <w:pPr>
        <w:pStyle w:val="Heading1"/>
        <w:keepNext/>
      </w:pPr>
      <w:r>
        <w:t>2.4 Predictor construction</w:t>
      </w:r>
    </w:p>
    <w:p>
      <w:pPr>
        <w:pStyle w:val="Heading2"/>
        <w:keepNext/>
      </w:pPr>
      <w:r>
        <w:t>2.4.1 Cycle-aligned IMU predictors</w:t>
      </w:r>
    </w:p>
    <w:p>
      <w:r>
        <w:rPr>
          <w:rFonts w:ascii="Times New Roman" w:hAnsi="Times New Roman" w:eastAsia="Times New Roman"/>
          <w:color w:val="000000"/>
          <w:sz w:val="22"/>
        </w:rPr>
        <w:t>The classifier reused only the frozen cycle start and end timestamps from the reference-standard stage. Gyroscope-z values, cycle duration, gyroscope-z amplitude, cycle count, and detected polarity were not loaded into the predictor matrix. Eligible raw predictor axes were bilateral accelerometer x/y/z and gyroscope x/y.</w:t>
      </w:r>
    </w:p>
    <w:p>
      <w:r>
        <w:rPr>
          <w:rFonts w:ascii="Times New Roman" w:hAnsi="Times New Roman" w:eastAsia="Times New Roman"/>
          <w:color w:val="000000"/>
          <w:sz w:val="22"/>
        </w:rPr>
        <w:t>The eligible signals were synchronized at 100 Hz using the same 50 ms nearest-observation validity rule. A second-order 20 Hz Butterworth low-pass filter was applied with zero phase to contiguous valid segments lasting at least 4 s. Three-axis accelerometer magnitude and two-axis gyroscope-x/y magnitude were then calculated separately to reduce orientation dependence.</w:t>
      </w:r>
    </w:p>
    <w:p>
      <w:r>
        <w:rPr>
          <w:rFonts w:ascii="Times New Roman" w:hAnsi="Times New Roman" w:eastAsia="Times New Roman"/>
          <w:color w:val="000000"/>
          <w:sz w:val="22"/>
        </w:rPr>
        <w:t>Within every usable cycle, eight scalar descriptors were calculated: mean, standard deviation, median, interquartile range, range, root mean square, mean absolute value, and peak absolute value. The median and interquartile range of each descriptor were then calculated across cycles. Each corresponding left/right summary pair produced a bilateral mean, an absolute bilateral difference, and a symmetric bilateral difference. These participant-level predictors were invariant to swapping the limb labels and did not require an affected-side designation.</w:t>
      </w:r>
    </w:p>
    <w:p>
      <w:pPr>
        <w:pStyle w:val="Heading2"/>
        <w:keepNext/>
      </w:pPr>
      <w:r>
        <w:t>2.4.2 Optional waveform predictors</w:t>
      </w:r>
    </w:p>
    <w:p>
      <w:r>
        <w:rPr>
          <w:rFonts w:ascii="Times New Roman" w:hAnsi="Times New Roman" w:eastAsia="Times New Roman"/>
          <w:color w:val="000000"/>
          <w:sz w:val="22"/>
        </w:rPr>
        <w:t>Eligible accelerometer and gyroscope-x/y cycles were optionally resampled to 101 points. Median standardized left- and right-leg templates produced mean absolute template difference, root-mean-square template difference, and correlation dissimilarity. Five discrete-cosine-transform coefficients were extracted from the bilateral average template and five from the absolute bilateral-difference template. These waveform features were excluded from the primary analysis and evaluated only in a prespecified sensitivity analysis.</w:t>
      </w:r>
    </w:p>
    <w:p>
      <w:pPr>
        <w:pStyle w:val="Heading2"/>
        <w:keepNext/>
      </w:pPr>
      <w:r>
        <w:t>2.4.3 Participant-level EMG predictors</w:t>
      </w:r>
    </w:p>
    <w:p>
      <w:r>
        <w:rPr>
          <w:rFonts w:ascii="Times New Roman" w:hAnsi="Times New Roman" w:eastAsia="Times New Roman"/>
          <w:color w:val="000000"/>
          <w:sz w:val="22"/>
        </w:rPr>
        <w:t>The two feature-table rows for each participant did not contain a trusted left/right identifier. Row laterality was therefore not inferred. For every eligible EMG source feature with row values v1 and v2, two order-invariant participant predictors were constructed: the bilateral mean, (v1 + v2)/2, and the absolute bilateral difference, |v1 - v2|. Reversing the source rows left both quantities unchanged. The six muscle groups supplied 156 source features and 312 derived participant-level EMG predictors.</w:t>
      </w:r>
    </w:p>
    <w:p>
      <w:r>
        <w:rPr>
          <w:rFonts w:ascii="Times New Roman" w:hAnsi="Times New Roman" w:eastAsia="Times New Roman"/>
          <w:color w:val="000000"/>
          <w:sz w:val="22"/>
        </w:rPr>
        <w:t>The same transformation produced 170 eligible non-z legacy IMU predictors from 85 source features. Seventeen gyroscope-z summaries produced no predictors and were deliberately excluded. Legacy IMU predictors summarized whole recordings and were reserved for sensitivity analysis because the preferred IMU representation was cycle-aligned and derived from the raw signals.</w:t>
      </w:r>
    </w:p>
    <w:p>
      <w:pPr>
        <w:pStyle w:val="Heading1"/>
        <w:keepNext/>
      </w:pPr>
      <w:r>
        <w:t>2.5 Leakage control and predictor eligibility</w:t>
      </w:r>
    </w:p>
    <w:p>
      <w:r>
        <w:rPr>
          <w:rFonts w:ascii="Times New Roman" w:hAnsi="Times New Roman" w:eastAsia="Times New Roman"/>
          <w:color w:val="000000"/>
          <w:sz w:val="22"/>
        </w:rPr>
        <w:t>Predictor eligibility was enforced by name and provenance. The modeling matrix rejected gyroscope-z variables, SGAS-v2 component values, robust z-scores, transformed component contributions, the continuous SGAS-v2 score, severity fields, stroke-split statistics, bootstrap probabilities, assignment-confidence variables, source IDs, and source row labels. Cohort and folder identifiers remained metadata and were never supplied to an estimator.</w:t>
      </w:r>
    </w:p>
    <w:p>
      <w:r>
        <w:rPr>
          <w:rFonts w:ascii="Times New Roman" w:hAnsi="Times New Roman" w:eastAsia="Times New Roman"/>
          <w:color w:val="000000"/>
          <w:sz w:val="22"/>
        </w:rPr>
        <w:t>All data-dependent preprocessing was contained within each training pipeline. Median imputation, standard scaling, univariate feature selection, and estimator fitting were learned from the current inner-training subset. The held-out outer participant therefore had no influence on missing-value replacement, scaling, selected features, model family, sensor set, or hyperparameters.</w:t>
      </w:r>
    </w:p>
    <w:p>
      <w:pPr>
        <w:pStyle w:val="Heading1"/>
        <w:keepNext/>
      </w:pPr>
      <w:r>
        <w:t>2.6 Classification experiments</w:t>
      </w:r>
    </w:p>
    <w:p>
      <w:r>
        <w:rPr>
          <w:rFonts w:ascii="Times New Roman" w:hAnsi="Times New Roman" w:eastAsia="Times New Roman"/>
          <w:color w:val="000000"/>
          <w:sz w:val="22"/>
        </w:rPr>
        <w:t>The primary outcome was the frozen three-class SGAS-v2 label. Separate experiments were declared before performance evaluation to distinguish the principal analysis, controlled modality comparisons, and sensitivity analyses.</w:t>
      </w:r>
    </w:p>
    <w:p>
      <w:pPr>
        <w:pStyle w:val="Caption"/>
      </w:pPr>
      <w:r>
        <w:rPr>
          <w:rFonts w:ascii="Times New Roman" w:hAnsi="Times New Roman" w:eastAsia="Times New Roman"/>
          <w:b/>
          <w:color w:val="000000"/>
          <w:sz w:val="20"/>
        </w:rPr>
        <w:t>Table 4. Classification and sensitivity analyses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tblHeader w:val="true"/>
          <w:cantSplit w:val="true"/>
        </w:trPr>
        <w:tc>
          <w:tcPr>
            <w:tcW w:type="dxa" w:w="2088"/>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Analysis</w:t>
            </w:r>
          </w:p>
        </w:tc>
        <w:tc>
          <w:tcPr>
            <w:tcW w:type="dxa" w:w="3672"/>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Cohort and predictors</w:t>
            </w:r>
          </w:p>
        </w:tc>
        <w:tc>
          <w:tcPr>
            <w:tcW w:type="dxa" w:w="3888"/>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Purpose</w:t>
            </w:r>
          </w:p>
        </w:tc>
      </w:tr>
      <w:tr>
        <w:trPr>
          <w:cantSplit w:val="true"/>
        </w:trP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Primary direct three-class</w:t>
            </w:r>
          </w:p>
        </w:tc>
        <w:tc>
          <w:tcPr>
            <w:tcW w:type="dxa" w:w="367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30 participants; non-waveform cycle-aligned IMU</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Primary full-cohort IMU classification</w:t>
            </w:r>
          </w:p>
        </w:tc>
      </w:tr>
      <w:tr>
        <w:trPr>
          <w:cantSplit w:val="true"/>
        </w:trPr>
        <w:tc>
          <w:tcPr>
            <w:tcW w:type="dxa" w:w="208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Matched IMU-only</w:t>
            </w:r>
          </w:p>
        </w:tc>
        <w:tc>
          <w:tcPr>
            <w:tcW w:type="dxa" w:w="367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28 matched participants; non-waveform cycle-aligned IMU</w:t>
            </w:r>
          </w:p>
        </w:tc>
        <w:tc>
          <w:tcPr>
            <w:tcW w:type="dxa" w:w="388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Baseline for controlled modality comparisons</w:t>
            </w:r>
          </w:p>
        </w:tc>
      </w:tr>
      <w:tr>
        <w:trPr>
          <w:cantSplit w:val="true"/>
        </w:trP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Matched EMG-only</w:t>
            </w:r>
          </w:p>
        </w:tc>
        <w:tc>
          <w:tcPr>
            <w:tcW w:type="dxa" w:w="367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28 matched participants; 312 EMG predictors</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Evaluate EMG alone</w:t>
            </w:r>
          </w:p>
        </w:tc>
      </w:tr>
      <w:tr>
        <w:trPr>
          <w:cantSplit w:val="true"/>
        </w:trPr>
        <w:tc>
          <w:tcPr>
            <w:tcW w:type="dxa" w:w="208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Matched IMU+EMG</w:t>
            </w:r>
          </w:p>
        </w:tc>
        <w:tc>
          <w:tcPr>
            <w:tcW w:type="dxa" w:w="367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28 matched participants; cycle-aligned IMU plus EMG</w:t>
            </w:r>
          </w:p>
        </w:tc>
        <w:tc>
          <w:tcPr>
            <w:tcW w:type="dxa" w:w="388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Estimate incremental multimodal value</w:t>
            </w:r>
          </w:p>
        </w:tc>
      </w:tr>
      <w:tr>
        <w:trPr>
          <w:cantSplit w:val="true"/>
        </w:trP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Borderline exclusion</w:t>
            </w:r>
          </w:p>
        </w:tc>
        <w:tc>
          <w:tcPr>
            <w:tcW w:type="dxa" w:w="367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Primary eligible predictors after removing predeclared borderline stroke cases</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Assess sensitivity to label-boundary uncertainty</w:t>
            </w:r>
          </w:p>
        </w:tc>
      </w:tr>
      <w:tr>
        <w:trPr>
          <w:cantSplit w:val="true"/>
        </w:trPr>
        <w:tc>
          <w:tcPr>
            <w:tcW w:type="dxa" w:w="208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Waveform sensitivity</w:t>
            </w:r>
          </w:p>
        </w:tc>
        <w:tc>
          <w:tcPr>
            <w:tcW w:type="dxa" w:w="367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Primary IMU predictors plus eligible waveform descriptors</w:t>
            </w:r>
          </w:p>
        </w:tc>
        <w:tc>
          <w:tcPr>
            <w:tcW w:type="dxa" w:w="388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Assess value of cycle-shape information</w:t>
            </w:r>
          </w:p>
        </w:tc>
      </w:tr>
      <w:tr>
        <w:trPr>
          <w:cantSplit w:val="true"/>
        </w:trP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Legacy IMU sensitivity</w:t>
            </w:r>
          </w:p>
        </w:tc>
        <w:tc>
          <w:tcPr>
            <w:tcW w:type="dxa" w:w="3672"/>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Matched IMU+EMG plus eligible whole-recording non-z IMU summaries</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Optional comparison with legacy features</w:t>
            </w:r>
          </w:p>
        </w:tc>
      </w:tr>
      <w:tr>
        <w:trPr>
          <w:cantSplit w:val="true"/>
        </w:trPr>
        <w:tc>
          <w:tcPr>
            <w:tcW w:type="dxa" w:w="208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Hierarchical classifier</w:t>
            </w:r>
          </w:p>
        </w:tc>
        <w:tc>
          <w:tcPr>
            <w:tcW w:type="dxa" w:w="3672"/>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Healthy versus Stroke, then Moderate versus High within Stroke</w:t>
            </w:r>
          </w:p>
        </w:tc>
        <w:tc>
          <w:tcPr>
            <w:tcW w:type="dxa" w:w="388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Explore a clinically intuitive two-stage decision structure</w:t>
            </w:r>
          </w:p>
        </w:tc>
      </w:tr>
    </w:tbl>
    <w:p>
      <w:pPr>
        <w:spacing w:after="0"/>
      </w:pPr>
    </w:p>
    <w:p>
      <w:r>
        <w:rPr>
          <w:rFonts w:ascii="Times New Roman" w:hAnsi="Times New Roman" w:eastAsia="Times New Roman"/>
          <w:color w:val="000000"/>
          <w:sz w:val="22"/>
        </w:rPr>
        <w:t>The 30-participant IMU analysis was retained as the main full-cohort result. Direct comparisons between IMU and EMG were restricted to the same 28 matched participants. The 30-participant IMU result was not used as the comparator for the 28-participant EMG analyses.</w:t>
      </w:r>
    </w:p>
    <w:p>
      <w:pPr>
        <w:pStyle w:val="Heading1"/>
        <w:keepNext/>
      </w:pPr>
      <w:r>
        <w:t>2.7 Candidate classifiers and feature selection</w:t>
      </w:r>
    </w:p>
    <w:p>
      <w:r>
        <w:rPr>
          <w:rFonts w:ascii="Times New Roman" w:hAnsi="Times New Roman" w:eastAsia="Times New Roman"/>
          <w:color w:val="000000"/>
          <w:sz w:val="22"/>
        </w:rPr>
        <w:t>Eleven established classifier families were evaluated under the same nested-validation framework. The search spaces were intentionally compact because the number of participants was small relative to the number of candidate predictors. When permitted by the available feature set, univariate analysis-of-variance feature selection retained either 5 or 10 predictors within the training pipeline.</w:t>
      </w:r>
    </w:p>
    <w:p>
      <w:pPr>
        <w:pStyle w:val="Caption"/>
      </w:pPr>
      <w:r>
        <w:rPr>
          <w:rFonts w:ascii="Times New Roman" w:hAnsi="Times New Roman" w:eastAsia="Times New Roman"/>
          <w:b/>
          <w:color w:val="000000"/>
          <w:sz w:val="20"/>
        </w:rPr>
        <w:t>Table 5. Candidate classifier families and compact tuning grids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tblHeader w:val="true"/>
          <w:cantSplit w:val="true"/>
        </w:trPr>
        <w:tc>
          <w:tcPr>
            <w:tcW w:type="dxa" w:w="3240"/>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Classifier</w:t>
            </w:r>
          </w:p>
        </w:tc>
        <w:tc>
          <w:tcPr>
            <w:tcW w:type="dxa" w:w="6408"/>
            <w:shd w:fill="17365D"/>
            <w:tcMar>
              <w:top w:w="90" w:type="dxa"/>
              <w:start w:w="110" w:type="dxa"/>
              <w:bottom w:w="90" w:type="dxa"/>
              <w:end w:w="110" w:type="dxa"/>
            </w:tcMar>
            <w:vAlign w:val="center"/>
          </w:tcPr>
          <w:p>
            <w:pPr>
              <w:spacing w:after="0" w:line="240" w:lineRule="auto"/>
              <w:jc w:val="center"/>
            </w:pPr>
            <w:r>
              <w:rPr>
                <w:rFonts w:ascii="Times New Roman" w:hAnsi="Times New Roman" w:eastAsia="Times New Roman"/>
                <w:b/>
                <w:color w:val="FFFFFF"/>
                <w:sz w:val="19"/>
              </w:rPr>
              <w:t>Tuning choices</w:t>
            </w:r>
          </w:p>
        </w:tc>
      </w:tr>
      <w:tr>
        <w:trPr>
          <w:cantSplit w:val="true"/>
        </w:trPr>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Logistic regression</w:t>
            </w:r>
          </w:p>
        </w:tc>
        <w:tc>
          <w:tcPr>
            <w:tcW w:type="dxa" w:w="640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C = 0.1 or 1.0; balanced class weights</w:t>
            </w:r>
          </w:p>
        </w:tc>
      </w:tr>
      <w:tr>
        <w:trPr>
          <w:cantSplit w:val="true"/>
        </w:trPr>
        <w:tc>
          <w:tcPr>
            <w:tcW w:type="dxa" w:w="324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Linear support vector machine</w:t>
            </w:r>
          </w:p>
        </w:tc>
        <w:tc>
          <w:tcPr>
            <w:tcW w:type="dxa" w:w="640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C = 0.1 or 1.0; balanced class weights; probability estimation enabled</w:t>
            </w:r>
          </w:p>
        </w:tc>
      </w:tr>
      <w:tr>
        <w:trPr>
          <w:cantSplit w:val="true"/>
        </w:trPr>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Radial-basis support vector machine</w:t>
            </w:r>
          </w:p>
        </w:tc>
        <w:tc>
          <w:tcPr>
            <w:tcW w:type="dxa" w:w="640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C = 0.1 or 1.0; gamma = scale or 0.1; probability estimation enabled</w:t>
            </w:r>
          </w:p>
        </w:tc>
      </w:tr>
      <w:tr>
        <w:trPr>
          <w:cantSplit w:val="true"/>
        </w:trPr>
        <w:tc>
          <w:tcPr>
            <w:tcW w:type="dxa" w:w="324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k-nearest neighbours</w:t>
            </w:r>
          </w:p>
        </w:tc>
        <w:tc>
          <w:tcPr>
            <w:tcW w:type="dxa" w:w="640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3 or 5 neighbours; uniform or distance weighting</w:t>
            </w:r>
          </w:p>
        </w:tc>
      </w:tr>
      <w:tr>
        <w:trPr>
          <w:cantSplit w:val="true"/>
        </w:trPr>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Gaussian naive Bayes</w:t>
            </w:r>
          </w:p>
        </w:tc>
        <w:tc>
          <w:tcPr>
            <w:tcW w:type="dxa" w:w="640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Two variance-smoothing values</w:t>
            </w:r>
          </w:p>
        </w:tc>
      </w:tr>
      <w:tr>
        <w:trPr>
          <w:cantSplit w:val="true"/>
        </w:trPr>
        <w:tc>
          <w:tcPr>
            <w:tcW w:type="dxa" w:w="324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Linear discriminant analysis</w:t>
            </w:r>
          </w:p>
        </w:tc>
        <w:tc>
          <w:tcPr>
            <w:tcW w:type="dxa" w:w="640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Automatic or 0.5 shrinkage</w:t>
            </w:r>
          </w:p>
        </w:tc>
      </w:tr>
      <w:tr>
        <w:trPr>
          <w:cantSplit w:val="true"/>
        </w:trPr>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Decision tree</w:t>
            </w:r>
          </w:p>
        </w:tc>
        <w:tc>
          <w:tcPr>
            <w:tcW w:type="dxa" w:w="640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Maximum depth 2 or unlimited; minimum leaf size 1 or 3</w:t>
            </w:r>
          </w:p>
        </w:tc>
      </w:tr>
      <w:tr>
        <w:trPr>
          <w:cantSplit w:val="true"/>
        </w:trPr>
        <w:tc>
          <w:tcPr>
            <w:tcW w:type="dxa" w:w="324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Random forest</w:t>
            </w:r>
          </w:p>
        </w:tc>
        <w:tc>
          <w:tcPr>
            <w:tcW w:type="dxa" w:w="640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300 trees; maximum depth 3 or unlimited; minimum leaf size 1 or 2</w:t>
            </w:r>
          </w:p>
        </w:tc>
      </w:tr>
      <w:tr>
        <w:trPr>
          <w:cantSplit w:val="true"/>
        </w:trPr>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Extremely randomized trees</w:t>
            </w:r>
          </w:p>
        </w:tc>
        <w:tc>
          <w:tcPr>
            <w:tcW w:type="dxa" w:w="640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300 trees; maximum depth 3 or unlimited; minimum leaf size 1 or 2</w:t>
            </w:r>
          </w:p>
        </w:tc>
      </w:tr>
      <w:tr>
        <w:trPr>
          <w:cantSplit w:val="true"/>
        </w:trPr>
        <w:tc>
          <w:tcPr>
            <w:tcW w:type="dxa" w:w="3240"/>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Gradient boosting</w:t>
            </w:r>
          </w:p>
        </w:tc>
        <w:tc>
          <w:tcPr>
            <w:tcW w:type="dxa" w:w="6408"/>
            <w:shd w:fill="EAF1F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50 or 100 estimators; learning rate 0.05 or 0.1</w:t>
            </w:r>
          </w:p>
        </w:tc>
      </w:tr>
      <w:tr>
        <w:trPr>
          <w:cantSplit w:val="true"/>
        </w:trPr>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AdaBoost</w:t>
            </w:r>
          </w:p>
        </w:tc>
        <w:tc>
          <w:tcPr>
            <w:tcW w:type="dxa" w:w="6408"/>
            <w:tcMar>
              <w:top w:w="90" w:type="dxa"/>
              <w:start w:w="110" w:type="dxa"/>
              <w:bottom w:w="90" w:type="dxa"/>
              <w:end w:w="110" w:type="dxa"/>
            </w:tcMar>
            <w:vAlign w:val="center"/>
          </w:tcPr>
          <w:p>
            <w:pPr>
              <w:spacing w:after="0" w:line="252" w:lineRule="auto"/>
              <w:jc w:val="left"/>
            </w:pPr>
            <w:r>
              <w:rPr>
                <w:rFonts w:ascii="Times New Roman" w:hAnsi="Times New Roman" w:eastAsia="Times New Roman"/>
                <w:color w:val="000000"/>
                <w:sz w:val="18"/>
              </w:rPr>
              <w:t>50 or 100 estimators; learning rate 0.1 or 0.5</w:t>
            </w:r>
          </w:p>
        </w:tc>
      </w:tr>
    </w:tbl>
    <w:p>
      <w:pPr>
        <w:spacing w:after="0"/>
      </w:pPr>
    </w:p>
    <w:p>
      <w:pPr>
        <w:pStyle w:val="Heading1"/>
        <w:keepNext/>
      </w:pPr>
      <w:r>
        <w:t>2.8 Nested subject-level validation</w:t>
      </w:r>
    </w:p>
    <w:p>
      <w:pPr>
        <w:pStyle w:val="Heading2"/>
        <w:keepNext/>
      </w:pPr>
      <w:r>
        <w:t>2.8.1 Outer leave-one-subject-out evaluation</w:t>
      </w:r>
    </w:p>
    <w:p>
      <w:r>
        <w:rPr>
          <w:rFonts w:ascii="Times New Roman" w:hAnsi="Times New Roman" w:eastAsia="Times New Roman"/>
          <w:color w:val="000000"/>
          <w:sz w:val="22"/>
        </w:rPr>
        <w:t>Generalization performance was estimated with outer leave-one-subject-out cross-validation. In each outer fold, one complete participant was held out. All modeling choices were made using the remaining participants, after which the selected pipeline was refitted on the complete outer-training set and used once to predict the untouched participant. Outer predictions and aligned class probabilities were pooled across participants. Final metrics were calculated from the pooled predictions rather than by averaging metrics from one-participant test folds.</w:t>
      </w:r>
    </w:p>
    <w:p>
      <w:pPr>
        <w:pStyle w:val="Heading2"/>
        <w:keepNext/>
      </w:pPr>
      <w:r>
        <w:t>2.8.2 Inner grouped model selection</w:t>
      </w:r>
    </w:p>
    <w:p>
      <w:r>
        <w:rPr>
          <w:rFonts w:ascii="Times New Roman" w:hAnsi="Times New Roman" w:eastAsia="Times New Roman"/>
          <w:color w:val="000000"/>
          <w:sz w:val="22"/>
        </w:rPr>
        <w:t>Inner model selection used shuffled stratified grouped cross-validation. The number of inner folds was the smaller of five and the smallest class count within the current outer-training set, with at least two folds required. Participant key was the grouping variable. The inner loop selected the permitted sensor or modality set, classifier family, hyperparameters, and number of retained predictors. Mean macro-F1 was the primary selection criterion, and balanced accuracy was used to break ties.</w:t>
      </w:r>
    </w:p>
    <w:p>
      <w:r>
        <w:rPr>
          <w:rFonts w:ascii="Times New Roman" w:hAnsi="Times New Roman" w:eastAsia="Times New Roman"/>
          <w:color w:val="000000"/>
          <w:sz w:val="22"/>
        </w:rPr>
        <w:t>Two complementary comparisons were retained. First, one overall pipeline was selected in every outer fold. Second, the best inner configuration was retained separately for each of the eleven classifier families, giving every family one held-out outer prediction per participant. Final model-family ranking used pooled outer macro-F1, followed by balanced accuracy and accuracy; inner-validation performance was never reported as final test performance.</w:t>
      </w:r>
    </w:p>
    <w:p>
      <w:pPr>
        <w:pStyle w:val="Heading2"/>
        <w:keepNext/>
      </w:pPr>
      <w:r>
        <w:t>2.8.3 Probability alignment</w:t>
      </w:r>
    </w:p>
    <w:p>
      <w:r>
        <w:rPr>
          <w:rFonts w:ascii="Times New Roman" w:hAnsi="Times New Roman" w:eastAsia="Times New Roman"/>
          <w:color w:val="000000"/>
          <w:sz w:val="22"/>
        </w:rPr>
        <w:t>Support vector machines were fitted with probability estimation enabled. For every estimator, probability columns were explicitly aligned to the fixed class order: 0 for Low/reference, 1 for Moderate, and 2 for High. Missing class positions were initialized safely, probability rows were required to contain positive mass, and each row was normalized. Disagreement between the estimator's predicted class and the maximum-probability class was recorded for audit.</w:t>
      </w:r>
    </w:p>
    <w:p>
      <w:pPr>
        <w:pStyle w:val="Heading1"/>
        <w:keepNext/>
      </w:pPr>
      <w:r>
        <w:t>2.9 Performance measures and uncertainty</w:t>
      </w:r>
    </w:p>
    <w:p>
      <w:r>
        <w:rPr>
          <w:rFonts w:ascii="Times New Roman" w:hAnsi="Times New Roman" w:eastAsia="Times New Roman"/>
          <w:color w:val="000000"/>
          <w:sz w:val="22"/>
        </w:rPr>
        <w:t>The primary pooled outer-validation measures were macro-F1, balanced accuracy, and accuracy. Macro-F1 gave equal weight to the three classes and balanced accuracy gave equal weight to class-specific recall, reducing the dominance of the larger Low/reference group. Per-class precision, recall, F1, and support were also reported with a three-class confusion matrix and participant-level probabilities.</w:t>
      </w:r>
    </w:p>
    <w:p>
      <w:r>
        <w:rPr>
          <w:rFonts w:ascii="Times New Roman" w:hAnsi="Times New Roman" w:eastAsia="Times New Roman"/>
          <w:color w:val="000000"/>
          <w:sz w:val="22"/>
        </w:rPr>
        <w:t>Probability-based evaluation included one-versus-rest receiver-operating-characteristic area under the curve, one-versus-rest average precision, and macro summaries. Ninety-five percent confidence intervals for accuracy, balanced accuracy, and macro-F1 were estimated with 2,000 stratified bootstrap resamples. The bootstrap procedure preserved class representation while quantifying the uncertainty associated with the small sample.</w:t>
      </w:r>
    </w:p>
    <w:p>
      <w:r>
        <w:rPr>
          <w:rFonts w:ascii="Times New Roman" w:hAnsi="Times New Roman" w:eastAsia="Times New Roman"/>
          <w:color w:val="000000"/>
          <w:sz w:val="22"/>
        </w:rPr>
        <w:t>For each analysis, the retained figures comprised overall metrics, a confusion matrix, per-class recall and F1, a participant probability heatmap, model and modality selection frequencies, selected-feature frequencies, one-versus-rest receiver-operating-characteristic curves, and one-versus-rest precision-recall curves. Equivalent model-specific outputs were generated for all classifier families so that comparisons could be audited from held-out predictions rather than summary rankings alone.</w:t>
      </w:r>
    </w:p>
    <w:p>
      <w:pPr>
        <w:pStyle w:val="Heading1"/>
        <w:keepNext/>
      </w:pPr>
      <w:r>
        <w:t>2.10 Hierarchical and continuous-score analyses</w:t>
      </w:r>
    </w:p>
    <w:p>
      <w:pPr>
        <w:pStyle w:val="Heading2"/>
        <w:keepNext/>
      </w:pPr>
      <w:r>
        <w:t>2.10.1 Exploratory hierarchical classification</w:t>
      </w:r>
    </w:p>
    <w:p>
      <w:r>
        <w:rPr>
          <w:rFonts w:ascii="Times New Roman" w:hAnsi="Times New Roman" w:eastAsia="Times New Roman"/>
          <w:color w:val="000000"/>
          <w:sz w:val="22"/>
        </w:rPr>
        <w:t>An exploratory hierarchical model first classified Healthy versus Stroke and then classified Moderate versus High among stroke participants. Final probabilities were formed as P(Low) = P(Healthy), P(Moderate) = P(Stroke) x P(Moderate | Stroke), and P(High) = P(Stroke) x P(High | Stroke), followed by normalization. This analysis was considered exploratory because errors in the first stage necessarily propagated to the second stage.</w:t>
      </w:r>
    </w:p>
    <w:p>
      <w:pPr>
        <w:pStyle w:val="Heading2"/>
        <w:keepNext/>
      </w:pPr>
      <w:r>
        <w:t>2.10.2 Continuous-score regression</w:t>
      </w:r>
    </w:p>
    <w:p>
      <w:r>
        <w:rPr>
          <w:rFonts w:ascii="Times New Roman" w:hAnsi="Times New Roman" w:eastAsia="Times New Roman"/>
          <w:color w:val="000000"/>
          <w:sz w:val="22"/>
        </w:rPr>
        <w:t>A complementary nested leave-one-subject-out regression analysis predicted the frozen continuous SGAS-v2 score from eligible non-z cycle-aligned IMU predictors. Ridge regression and linear support vector regression were compared. Univariate feature selection used F regression within the training pipeline, and the inner loop minimized mean absolute error. Evaluation included overall and stroke-only mean absolute error, Spearman rank correlation with its p value, bootstrap confidence intervals, predicted-versus-observed plots, and residual plots. The regression analysis addressed preservation of the continuous severity ordering and did not replace the prespecified three-class outcome.</w:t>
      </w:r>
    </w:p>
    <w:p>
      <w:pPr>
        <w:pStyle w:val="Heading1"/>
        <w:keepNext/>
      </w:pPr>
      <w:r>
        <w:t>2.11 Reproducibility and audit trail</w:t>
      </w:r>
    </w:p>
    <w:p>
      <w:r>
        <w:rPr>
          <w:rFonts w:ascii="Times New Roman" w:hAnsi="Times New Roman" w:eastAsia="Times New Roman"/>
          <w:color w:val="000000"/>
          <w:sz w:val="22"/>
        </w:rPr>
        <w:t>The dataset-construction stage saved the participant-level severity dataset, accepted cycle boundaries, healthy reference statistics, cycle-detection quality-control decisions, participant exclusions, synchronized signals when enabled, cycle-validation plots, the frozen score definition, and participant-level mapped external predictors. The classifier saved the exact frozen labels used, their definition and assignment hashes, the classification protocol, predictor matrices, feature-provenance manifest, mapping quality-control tables, extraction quality-control statistics, all inner choices, outer held-out predictions, selected features, performance tables, confidence intervals, and plots.</w:t>
      </w:r>
    </w:p>
    <w:p>
      <w:r>
        <w:rPr>
          <w:rFonts w:ascii="Times New Roman" w:hAnsi="Times New Roman" w:eastAsia="Times New Roman"/>
          <w:color w:val="000000"/>
          <w:sz w:val="22"/>
        </w:rPr>
        <w:t>The random seed for model selection and resampling was fixed at 20261004. Output directories were required to be empty unless overwriting was explicitly enabled, reducing the risk of mixing results from different protocol versions. The label-generation stage was completed before classification, and the frozen hashes were verified at the beginning of every modeling run.</w:t>
      </w:r>
    </w:p>
    <w:p>
      <w:pPr>
        <w:pStyle w:val="Heading1"/>
        <w:keepNext/>
      </w:pPr>
      <w:r>
        <w:t>2.12 Methodological scope</w:t>
      </w:r>
    </w:p>
    <w:p>
      <w:r>
        <w:rPr>
          <w:rFonts w:ascii="Times New Roman" w:hAnsi="Times New Roman" w:eastAsia="Times New Roman"/>
          <w:color w:val="000000"/>
          <w:sz w:val="22"/>
        </w:rPr>
        <w:t>The resulting classes represent sensor-derived gait-asymmetry severity. No Fugl-Meyer, Functional Ambulation Category, Timed Up and Go, Berg Balance Scale, National Institutes of Health Stroke Scale, or equivalent clinical score was available to define or validate the classes. Walking speed was also unavailable. The Moderate/High division therefore describes relative severity within the observed stroke sample and must not be interpreted as a universal clinical cutoff.</w:t>
      </w:r>
    </w:p>
    <w:p>
      <w:r>
        <w:rPr>
          <w:rFonts w:ascii="Times New Roman" w:hAnsi="Times New Roman" w:eastAsia="Times New Roman"/>
          <w:color w:val="000000"/>
          <w:sz w:val="22"/>
        </w:rPr>
        <w:t>EMG was available only as previously extracted features. Raw EMG preprocessing, synchronization with the IMU recordings, and cycle alignment could not be independently repeated in this analysis. The matched multimodal sample was small and contained fewer Moderate cases than Low/reference or High cases. Feature selection, regularization, nested validation, sensitivity analyses, and uncertainty intervals reduced avoidable bias, but independent external validation remains necessary before making claims about generalizable clinical performance.</w:t>
      </w:r>
    </w:p>
    <w:sectPr w:rsidR="00FC693F" w:rsidRPr="0006063C" w:rsidSect="00034616">
      <w:footerReference w:type="default" r:id="rId9"/>
      <w:pgSz w:w="12240" w:h="15840"/>
      <w:pgMar w:top="1152" w:right="1296" w:bottom="1656" w:left="1296"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0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jc w:val="center"/>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8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for SGAS v2 IMU and EMG Classification</dc:title>
  <dc:subject>Article-ready methodology for sensor-derived gait asymmetry severity classification</dc:subject>
  <dc:creator>python-docx</dc:creator>
  <cp:keywords>gait asymmetry, stroke rehabilitation, IMU, EMG, SGAS-v2, nested LOSO</cp:keywords>
  <dc:description>Prepared from the frozen SGAS-v2 dataset-creation and classification protocols.</dc:description>
  <cp:lastModifiedBy/>
  <cp:revision>1</cp:revision>
  <dcterms:created xsi:type="dcterms:W3CDTF">2013-12-23T23:15:00Z</dcterms:created>
  <dcterms:modified xsi:type="dcterms:W3CDTF">2013-12-23T23:15:00Z</dcterms:modified>
  <cp:category/>
</cp:coreProperties>
</file>