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7AD0734C" w:rsidR="00DB49A9" w:rsidRPr="00DB49A9" w:rsidRDefault="004D6603" w:rsidP="007169F5">
            <w:pPr>
              <w:pStyle w:val="MyStyle"/>
            </w:pPr>
            <w: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F22FBA7" w:rsidR="00DB49A9" w:rsidRPr="007169F5" w:rsidRDefault="004D6603" w:rsidP="007169F5">
            <w:pPr>
              <w:pStyle w:val="MySigning"/>
            </w:pPr>
            <w:r w:rsidRPr="007169F5">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D1383E"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D1383E"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D1383E"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D1383E"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in order to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405A15" w:rsidR="005A72E6"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26CC9632" w14:textId="158041FB" w:rsidR="00526311" w:rsidRPr="00E774A4" w:rsidRDefault="00526311" w:rsidP="00526311">
            <w:pPr>
              <w:pStyle w:val="MyStyle"/>
              <w:numPr>
                <w:ilvl w:val="0"/>
                <w:numId w:val="44"/>
              </w:numPr>
              <w:rPr>
                <w:lang w:val="en-US"/>
              </w:rPr>
            </w:pPr>
            <w:r>
              <w:rPr>
                <w:lang w:val="en-US"/>
              </w:rPr>
              <w:t>Ian has taken the idea for himself &amp; hasn’t even told Patricia. Ian got all the credit that Patricia would have got.</w:t>
            </w:r>
          </w:p>
          <w:p w14:paraId="544B70F1" w14:textId="7470076F" w:rsidR="005A72E6"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8DA1195" w14:textId="2D242102" w:rsidR="00526311" w:rsidRPr="00E774A4" w:rsidRDefault="00526311" w:rsidP="00526311">
            <w:pPr>
              <w:pStyle w:val="MyStyle"/>
              <w:numPr>
                <w:ilvl w:val="0"/>
                <w:numId w:val="44"/>
              </w:numPr>
              <w:rPr>
                <w:lang w:val="en-US"/>
              </w:rPr>
            </w:pPr>
            <w:r>
              <w:rPr>
                <w:lang w:val="en-US"/>
              </w:rPr>
              <w:t xml:space="preserve">Realistic because it is </w:t>
            </w:r>
            <w:proofErr w:type="spellStart"/>
            <w:r>
              <w:rPr>
                <w:lang w:val="en-US"/>
              </w:rPr>
              <w:t>vary</w:t>
            </w:r>
            <w:proofErr w:type="spellEnd"/>
            <w:r>
              <w:rPr>
                <w:lang w:val="en-US"/>
              </w:rPr>
              <w:t xml:space="preserve"> common in business</w:t>
            </w:r>
            <w:r w:rsidR="003B7EEA">
              <w:rPr>
                <w:lang w:val="en-US"/>
              </w:rPr>
              <w:t>. Examples are the game industries.</w:t>
            </w:r>
          </w:p>
          <w:p w14:paraId="05118892" w14:textId="5E13090A" w:rsidR="005A72E6" w:rsidRDefault="005A72E6" w:rsidP="005A72E6">
            <w:pPr>
              <w:pStyle w:val="NoSpacing"/>
              <w:numPr>
                <w:ilvl w:val="0"/>
                <w:numId w:val="25"/>
              </w:numPr>
              <w:rPr>
                <w:sz w:val="24"/>
                <w:szCs w:val="24"/>
                <w:lang w:val="en-US"/>
              </w:rPr>
            </w:pPr>
            <w:r w:rsidRPr="00E774A4">
              <w:rPr>
                <w:sz w:val="24"/>
                <w:szCs w:val="24"/>
                <w:lang w:val="en-US"/>
              </w:rPr>
              <w:t>What should Ian have done?</w:t>
            </w:r>
          </w:p>
          <w:p w14:paraId="1B4EB122" w14:textId="60379CAB" w:rsidR="003B7EEA" w:rsidRPr="00E774A4" w:rsidRDefault="003B7EEA" w:rsidP="003B7EEA">
            <w:pPr>
              <w:pStyle w:val="MyStyle"/>
              <w:numPr>
                <w:ilvl w:val="0"/>
                <w:numId w:val="44"/>
              </w:numPr>
              <w:rPr>
                <w:lang w:val="en-US"/>
              </w:rPr>
            </w:pPr>
            <w:r>
              <w:rPr>
                <w:lang w:val="en-US"/>
              </w:rPr>
              <w:t>Informed Patricia that he has received an email of her idea &amp; would encourage Patricia to bring it up with the CEO.</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50822BA7"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2CD19636" w14:textId="1470B696" w:rsidR="003B7EEA" w:rsidRDefault="000A50C7" w:rsidP="00460D74">
            <w:pPr>
              <w:pStyle w:val="MyStyle"/>
              <w:numPr>
                <w:ilvl w:val="0"/>
                <w:numId w:val="46"/>
              </w:numPr>
              <w:rPr>
                <w:lang w:val="en-US"/>
              </w:rPr>
            </w:pPr>
            <w:r>
              <w:rPr>
                <w:lang w:val="en-US"/>
              </w:rPr>
              <w:t>Paul could side with Ian or Patricia.</w:t>
            </w:r>
          </w:p>
          <w:p w14:paraId="54335CB7" w14:textId="431956E8" w:rsidR="000A50C7" w:rsidRDefault="000A50C7" w:rsidP="00460D74">
            <w:pPr>
              <w:pStyle w:val="MyStyle"/>
              <w:numPr>
                <w:ilvl w:val="0"/>
                <w:numId w:val="46"/>
              </w:numPr>
              <w:rPr>
                <w:lang w:val="en-US"/>
              </w:rPr>
            </w:pPr>
            <w:r>
              <w:rPr>
                <w:lang w:val="en-US"/>
              </w:rPr>
              <w:t>Paul could ask Patricia to give more information at work.</w:t>
            </w:r>
          </w:p>
          <w:p w14:paraId="3E27E7E2" w14:textId="201D3040" w:rsidR="000A50C7" w:rsidRPr="00E774A4" w:rsidRDefault="000A50C7" w:rsidP="00460D74">
            <w:pPr>
              <w:pStyle w:val="MyStyle"/>
              <w:numPr>
                <w:ilvl w:val="0"/>
                <w:numId w:val="46"/>
              </w:numPr>
              <w:rPr>
                <w:lang w:val="en-US"/>
              </w:rPr>
            </w:pPr>
            <w:r>
              <w:rPr>
                <w:lang w:val="en-US"/>
              </w:rPr>
              <w:lastRenderedPageBreak/>
              <w:t>Paul could get both Ian &amp; Patricia to meet in his office</w:t>
            </w:r>
            <w:r w:rsidR="00460D74">
              <w:rPr>
                <w:lang w:val="en-US"/>
              </w:rPr>
              <w:t xml:space="preserve"> so he can get the story straight.</w:t>
            </w:r>
          </w:p>
          <w:p w14:paraId="517E3607" w14:textId="1AD0CE5C" w:rsidR="008253AC" w:rsidRDefault="008253AC" w:rsidP="00460D74">
            <w:pPr>
              <w:pStyle w:val="NoSpacing"/>
              <w:numPr>
                <w:ilvl w:val="0"/>
                <w:numId w:val="25"/>
              </w:numPr>
              <w:ind w:left="714" w:hanging="357"/>
              <w:rPr>
                <w:sz w:val="24"/>
                <w:szCs w:val="24"/>
                <w:lang w:val="en-US"/>
              </w:rPr>
            </w:pPr>
            <w:r w:rsidRPr="00E774A4">
              <w:rPr>
                <w:sz w:val="24"/>
                <w:szCs w:val="24"/>
                <w:lang w:val="en-US"/>
              </w:rPr>
              <w:t>What outcome is morally most desirable?</w:t>
            </w:r>
          </w:p>
          <w:p w14:paraId="5789615C" w14:textId="1F9AFA46" w:rsidR="00460D74" w:rsidRPr="00E774A4" w:rsidRDefault="00460D74" w:rsidP="00460D74">
            <w:pPr>
              <w:pStyle w:val="MyStyle"/>
              <w:numPr>
                <w:ilvl w:val="0"/>
                <w:numId w:val="45"/>
              </w:numPr>
              <w:rPr>
                <w:lang w:val="en-US"/>
              </w:rPr>
            </w:pPr>
            <w:r>
              <w:rPr>
                <w:lang w:val="en-US"/>
              </w:rPr>
              <w:t>The 3</w:t>
            </w:r>
            <w:r w:rsidRPr="00460D74">
              <w:rPr>
                <w:vertAlign w:val="superscript"/>
                <w:lang w:val="en-US"/>
              </w:rPr>
              <w:t>rd</w:t>
            </w:r>
            <w:r>
              <w:rPr>
                <w:lang w:val="en-US"/>
              </w:rPr>
              <w:t xml:space="preserve"> outcome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688F24F5"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5689C343" w14:textId="678D427E" w:rsidR="00460D74" w:rsidRDefault="00460D74" w:rsidP="00460D74">
            <w:pPr>
              <w:pStyle w:val="MyStyle"/>
              <w:numPr>
                <w:ilvl w:val="0"/>
                <w:numId w:val="45"/>
              </w:numPr>
              <w:rPr>
                <w:lang w:val="en-US"/>
              </w:rPr>
            </w:pPr>
            <w:r>
              <w:rPr>
                <w:lang w:val="en-US"/>
              </w:rPr>
              <w:t>Fair works</w:t>
            </w:r>
          </w:p>
          <w:p w14:paraId="75744492" w14:textId="77815487" w:rsidR="00460D74" w:rsidRPr="00460D74" w:rsidRDefault="00460D74" w:rsidP="00460D74">
            <w:pPr>
              <w:pStyle w:val="MyStyle"/>
              <w:numPr>
                <w:ilvl w:val="0"/>
                <w:numId w:val="45"/>
              </w:numPr>
              <w:rPr>
                <w:lang w:val="en-US"/>
              </w:rPr>
            </w:pPr>
            <w:r>
              <w:rPr>
                <w:lang w:val="en-US"/>
              </w:rPr>
              <w:t>Copyright Act 1968</w:t>
            </w:r>
          </w:p>
          <w:p w14:paraId="7E6359A4" w14:textId="010A5F67" w:rsidR="008253AC"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05FAA8AC" w14:textId="18E9FCCC" w:rsidR="00460D74" w:rsidRPr="00EB37A4" w:rsidRDefault="00EB37A4" w:rsidP="00EB37A4">
            <w:pPr>
              <w:pStyle w:val="ListParagraph"/>
              <w:numPr>
                <w:ilvl w:val="0"/>
                <w:numId w:val="47"/>
              </w:numPr>
              <w:rPr>
                <w:color w:val="0000FF"/>
                <w:sz w:val="24"/>
                <w:lang w:val="en-US"/>
              </w:rPr>
            </w:pPr>
            <w:r>
              <w:rPr>
                <w:color w:val="0000FF"/>
                <w:sz w:val="24"/>
                <w:lang w:val="en-US"/>
              </w:rPr>
              <w:t>I would have not told Paul &amp; I would have i</w:t>
            </w:r>
            <w:r w:rsidR="00460D74" w:rsidRPr="00460D74">
              <w:rPr>
                <w:color w:val="0000FF"/>
                <w:sz w:val="24"/>
                <w:lang w:val="en-US"/>
              </w:rPr>
              <w:t xml:space="preserve">nformed Patricia that he has received </w:t>
            </w:r>
            <w:r>
              <w:rPr>
                <w:color w:val="0000FF"/>
                <w:sz w:val="24"/>
                <w:lang w:val="en-US"/>
              </w:rPr>
              <w:t xml:space="preserve">the marketing email </w:t>
            </w:r>
            <w:r w:rsidR="00460D74" w:rsidRPr="00460D74">
              <w:rPr>
                <w:color w:val="0000FF"/>
                <w:sz w:val="24"/>
                <w:lang w:val="en-US"/>
              </w:rPr>
              <w:t>of her idea &amp; would encourage Patricia to bring it up with the CEO.</w:t>
            </w:r>
          </w:p>
          <w:p w14:paraId="57D847E9" w14:textId="6393D51B"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39635316" w14:textId="3C2B494D" w:rsidR="00EB37A4" w:rsidRPr="00EB37A4" w:rsidRDefault="00EB37A4" w:rsidP="00EB37A4">
            <w:pPr>
              <w:pStyle w:val="MyStyle"/>
              <w:numPr>
                <w:ilvl w:val="0"/>
                <w:numId w:val="47"/>
              </w:numPr>
              <w:rPr>
                <w:lang w:val="en-US"/>
              </w:rPr>
            </w:pPr>
            <w:r>
              <w:rPr>
                <w:lang w:val="en-US"/>
              </w:rPr>
              <w:t>Not talk about business during personal hours. After Patricia informed me about what she found, I would have got</w:t>
            </w:r>
            <w:r w:rsidRPr="00EB37A4">
              <w:rPr>
                <w:lang w:val="en-US"/>
              </w:rPr>
              <w:t xml:space="preserve"> both Ian &amp; Patricia to meet in </w:t>
            </w:r>
            <w:r>
              <w:rPr>
                <w:lang w:val="en-US"/>
              </w:rPr>
              <w:t>my</w:t>
            </w:r>
            <w:r w:rsidRPr="00EB37A4">
              <w:rPr>
                <w:lang w:val="en-US"/>
              </w:rPr>
              <w:t xml:space="preserve"> office</w:t>
            </w:r>
            <w:r>
              <w:rPr>
                <w:lang w:val="en-US"/>
              </w:rPr>
              <w:t xml:space="preserve"> on the next workday</w:t>
            </w:r>
            <w:r w:rsidRPr="00EB37A4">
              <w:rPr>
                <w:lang w:val="en-US"/>
              </w:rPr>
              <w:t xml:space="preserve"> so</w:t>
            </w:r>
            <w:r>
              <w:rPr>
                <w:lang w:val="en-US"/>
              </w:rPr>
              <w:t xml:space="preserve"> I</w:t>
            </w:r>
            <w:r w:rsidRPr="00EB37A4">
              <w:rPr>
                <w:lang w:val="en-US"/>
              </w:rPr>
              <w:t xml:space="preserve"> can get the story straigh</w:t>
            </w:r>
            <w:r>
              <w:rPr>
                <w:lang w:val="en-US"/>
              </w:rPr>
              <w:t>t.</w:t>
            </w:r>
          </w:p>
          <w:p w14:paraId="6A14CDBD" w14:textId="63A7D75A"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38FD835E" w14:textId="09874F13" w:rsidR="00EB37A4" w:rsidRPr="00E774A4" w:rsidRDefault="00FA4114" w:rsidP="00EB37A4">
            <w:pPr>
              <w:pStyle w:val="MyStyle"/>
              <w:numPr>
                <w:ilvl w:val="0"/>
                <w:numId w:val="47"/>
              </w:numPr>
              <w:rPr>
                <w:lang w:val="en-US"/>
              </w:rPr>
            </w:pPr>
            <w:r>
              <w:rPr>
                <w:lang w:val="en-US"/>
              </w:rPr>
              <w:t>I would have asked Ian why he was promoting me. If Ian told me the truth then I would have asked him to tell Paul where he got the idea.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You work for a solar installation company. You notice that the solar panels being installed are not the same as the rating on the purchase order. You ask your foreman if they are the correct panels and he says that our job is to just install what we are given.</w:t>
            </w:r>
          </w:p>
          <w:p w14:paraId="04870FB3" w14:textId="589BE212" w:rsidR="002B02E0" w:rsidRDefault="002B02E0" w:rsidP="00D3542F">
            <w:pPr>
              <w:pStyle w:val="NoSpacing"/>
              <w:numPr>
                <w:ilvl w:val="0"/>
                <w:numId w:val="28"/>
              </w:numPr>
              <w:ind w:left="714" w:hanging="357"/>
              <w:rPr>
                <w:sz w:val="24"/>
                <w:szCs w:val="24"/>
                <w:lang w:val="en-US"/>
              </w:rPr>
            </w:pPr>
            <w:r w:rsidRPr="00E774A4">
              <w:rPr>
                <w:sz w:val="24"/>
                <w:szCs w:val="24"/>
                <w:lang w:val="en-US"/>
              </w:rPr>
              <w:t>What are the moral implications of this situation?</w:t>
            </w:r>
          </w:p>
          <w:p w14:paraId="6F3CB86F" w14:textId="3BB47F61" w:rsidR="00D3542F" w:rsidRPr="00E774A4" w:rsidRDefault="00D3542F" w:rsidP="00D3542F">
            <w:pPr>
              <w:pStyle w:val="MyStyle"/>
              <w:numPr>
                <w:ilvl w:val="0"/>
                <w:numId w:val="47"/>
              </w:numPr>
              <w:rPr>
                <w:lang w:val="en-US"/>
              </w:rPr>
            </w:pPr>
            <w:r>
              <w:rPr>
                <w:lang w:val="en-US"/>
              </w:rPr>
              <w:t>The customer is not getting the product that they paid for.</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You do some google research on the panels and realize that they are far superior to what the customer is actually paying for.</w:t>
            </w:r>
          </w:p>
          <w:p w14:paraId="3F106D98" w14:textId="0E912668" w:rsidR="002B02E0"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717B0FFC" w14:textId="0CE8E576" w:rsidR="00D3542F" w:rsidRPr="00E774A4" w:rsidRDefault="00D3542F" w:rsidP="00D3542F">
            <w:pPr>
              <w:pStyle w:val="MyStyle"/>
              <w:numPr>
                <w:ilvl w:val="0"/>
                <w:numId w:val="47"/>
              </w:numPr>
              <w:rPr>
                <w:lang w:val="en-US"/>
              </w:rPr>
            </w:pPr>
            <w:r>
              <w:rPr>
                <w:lang w:val="en-US"/>
              </w:rPr>
              <w:t>The product is better than it should be, so the customer is getting more than what they paid for.</w:t>
            </w:r>
          </w:p>
          <w:p w14:paraId="642531B0" w14:textId="6702CD41" w:rsidR="002B02E0" w:rsidRDefault="002B02E0" w:rsidP="00D3542F">
            <w:pPr>
              <w:pStyle w:val="NoSpacing"/>
              <w:numPr>
                <w:ilvl w:val="0"/>
                <w:numId w:val="28"/>
              </w:numPr>
              <w:ind w:left="714" w:hanging="357"/>
              <w:rPr>
                <w:sz w:val="24"/>
                <w:szCs w:val="24"/>
                <w:lang w:val="en-US"/>
              </w:rPr>
            </w:pPr>
            <w:r w:rsidRPr="00E774A4">
              <w:rPr>
                <w:sz w:val="24"/>
                <w:szCs w:val="24"/>
                <w:lang w:val="en-US"/>
              </w:rPr>
              <w:t xml:space="preserve">If the panels were found to be inferior to those </w:t>
            </w:r>
            <w:r w:rsidR="00D3542F" w:rsidRPr="00E774A4">
              <w:rPr>
                <w:sz w:val="24"/>
                <w:szCs w:val="24"/>
                <w:lang w:val="en-US"/>
              </w:rPr>
              <w:t>purchased,</w:t>
            </w:r>
            <w:r w:rsidRPr="00E774A4">
              <w:rPr>
                <w:sz w:val="24"/>
                <w:szCs w:val="24"/>
                <w:lang w:val="en-US"/>
              </w:rPr>
              <w:t xml:space="preserve"> would you think the morality of the situation to be different?</w:t>
            </w:r>
          </w:p>
          <w:p w14:paraId="718931DE" w14:textId="66416041" w:rsidR="00D3542F" w:rsidRPr="00E774A4" w:rsidRDefault="00D3542F" w:rsidP="00D3542F">
            <w:pPr>
              <w:pStyle w:val="MyStyle"/>
              <w:numPr>
                <w:ilvl w:val="0"/>
                <w:numId w:val="47"/>
              </w:numPr>
              <w:rPr>
                <w:lang w:val="en-US"/>
              </w:rPr>
            </w:pPr>
            <w:r>
              <w:rPr>
                <w:lang w:val="en-US"/>
              </w:rPr>
              <w:t xml:space="preserve">The customer should be informed about the product misplacement because it </w:t>
            </w:r>
            <w:r w:rsidR="00D23BB4">
              <w:rPr>
                <w:lang w:val="en-US"/>
              </w:rPr>
              <w:t xml:space="preserve">is </w:t>
            </w:r>
            <w:r>
              <w:rPr>
                <w:lang w:val="en-US"/>
              </w:rPr>
              <w:t xml:space="preserve">worse </w:t>
            </w:r>
            <w:r w:rsidR="00D23BB4">
              <w:rPr>
                <w:lang w:val="en-US"/>
              </w:rPr>
              <w:t>than</w:t>
            </w:r>
            <w:r>
              <w:rPr>
                <w:lang w:val="en-US"/>
              </w:rPr>
              <w:t xml:space="preserve"> what they paid for</w:t>
            </w:r>
            <w:r w:rsidR="00D23BB4">
              <w:rPr>
                <w:lang w:val="en-US"/>
              </w:rPr>
              <w:t xml:space="preserve">. </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lastRenderedPageBreak/>
              <w:t>You tell your foreman of your findings and he immediately checks on Google and informs his boss of the situation. The boss credits him with a bonus which he splits 50:50 with you. The future panels are as specified.</w:t>
            </w:r>
          </w:p>
          <w:p w14:paraId="66DE0A75" w14:textId="75167B45" w:rsidR="002B02E0"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7A840837" w14:textId="4B57E7CE" w:rsidR="00D23BB4" w:rsidRPr="00E774A4" w:rsidRDefault="00D23BB4" w:rsidP="00D23BB4">
            <w:pPr>
              <w:pStyle w:val="MyStyle"/>
              <w:numPr>
                <w:ilvl w:val="0"/>
                <w:numId w:val="47"/>
              </w:numPr>
              <w:rPr>
                <w:lang w:val="en-US"/>
              </w:rPr>
            </w:pPr>
            <w:r>
              <w:rPr>
                <w:lang w:val="en-US"/>
              </w:rPr>
              <w:t>I would be ok with it if all parties are okay with it as well &amp; if the customer doesn’t get any extra charges for it.</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F824684" w14:textId="4D455E04" w:rsidR="00E774A4" w:rsidRPr="00F63401" w:rsidRDefault="003F7E7A" w:rsidP="003F7E7A">
            <w:pPr>
              <w:pStyle w:val="NoSpacing"/>
              <w:spacing w:after="120"/>
              <w:rPr>
                <w:i/>
                <w:sz w:val="24"/>
                <w:szCs w:val="24"/>
                <w:lang w:val="en-US"/>
              </w:rPr>
            </w:pPr>
            <w:r w:rsidRPr="00F63401">
              <w:rPr>
                <w:i/>
                <w:sz w:val="24"/>
                <w:szCs w:val="24"/>
                <w:lang w:val="en-US"/>
              </w:rPr>
              <w:t>Bernie Madoff is a former American stockbroker who orchestrated the biggest Ponzi scheme in history, and also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3725913A" w14:textId="77777777" w:rsidR="00E774A4" w:rsidRPr="00E774A4" w:rsidRDefault="00E774A4" w:rsidP="003F7E7A">
            <w:pPr>
              <w:pStyle w:val="NoSpacing"/>
              <w:spacing w:after="120"/>
              <w:rPr>
                <w:i/>
                <w:lang w:val="en-US"/>
              </w:rPr>
            </w:pP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55365699" w:rsidR="003F7E7A" w:rsidRPr="00AB4298" w:rsidRDefault="00D1383E" w:rsidP="003F7E7A">
            <w:pPr>
              <w:pStyle w:val="NoSpacing"/>
              <w:ind w:left="714"/>
              <w:rPr>
                <w:lang w:val="en-US"/>
              </w:rPr>
            </w:pPr>
            <w:hyperlink r:id="rId7" w:history="1">
              <w:r w:rsidR="003F7E7A" w:rsidRPr="00AB4298">
                <w:rPr>
                  <w:rStyle w:val="Hyperlink"/>
                  <w:lang w:val="en-US"/>
                </w:rPr>
                <w:t>https://moneysmart.gov.au/investment-warnings/ponzi-schemes</w:t>
              </w:r>
            </w:hyperlink>
          </w:p>
          <w:p w14:paraId="649DBC21" w14:textId="3D70C35E" w:rsidR="003F7E7A" w:rsidRPr="00AB4298" w:rsidRDefault="003F7E7A" w:rsidP="003F7E7A">
            <w:pPr>
              <w:pStyle w:val="NoSpacing"/>
              <w:ind w:left="714"/>
              <w:rPr>
                <w:lang w:val="en-US"/>
              </w:rPr>
            </w:pPr>
          </w:p>
          <w:p w14:paraId="2A03B23C" w14:textId="77777777" w:rsidR="00F63401" w:rsidRPr="00AB4298" w:rsidRDefault="00F63401" w:rsidP="003F7E7A">
            <w:pPr>
              <w:pStyle w:val="NoSpacing"/>
              <w:ind w:left="714"/>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23724DE1" w:rsidR="004A760B" w:rsidRPr="00AB4298" w:rsidRDefault="00D1383E" w:rsidP="004A760B">
            <w:pPr>
              <w:pStyle w:val="NoSpacing"/>
              <w:ind w:left="714"/>
              <w:rPr>
                <w:lang w:val="en-US"/>
              </w:rPr>
            </w:pPr>
            <w:hyperlink r:id="rId8" w:history="1">
              <w:r w:rsidR="004A760B" w:rsidRPr="00AB4298">
                <w:rPr>
                  <w:rStyle w:val="Hyperlink"/>
                  <w:lang w:val="en-US"/>
                </w:rPr>
                <w:t>https://en.wikipedia.org/wiki/Madoff_investment_scandal</w:t>
              </w:r>
            </w:hyperlink>
          </w:p>
          <w:p w14:paraId="5DC6D61E" w14:textId="467C338F" w:rsidR="004A760B" w:rsidRPr="00AB4298" w:rsidRDefault="004A760B" w:rsidP="004A760B">
            <w:pPr>
              <w:pStyle w:val="NoSpacing"/>
              <w:ind w:left="714"/>
              <w:rPr>
                <w:lang w:val="en-US"/>
              </w:rPr>
            </w:pPr>
          </w:p>
          <w:p w14:paraId="25D2BDA2" w14:textId="77777777" w:rsidR="00F63401" w:rsidRPr="00AB4298" w:rsidRDefault="00F63401" w:rsidP="004A760B">
            <w:pPr>
              <w:pStyle w:val="NoSpacing"/>
              <w:ind w:left="714"/>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475E44D3" w:rsidR="004A760B" w:rsidRPr="00AB4298" w:rsidRDefault="00D1383E" w:rsidP="004A760B">
            <w:pPr>
              <w:pStyle w:val="NoSpacing"/>
              <w:ind w:left="714"/>
              <w:rPr>
                <w:lang w:val="en-US"/>
              </w:rPr>
            </w:pPr>
            <w:hyperlink r:id="rId9" w:anchor=":~:text=In%202003%2C%20the%20United%20States,internet%20mail%2C%20and%20that%20the" w:history="1">
              <w:r w:rsidR="004A760B" w:rsidRPr="00AB4298">
                <w:rPr>
                  <w:rStyle w:val="Hyperlink"/>
                  <w:lang w:val="en-US"/>
                </w:rPr>
                <w:t>https://en.wikipedia.org/wiki/Pyramid_scheme#:~:text=In%202003%2C%20the%20United%20States,internet%20mail%2C%20and%20that%20the</w:t>
              </w:r>
            </w:hyperlink>
          </w:p>
          <w:p w14:paraId="5DC8857A" w14:textId="77777777" w:rsidR="004A760B" w:rsidRPr="00AB4298" w:rsidRDefault="004A760B" w:rsidP="004A760B">
            <w:pPr>
              <w:pStyle w:val="NoSpacing"/>
              <w:rPr>
                <w:lang w:val="en-US"/>
              </w:rPr>
            </w:pPr>
          </w:p>
          <w:p w14:paraId="2824BE90" w14:textId="6618D774" w:rsidR="003F7E7A" w:rsidRPr="00AB4298" w:rsidRDefault="003F7E7A" w:rsidP="003F7E7A">
            <w:pPr>
              <w:pStyle w:val="NoSpacing"/>
              <w:numPr>
                <w:ilvl w:val="0"/>
                <w:numId w:val="30"/>
              </w:numPr>
              <w:ind w:left="714" w:hanging="357"/>
              <w:rPr>
                <w:lang w:val="en-US"/>
              </w:rPr>
            </w:pPr>
            <w:r w:rsidRPr="00AB4298">
              <w:rPr>
                <w:lang w:val="en-US"/>
              </w:rPr>
              <w:t>Why are Ponzi and Pyramid sales schemes illegal?</w:t>
            </w:r>
          </w:p>
          <w:p w14:paraId="620E5B79" w14:textId="77777777" w:rsidR="00E774A4" w:rsidRPr="00AB4298" w:rsidRDefault="00E774A4" w:rsidP="00E774A4">
            <w:pPr>
              <w:pStyle w:val="NoSpacing"/>
              <w:ind w:left="714"/>
              <w:rPr>
                <w:lang w:val="en-US"/>
              </w:rPr>
            </w:pPr>
          </w:p>
          <w:p w14:paraId="6DB78660" w14:textId="6B553CB0" w:rsidR="004A760B" w:rsidRPr="00AB4298"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lastRenderedPageBreak/>
              <w:t xml:space="preserve">CASE 1 - </w:t>
            </w:r>
            <w:r w:rsidRPr="0063711E">
              <w:rPr>
                <w:b/>
                <w:bCs/>
                <w:lang w:val="en-US"/>
              </w:rPr>
              <w:t xml:space="preserve">In 2007, the high-end signature hand-bag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knock-offs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9AA35E"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097A1588" w14:textId="7C92A014" w:rsidR="00F63401" w:rsidRDefault="00F63401" w:rsidP="00F63401">
            <w:pPr>
              <w:pStyle w:val="NoSpacing"/>
              <w:ind w:left="720"/>
              <w:rPr>
                <w:lang w:val="en-US"/>
              </w:rPr>
            </w:pPr>
          </w:p>
          <w:p w14:paraId="20142C95" w14:textId="77777777" w:rsidR="003777EF" w:rsidRDefault="003777EF" w:rsidP="00F63401">
            <w:pPr>
              <w:pStyle w:val="NoSpacing"/>
              <w:ind w:left="720"/>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product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2278DA3A" w:rsidR="00F63401" w:rsidRDefault="00F63401" w:rsidP="00F63401">
            <w:pPr>
              <w:pStyle w:val="NoSpacing"/>
              <w:rPr>
                <w:lang w:val="en-US"/>
              </w:rPr>
            </w:pPr>
          </w:p>
          <w:p w14:paraId="1158A995" w14:textId="77777777" w:rsidR="003777EF" w:rsidRPr="00D54335" w:rsidRDefault="003777EF" w:rsidP="00F63401">
            <w:pPr>
              <w:pStyle w:val="NoSpacing"/>
              <w:rPr>
                <w:lang w:val="en-US"/>
              </w:rPr>
            </w:pP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2011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48C24CF9"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t>What should Warner Bros. have done about using the very recognizable Tyson tattoo?</w:t>
            </w:r>
          </w:p>
          <w:p w14:paraId="6F3CB302" w14:textId="77777777" w:rsidR="00F63401" w:rsidRDefault="00F63401" w:rsidP="00F63401">
            <w:pPr>
              <w:pStyle w:val="ListParagraph"/>
              <w:rPr>
                <w:lang w:val="en-US"/>
              </w:rPr>
            </w:pPr>
          </w:p>
          <w:p w14:paraId="6B32E9D9" w14:textId="77777777" w:rsidR="00F63401" w:rsidRDefault="00F63401" w:rsidP="00F63401">
            <w:pPr>
              <w:pStyle w:val="NoSpacing"/>
              <w:ind w:left="714"/>
              <w:rPr>
                <w:lang w:val="en-US"/>
              </w:rPr>
            </w:pPr>
          </w:p>
          <w:p w14:paraId="0FBE092A" w14:textId="0808F2EC"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 xml:space="preserve">Acuff-Rose Music Inc. cried copyright infringement. The case went to the Supreme Court, which, in so many words, said, lighten up. “Parody, or in any event its comment, necessarily springs from </w:t>
            </w:r>
            <w:r w:rsidRPr="00D54335">
              <w:rPr>
                <w:lang w:val="en-US"/>
              </w:rPr>
              <w:lastRenderedPageBreak/>
              <w:t>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78ADACF6" w:rsidR="0063711E" w:rsidRDefault="003A4697" w:rsidP="0049570B">
            <w:pPr>
              <w:pStyle w:val="NoSpacing"/>
              <w:numPr>
                <w:ilvl w:val="0"/>
                <w:numId w:val="32"/>
              </w:numPr>
              <w:rPr>
                <w:lang w:val="en-US"/>
              </w:rPr>
            </w:pPr>
            <w:r>
              <w:rPr>
                <w:lang w:val="en-US"/>
              </w:rPr>
              <w:t>Why do you think the music industry has so much IP theft and infringement?</w:t>
            </w:r>
          </w:p>
          <w:p w14:paraId="39D14E2E" w14:textId="77777777" w:rsidR="00F63401" w:rsidRDefault="00F63401" w:rsidP="00F63401">
            <w:pPr>
              <w:pStyle w:val="NoSpacing"/>
              <w:ind w:left="720"/>
              <w:rPr>
                <w:lang w:val="en-US"/>
              </w:rPr>
            </w:pPr>
          </w:p>
          <w:p w14:paraId="7E513712" w14:textId="3430DD03"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5705147F" w14:textId="77777777" w:rsidR="00F63401" w:rsidRDefault="00F63401" w:rsidP="00F63401">
            <w:pPr>
              <w:pStyle w:val="ListParagraph"/>
              <w:rPr>
                <w:lang w:val="en-US"/>
              </w:rPr>
            </w:pPr>
          </w:p>
          <w:p w14:paraId="519B800D" w14:textId="77777777" w:rsidR="00F63401" w:rsidRDefault="00F63401" w:rsidP="00F63401">
            <w:pPr>
              <w:pStyle w:val="NoSpacing"/>
              <w:spacing w:after="120"/>
              <w:ind w:left="714"/>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At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Kookaburra Sits In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As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Justice Jacobsen ordered Men At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D1383E" w:rsidP="003A4697">
            <w:pPr>
              <w:pStyle w:val="NoSpacing"/>
              <w:rPr>
                <w:lang w:val="en-US"/>
              </w:rPr>
            </w:pPr>
            <w:hyperlink r:id="rId10" w:history="1">
              <w:r w:rsidR="00917053" w:rsidRPr="00D03D0B">
                <w:rPr>
                  <w:rStyle w:val="Hyperlink"/>
                  <w:lang w:val="en-US"/>
                </w:rPr>
                <w:t>https://en.wikipedia.org/wiki/Down_Under_(song)</w:t>
              </w:r>
            </w:hyperlink>
          </w:p>
          <w:p w14:paraId="479748C2" w14:textId="77777777" w:rsidR="00917053" w:rsidRDefault="00917053" w:rsidP="003A4697">
            <w:pPr>
              <w:pStyle w:val="NoSpacing"/>
              <w:rPr>
                <w:lang w:val="en-US"/>
              </w:rPr>
            </w:pPr>
          </w:p>
          <w:p w14:paraId="1B92F59D" w14:textId="2C4459E0" w:rsidR="003A4697" w:rsidRDefault="00917053" w:rsidP="00917053">
            <w:pPr>
              <w:pStyle w:val="NoSpacing"/>
              <w:numPr>
                <w:ilvl w:val="0"/>
                <w:numId w:val="37"/>
              </w:numPr>
              <w:rPr>
                <w:lang w:val="en-US"/>
              </w:rPr>
            </w:pPr>
            <w:r>
              <w:rPr>
                <w:lang w:val="en-US"/>
              </w:rPr>
              <w:t>What are your opinions on the fairness of the case above?</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D1383E" w:rsidP="00F63401">
            <w:pPr>
              <w:pStyle w:val="NoSpacing"/>
              <w:rPr>
                <w:lang w:val="en-US"/>
              </w:rPr>
            </w:pPr>
            <w:hyperlink r:id="rId11" w:history="1">
              <w:r w:rsidR="00F63401" w:rsidRPr="00C843FE">
                <w:rPr>
                  <w:rStyle w:val="Hyperlink"/>
                  <w:lang w:val="en-US"/>
                </w:rPr>
                <w:t>https://www.news.com.au/entertainment/music/men-at-works-colin-hay-says-down-under-lawsuit-contributed-to-death-of-his-dad-and-bandmate/news-story/db47d17797386c960b7a7737974ea1ce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9AE6EDA"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 xml:space="preserve">Larrikin Music Publishing Pty Ltd v EMI Songs Australia Pty Limited) </w:t>
            </w:r>
            <w:r>
              <w:rPr>
                <w:lang w:val="en-US"/>
              </w:rPr>
              <w:t>?</w:t>
            </w:r>
          </w:p>
          <w:p w14:paraId="257A8B70" w14:textId="77777777" w:rsidR="00F63401" w:rsidRDefault="00F63401" w:rsidP="00F63401">
            <w:pPr>
              <w:pStyle w:val="NoSpacing"/>
              <w:ind w:left="720"/>
              <w:rPr>
                <w:lang w:val="en-US"/>
              </w:rPr>
            </w:pPr>
          </w:p>
          <w:p w14:paraId="13039601" w14:textId="064D2512" w:rsidR="0063711E" w:rsidRPr="00843BDB"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lastRenderedPageBreak/>
              <w:t>WAM Clothing was granted the exclusive use of the Aboriginal flag on clothing, physical and digital media by its designer and copyright holder, the Luritja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on cloth, clothing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D1383E" w:rsidP="00FC5529">
            <w:pPr>
              <w:pStyle w:val="NoSpacing"/>
              <w:spacing w:after="120"/>
              <w:rPr>
                <w:rFonts w:cstheme="minorHAnsi"/>
                <w:lang w:val="en-US"/>
              </w:rPr>
            </w:pPr>
            <w:hyperlink r:id="rId12" w:history="1">
              <w:r w:rsidR="00FC5529" w:rsidRPr="00D03D0B">
                <w:rPr>
                  <w:rStyle w:val="Hyperlink"/>
                  <w:rFonts w:cstheme="minorHAnsi"/>
                  <w:lang w:val="en-US"/>
                </w:rPr>
                <w:t>https://www.bbc.com/news/world-australia-49315063</w:t>
              </w:r>
            </w:hyperlink>
          </w:p>
          <w:p w14:paraId="5C1A47C2" w14:textId="206A7AFD" w:rsidR="00CA7CF1" w:rsidRDefault="00D1383E" w:rsidP="00FC5529">
            <w:pPr>
              <w:pStyle w:val="NoSpacing"/>
              <w:spacing w:after="120"/>
              <w:rPr>
                <w:rFonts w:cstheme="minorHAnsi"/>
                <w:lang w:val="en-US"/>
              </w:rPr>
            </w:pPr>
            <w:hyperlink r:id="rId13" w:history="1">
              <w:r w:rsidR="00CA7CF1" w:rsidRPr="00D03D0B">
                <w:rPr>
                  <w:rStyle w:val="Hyperlink"/>
                  <w:rFonts w:cstheme="minorHAnsi"/>
                  <w:lang w:val="en-US"/>
                </w:rPr>
                <w:t>https://www.worldtrademarkreview.com/brand-management/tale-two-flags</w:t>
              </w:r>
            </w:hyperlink>
          </w:p>
          <w:p w14:paraId="29D73DC3" w14:textId="326710B2"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Use google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409BDEC0" w:rsidR="00CA7CF1" w:rsidRDefault="00CA7CF1" w:rsidP="00FC5529">
            <w:pPr>
              <w:pStyle w:val="NoSpacing"/>
              <w:numPr>
                <w:ilvl w:val="0"/>
                <w:numId w:val="37"/>
              </w:numPr>
              <w:rPr>
                <w:rFonts w:cstheme="minorHAnsi"/>
                <w:lang w:val="en-US"/>
              </w:rPr>
            </w:pPr>
            <w:r>
              <w:rPr>
                <w:rFonts w:cstheme="minorHAnsi"/>
                <w:lang w:val="en-US"/>
              </w:rPr>
              <w:t>Can you legally fly a pirate flag?</w:t>
            </w:r>
          </w:p>
          <w:p w14:paraId="0888E849" w14:textId="77777777" w:rsidR="00F63401" w:rsidRDefault="00F63401" w:rsidP="00F63401">
            <w:pPr>
              <w:pStyle w:val="ListParagraph"/>
              <w:rPr>
                <w:rFonts w:cstheme="minorHAnsi"/>
                <w:lang w:val="en-US"/>
              </w:rPr>
            </w:pP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099610EC" w:rsidR="00F63401" w:rsidRDefault="00F63401" w:rsidP="00F63401">
            <w:pPr>
              <w:pStyle w:val="NoSpacing"/>
              <w:rPr>
                <w:rFonts w:cstheme="minorHAnsi"/>
                <w:lang w:val="en-US"/>
              </w:rPr>
            </w:pP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77777777" w:rsidR="00F63401" w:rsidRPr="00281794" w:rsidRDefault="00F63401" w:rsidP="00F63401">
            <w:pPr>
              <w:pStyle w:val="NoSpacing"/>
              <w:ind w:left="720"/>
              <w:rPr>
                <w:rFonts w:cstheme="minorHAnsi"/>
                <w:lang w:val="en-US"/>
              </w:rPr>
            </w:pP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7311E924" w14:textId="15751243" w:rsidR="00876C30" w:rsidRDefault="00876C30" w:rsidP="00876C30">
            <w:pPr>
              <w:pStyle w:val="NoSpacing"/>
              <w:ind w:left="720"/>
              <w:rPr>
                <w:bCs/>
                <w:lang w:val="en-US"/>
              </w:rPr>
            </w:pPr>
          </w:p>
          <w:p w14:paraId="474A5082" w14:textId="77777777" w:rsidR="003777EF" w:rsidRDefault="003777EF" w:rsidP="00876C30">
            <w:pPr>
              <w:pStyle w:val="NoSpacing"/>
              <w:ind w:left="720"/>
              <w:rPr>
                <w:bCs/>
                <w:lang w:val="en-US"/>
              </w:rPr>
            </w:pP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1351962E" w14:textId="77777777" w:rsidR="00AB4298" w:rsidRDefault="00AB4298" w:rsidP="00AB4298">
            <w:pPr>
              <w:pStyle w:val="ListParagraph"/>
              <w:rPr>
                <w:bCs/>
                <w:lang w:val="en-US"/>
              </w:rPr>
            </w:pPr>
          </w:p>
          <w:p w14:paraId="5E61A7E3" w14:textId="77777777" w:rsidR="00AB4298" w:rsidRDefault="00AB4298" w:rsidP="00AB4298">
            <w:pPr>
              <w:pStyle w:val="NoSpacing"/>
              <w:ind w:left="720"/>
              <w:rPr>
                <w:bCs/>
                <w:lang w:val="en-US"/>
              </w:rPr>
            </w:pP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analys</w:t>
            </w:r>
            <w:r>
              <w:rPr>
                <w:bCs/>
                <w:lang w:val="en-US"/>
              </w:rPr>
              <w:t>e</w:t>
            </w:r>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1E1EE49A" w14:textId="284A90AC" w:rsidR="00AB4298" w:rsidRDefault="00AB4298" w:rsidP="00AB4298">
            <w:pPr>
              <w:pStyle w:val="NoSpacing"/>
              <w:ind w:left="720"/>
              <w:rPr>
                <w:bCs/>
                <w:lang w:val="en-US"/>
              </w:rPr>
            </w:pPr>
          </w:p>
          <w:p w14:paraId="4F9CDEB7" w14:textId="77777777" w:rsidR="003777EF" w:rsidRDefault="003777EF" w:rsidP="00AB4298">
            <w:pPr>
              <w:pStyle w:val="NoSpacing"/>
              <w:ind w:left="720"/>
              <w:rPr>
                <w:bCs/>
                <w:lang w:val="en-US"/>
              </w:rPr>
            </w:pP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6CD3EDEB" w14:textId="77777777" w:rsidR="004E572D" w:rsidRPr="004217A6" w:rsidRDefault="004E572D" w:rsidP="004E572D">
            <w:pPr>
              <w:spacing w:after="120" w:line="264" w:lineRule="auto"/>
              <w:ind w:left="360"/>
              <w:contextualSpacing/>
              <w:rPr>
                <w:rFonts w:ascii="Calibri" w:eastAsia="Times New Roman" w:hAnsi="Calibri" w:cs="Calibri"/>
                <w:sz w:val="24"/>
                <w:szCs w:val="24"/>
                <w:lang w:eastAsia="en-AU"/>
              </w:rPr>
            </w:pP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video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4"/>
      <w:footerReference w:type="default" r:id="rId15"/>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4925F" w14:textId="77777777" w:rsidR="00D1383E" w:rsidRDefault="00D1383E" w:rsidP="00865EC7">
      <w:pPr>
        <w:spacing w:after="0" w:line="240" w:lineRule="auto"/>
      </w:pPr>
      <w:r>
        <w:separator/>
      </w:r>
    </w:p>
  </w:endnote>
  <w:endnote w:type="continuationSeparator" w:id="0">
    <w:p w14:paraId="1BE61E22" w14:textId="77777777" w:rsidR="00D1383E" w:rsidRDefault="00D1383E"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FD68" w14:textId="77777777" w:rsidR="00D1383E" w:rsidRDefault="00D1383E" w:rsidP="00865EC7">
      <w:pPr>
        <w:spacing w:after="0" w:line="240" w:lineRule="auto"/>
      </w:pPr>
      <w:r>
        <w:separator/>
      </w:r>
    </w:p>
  </w:footnote>
  <w:footnote w:type="continuationSeparator" w:id="0">
    <w:p w14:paraId="2E1D70E4" w14:textId="77777777" w:rsidR="00D1383E" w:rsidRDefault="00D1383E"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541563C"/>
    <w:multiLevelType w:val="hybridMultilevel"/>
    <w:tmpl w:val="806C23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030F8"/>
    <w:multiLevelType w:val="hybridMultilevel"/>
    <w:tmpl w:val="DB4C8EE2"/>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24"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F24648"/>
    <w:multiLevelType w:val="hybridMultilevel"/>
    <w:tmpl w:val="986CFAA6"/>
    <w:lvl w:ilvl="0" w:tplc="0C09000F">
      <w:start w:val="1"/>
      <w:numFmt w:val="decimal"/>
      <w:lvlText w:val="%1."/>
      <w:lvlJc w:val="left"/>
      <w:pPr>
        <w:ind w:left="1074" w:hanging="360"/>
      </w:pPr>
      <w:rPr>
        <w:rFonts w:hint="default"/>
      </w:rPr>
    </w:lvl>
    <w:lvl w:ilvl="1" w:tplc="FFFFFFFF" w:tentative="1">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28"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5" w15:restartNumberingAfterBreak="0">
    <w:nsid w:val="5EED7BCA"/>
    <w:multiLevelType w:val="hybridMultilevel"/>
    <w:tmpl w:val="6A549E16"/>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36"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970129">
    <w:abstractNumId w:val="10"/>
  </w:num>
  <w:num w:numId="2" w16cid:durableId="2146849958">
    <w:abstractNumId w:val="9"/>
  </w:num>
  <w:num w:numId="3" w16cid:durableId="359625847">
    <w:abstractNumId w:val="41"/>
  </w:num>
  <w:num w:numId="4" w16cid:durableId="1781339956">
    <w:abstractNumId w:val="6"/>
  </w:num>
  <w:num w:numId="5" w16cid:durableId="1096487238">
    <w:abstractNumId w:val="42"/>
  </w:num>
  <w:num w:numId="6" w16cid:durableId="651520273">
    <w:abstractNumId w:val="21"/>
  </w:num>
  <w:num w:numId="7" w16cid:durableId="1146388449">
    <w:abstractNumId w:val="8"/>
  </w:num>
  <w:num w:numId="8" w16cid:durableId="528950847">
    <w:abstractNumId w:val="14"/>
  </w:num>
  <w:num w:numId="9" w16cid:durableId="727647798">
    <w:abstractNumId w:val="17"/>
  </w:num>
  <w:num w:numId="10" w16cid:durableId="456720726">
    <w:abstractNumId w:val="3"/>
  </w:num>
  <w:num w:numId="11" w16cid:durableId="423234356">
    <w:abstractNumId w:val="28"/>
  </w:num>
  <w:num w:numId="12" w16cid:durableId="388891032">
    <w:abstractNumId w:val="24"/>
  </w:num>
  <w:num w:numId="13" w16cid:durableId="1325357307">
    <w:abstractNumId w:val="5"/>
  </w:num>
  <w:num w:numId="14" w16cid:durableId="1947731520">
    <w:abstractNumId w:val="7"/>
  </w:num>
  <w:num w:numId="15" w16cid:durableId="1244408761">
    <w:abstractNumId w:val="11"/>
  </w:num>
  <w:num w:numId="16" w16cid:durableId="1519351375">
    <w:abstractNumId w:val="38"/>
  </w:num>
  <w:num w:numId="17" w16cid:durableId="1930887214">
    <w:abstractNumId w:val="0"/>
  </w:num>
  <w:num w:numId="18" w16cid:durableId="1645767915">
    <w:abstractNumId w:val="12"/>
  </w:num>
  <w:num w:numId="19" w16cid:durableId="556205559">
    <w:abstractNumId w:val="43"/>
  </w:num>
  <w:num w:numId="20" w16cid:durableId="2088260617">
    <w:abstractNumId w:val="37"/>
  </w:num>
  <w:num w:numId="21" w16cid:durableId="695542823">
    <w:abstractNumId w:val="16"/>
  </w:num>
  <w:num w:numId="22" w16cid:durableId="204412393">
    <w:abstractNumId w:val="31"/>
  </w:num>
  <w:num w:numId="23" w16cid:durableId="504252317">
    <w:abstractNumId w:val="2"/>
  </w:num>
  <w:num w:numId="24" w16cid:durableId="1021585691">
    <w:abstractNumId w:val="1"/>
  </w:num>
  <w:num w:numId="25" w16cid:durableId="1593199003">
    <w:abstractNumId w:val="44"/>
  </w:num>
  <w:num w:numId="26" w16cid:durableId="970133413">
    <w:abstractNumId w:val="4"/>
  </w:num>
  <w:num w:numId="27" w16cid:durableId="813527134">
    <w:abstractNumId w:val="26"/>
  </w:num>
  <w:num w:numId="28" w16cid:durableId="584608744">
    <w:abstractNumId w:val="30"/>
  </w:num>
  <w:num w:numId="29" w16cid:durableId="182600731">
    <w:abstractNumId w:val="34"/>
  </w:num>
  <w:num w:numId="30" w16cid:durableId="1893151474">
    <w:abstractNumId w:val="19"/>
  </w:num>
  <w:num w:numId="31" w16cid:durableId="1996298683">
    <w:abstractNumId w:val="22"/>
  </w:num>
  <w:num w:numId="32" w16cid:durableId="1637947094">
    <w:abstractNumId w:val="40"/>
  </w:num>
  <w:num w:numId="33" w16cid:durableId="169293557">
    <w:abstractNumId w:val="20"/>
  </w:num>
  <w:num w:numId="34" w16cid:durableId="1207839211">
    <w:abstractNumId w:val="25"/>
  </w:num>
  <w:num w:numId="35" w16cid:durableId="789126840">
    <w:abstractNumId w:val="13"/>
  </w:num>
  <w:num w:numId="36" w16cid:durableId="979191875">
    <w:abstractNumId w:val="45"/>
  </w:num>
  <w:num w:numId="37" w16cid:durableId="963734189">
    <w:abstractNumId w:val="32"/>
  </w:num>
  <w:num w:numId="38" w16cid:durableId="1448887316">
    <w:abstractNumId w:val="39"/>
  </w:num>
  <w:num w:numId="39" w16cid:durableId="781076210">
    <w:abstractNumId w:val="46"/>
  </w:num>
  <w:num w:numId="40" w16cid:durableId="588271521">
    <w:abstractNumId w:val="36"/>
  </w:num>
  <w:num w:numId="41" w16cid:durableId="61291337">
    <w:abstractNumId w:val="29"/>
  </w:num>
  <w:num w:numId="42" w16cid:durableId="693851283">
    <w:abstractNumId w:val="18"/>
  </w:num>
  <w:num w:numId="43" w16cid:durableId="2055887158">
    <w:abstractNumId w:val="33"/>
  </w:num>
  <w:num w:numId="44" w16cid:durableId="654918562">
    <w:abstractNumId w:val="35"/>
  </w:num>
  <w:num w:numId="45" w16cid:durableId="576941228">
    <w:abstractNumId w:val="23"/>
  </w:num>
  <w:num w:numId="46" w16cid:durableId="116604429">
    <w:abstractNumId w:val="27"/>
  </w:num>
  <w:num w:numId="47" w16cid:durableId="1600867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A50C7"/>
    <w:rsid w:val="000B53DB"/>
    <w:rsid w:val="000F6251"/>
    <w:rsid w:val="000F6314"/>
    <w:rsid w:val="00133C94"/>
    <w:rsid w:val="001360E8"/>
    <w:rsid w:val="001551A2"/>
    <w:rsid w:val="00165E34"/>
    <w:rsid w:val="002027B6"/>
    <w:rsid w:val="00220BBC"/>
    <w:rsid w:val="00220D74"/>
    <w:rsid w:val="00281794"/>
    <w:rsid w:val="00297FC5"/>
    <w:rsid w:val="002A630C"/>
    <w:rsid w:val="002B02E0"/>
    <w:rsid w:val="002D61C6"/>
    <w:rsid w:val="00302E03"/>
    <w:rsid w:val="0032271D"/>
    <w:rsid w:val="00362094"/>
    <w:rsid w:val="00371A7A"/>
    <w:rsid w:val="003777EF"/>
    <w:rsid w:val="00385B33"/>
    <w:rsid w:val="003A4697"/>
    <w:rsid w:val="003B7EEA"/>
    <w:rsid w:val="003E2435"/>
    <w:rsid w:val="003E2C0E"/>
    <w:rsid w:val="003F7790"/>
    <w:rsid w:val="003F7E7A"/>
    <w:rsid w:val="004206EC"/>
    <w:rsid w:val="004217A6"/>
    <w:rsid w:val="004226E1"/>
    <w:rsid w:val="00460D74"/>
    <w:rsid w:val="0049570B"/>
    <w:rsid w:val="004A760B"/>
    <w:rsid w:val="004D6603"/>
    <w:rsid w:val="004E572D"/>
    <w:rsid w:val="004E69AF"/>
    <w:rsid w:val="004F68AC"/>
    <w:rsid w:val="00526311"/>
    <w:rsid w:val="005724A2"/>
    <w:rsid w:val="005A72E6"/>
    <w:rsid w:val="00633509"/>
    <w:rsid w:val="0063711E"/>
    <w:rsid w:val="00640DF0"/>
    <w:rsid w:val="00644875"/>
    <w:rsid w:val="006902E5"/>
    <w:rsid w:val="006D0B24"/>
    <w:rsid w:val="006E336C"/>
    <w:rsid w:val="0071316C"/>
    <w:rsid w:val="007165D3"/>
    <w:rsid w:val="007169F5"/>
    <w:rsid w:val="00776E49"/>
    <w:rsid w:val="007E533A"/>
    <w:rsid w:val="008253AC"/>
    <w:rsid w:val="00843BDB"/>
    <w:rsid w:val="00865EC7"/>
    <w:rsid w:val="00872508"/>
    <w:rsid w:val="00876C30"/>
    <w:rsid w:val="00881C1E"/>
    <w:rsid w:val="008E77FB"/>
    <w:rsid w:val="00917053"/>
    <w:rsid w:val="00967FC0"/>
    <w:rsid w:val="009704F5"/>
    <w:rsid w:val="00973711"/>
    <w:rsid w:val="00985A0B"/>
    <w:rsid w:val="00A06A0F"/>
    <w:rsid w:val="00A40D6A"/>
    <w:rsid w:val="00A43C3B"/>
    <w:rsid w:val="00A762FC"/>
    <w:rsid w:val="00A77A0F"/>
    <w:rsid w:val="00A8021E"/>
    <w:rsid w:val="00AB0764"/>
    <w:rsid w:val="00AB4298"/>
    <w:rsid w:val="00AB7B84"/>
    <w:rsid w:val="00B275C9"/>
    <w:rsid w:val="00B37791"/>
    <w:rsid w:val="00B43EA6"/>
    <w:rsid w:val="00B55111"/>
    <w:rsid w:val="00B562E3"/>
    <w:rsid w:val="00B64E6E"/>
    <w:rsid w:val="00BA23BA"/>
    <w:rsid w:val="00BA7407"/>
    <w:rsid w:val="00BC23F7"/>
    <w:rsid w:val="00BC5ADA"/>
    <w:rsid w:val="00BE26E9"/>
    <w:rsid w:val="00C32120"/>
    <w:rsid w:val="00C66B24"/>
    <w:rsid w:val="00C72A7F"/>
    <w:rsid w:val="00CA419E"/>
    <w:rsid w:val="00CA6211"/>
    <w:rsid w:val="00CA7CF1"/>
    <w:rsid w:val="00CD08C4"/>
    <w:rsid w:val="00D02437"/>
    <w:rsid w:val="00D1383E"/>
    <w:rsid w:val="00D23BB4"/>
    <w:rsid w:val="00D3542F"/>
    <w:rsid w:val="00D37A6C"/>
    <w:rsid w:val="00D50E11"/>
    <w:rsid w:val="00D54335"/>
    <w:rsid w:val="00D57CB8"/>
    <w:rsid w:val="00D633BD"/>
    <w:rsid w:val="00D74788"/>
    <w:rsid w:val="00DB1A64"/>
    <w:rsid w:val="00DB49A9"/>
    <w:rsid w:val="00DC1E7A"/>
    <w:rsid w:val="00E011EB"/>
    <w:rsid w:val="00E26052"/>
    <w:rsid w:val="00E30D31"/>
    <w:rsid w:val="00E53629"/>
    <w:rsid w:val="00E578D6"/>
    <w:rsid w:val="00E774A4"/>
    <w:rsid w:val="00EB0578"/>
    <w:rsid w:val="00EB37A4"/>
    <w:rsid w:val="00EC1D19"/>
    <w:rsid w:val="00ED54EF"/>
    <w:rsid w:val="00F177ED"/>
    <w:rsid w:val="00F301CA"/>
    <w:rsid w:val="00F42AC7"/>
    <w:rsid w:val="00F450C4"/>
    <w:rsid w:val="00F47730"/>
    <w:rsid w:val="00F63401"/>
    <w:rsid w:val="00F7119A"/>
    <w:rsid w:val="00F7710F"/>
    <w:rsid w:val="00FA4114"/>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eading">
    <w:name w:val="My Heading"/>
    <w:basedOn w:val="Heading1"/>
    <w:next w:val="Normal"/>
    <w:qFormat/>
    <w:rsid w:val="007169F5"/>
    <w:rPr>
      <w:color w:val="000099"/>
    </w:rPr>
  </w:style>
  <w:style w:type="paragraph" w:customStyle="1" w:styleId="MyStyle">
    <w:name w:val="My Style"/>
    <w:basedOn w:val="Normal"/>
    <w:link w:val="MyStyleChar"/>
    <w:qFormat/>
    <w:rsid w:val="007169F5"/>
    <w:pPr>
      <w:spacing w:after="0"/>
    </w:pPr>
    <w:rPr>
      <w:color w:val="0000FF"/>
      <w:sz w:val="24"/>
    </w:rPr>
  </w:style>
  <w:style w:type="character" w:customStyle="1" w:styleId="MyStyleChar">
    <w:name w:val="My Style Char"/>
    <w:basedOn w:val="DefaultParagraphFont"/>
    <w:link w:val="MyStyle"/>
    <w:rsid w:val="007169F5"/>
    <w:rPr>
      <w:color w:val="0000FF"/>
      <w:sz w:val="24"/>
    </w:rPr>
  </w:style>
  <w:style w:type="paragraph" w:customStyle="1" w:styleId="MySubtitle">
    <w:name w:val="My Subtitle"/>
    <w:basedOn w:val="Subtitle"/>
    <w:next w:val="MyStyle"/>
    <w:link w:val="MySubtitleChar"/>
    <w:qFormat/>
    <w:rsid w:val="007169F5"/>
    <w:rPr>
      <w:color w:val="0066FF"/>
      <w:sz w:val="20"/>
    </w:rPr>
  </w:style>
  <w:style w:type="character" w:customStyle="1" w:styleId="MySubtitleChar">
    <w:name w:val="My Subtitle Char"/>
    <w:basedOn w:val="SubtitleChar"/>
    <w:link w:val="MySubtitle"/>
    <w:rsid w:val="007169F5"/>
    <w:rPr>
      <w:rFonts w:eastAsiaTheme="minorEastAsia"/>
      <w:color w:val="0066FF"/>
      <w:spacing w:val="15"/>
      <w:sz w:val="20"/>
    </w:rPr>
  </w:style>
  <w:style w:type="paragraph" w:styleId="Subtitle">
    <w:name w:val="Subtitle"/>
    <w:basedOn w:val="Normal"/>
    <w:next w:val="Normal"/>
    <w:link w:val="SubtitleChar"/>
    <w:uiPriority w:val="11"/>
    <w:qFormat/>
    <w:rsid w:val="007169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9F5"/>
    <w:rPr>
      <w:rFonts w:eastAsiaTheme="minorEastAsia"/>
      <w:color w:val="5A5A5A" w:themeColor="text1" w:themeTint="A5"/>
      <w:spacing w:val="15"/>
    </w:rPr>
  </w:style>
  <w:style w:type="paragraph" w:customStyle="1" w:styleId="MyTitle">
    <w:name w:val="My Title"/>
    <w:basedOn w:val="Title"/>
    <w:next w:val="MyStyle"/>
    <w:link w:val="MyTitleChar"/>
    <w:qFormat/>
    <w:rsid w:val="007169F5"/>
    <w:pPr>
      <w:jc w:val="left"/>
    </w:pPr>
    <w:rPr>
      <w:rFonts w:asciiTheme="majorHAnsi" w:hAnsiTheme="majorHAnsi" w:cstheme="majorBidi"/>
      <w:color w:val="000099"/>
      <w:sz w:val="56"/>
      <w:szCs w:val="56"/>
    </w:rPr>
  </w:style>
  <w:style w:type="character" w:customStyle="1" w:styleId="MyTitleChar">
    <w:name w:val="My Title Char"/>
    <w:basedOn w:val="TitleChar"/>
    <w:link w:val="MyTitle"/>
    <w:rsid w:val="007169F5"/>
    <w:rPr>
      <w:rFonts w:asciiTheme="majorHAnsi" w:eastAsiaTheme="majorEastAsia" w:hAnsiTheme="majorHAnsi" w:cstheme="majorBidi"/>
      <w:color w:val="000099"/>
      <w:spacing w:val="-10"/>
      <w:kern w:val="28"/>
      <w:sz w:val="56"/>
      <w:szCs w:val="56"/>
    </w:rPr>
  </w:style>
  <w:style w:type="paragraph" w:customStyle="1" w:styleId="MySigning">
    <w:name w:val="My Signing"/>
    <w:basedOn w:val="Normal"/>
    <w:link w:val="MySigningChar"/>
    <w:qFormat/>
    <w:rsid w:val="007169F5"/>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7169F5"/>
    <w:rPr>
      <w:rFonts w:ascii="Brush Script MT" w:hAnsi="Brush Script MT" w:cs="Tahoma"/>
      <w:strike/>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worldtrademarkreview.com/brand-management/tale-two-flags" TargetMode="External"/><Relationship Id="rId3" Type="http://schemas.openxmlformats.org/officeDocument/2006/relationships/settings" Target="settings.xml"/><Relationship Id="rId7" Type="http://schemas.openxmlformats.org/officeDocument/2006/relationships/hyperlink" Target="https://moneysmart.gov.au/investment-warnings/ponzi-schemes" TargetMode="External"/><Relationship Id="rId12" Type="http://schemas.openxmlformats.org/officeDocument/2006/relationships/hyperlink" Target="https://www.bbc.com/news/world-australia-493150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own_Under_(song)" TargetMode="Externa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6</cp:revision>
  <cp:lastPrinted>2020-01-29T01:54:00Z</cp:lastPrinted>
  <dcterms:created xsi:type="dcterms:W3CDTF">2022-03-09T05:07:00Z</dcterms:created>
  <dcterms:modified xsi:type="dcterms:W3CDTF">2022-06-07T06:03:00Z</dcterms:modified>
</cp:coreProperties>
</file>