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0832C" w14:textId="11A7D05C" w:rsidR="00F603AD" w:rsidRDefault="00F603AD">
      <w:r>
        <w:t>Rainbow Hero Co upholds a high level of professionalism we are s diverse &amp; inclusive company. We support professional development to onsite training. At Rainbow Hero Co our priorities are the health &amp; safety.</w:t>
      </w:r>
    </w:p>
    <w:sectPr w:rsidR="00F60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AD"/>
    <w:rsid w:val="00F6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32DCA"/>
  <w15:chartTrackingRefBased/>
  <w15:docId w15:val="{C37DD55D-6BBE-4C14-8167-B704F54F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</cp:revision>
  <dcterms:created xsi:type="dcterms:W3CDTF">2022-03-24T05:59:00Z</dcterms:created>
  <dcterms:modified xsi:type="dcterms:W3CDTF">2022-03-24T06:04:00Z</dcterms:modified>
</cp:coreProperties>
</file>