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4EFA3D1D" w:rsidR="00C93D93" w:rsidRPr="0090770F" w:rsidRDefault="00162A05" w:rsidP="00162A05">
            <w:pPr>
              <w:pStyle w:val="MyStyle"/>
            </w:pPr>
            <w:r>
              <w:t>Richard Pountney</w:t>
            </w: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02373AFB" w:rsidR="00C93D93" w:rsidRPr="0090770F" w:rsidRDefault="00162A05" w:rsidP="00162A05">
            <w:pPr>
              <w:pStyle w:val="MyStyle"/>
            </w:pPr>
            <w:r>
              <w:t>30007736</w:t>
            </w: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750E86B3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wants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expand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decision-making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BF3C8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>Any and all</w:t>
            </w:r>
            <w:proofErr w:type="gramEnd"/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B17A6B6" w:rsidR="00C93D93" w:rsidRPr="0090770F" w:rsidRDefault="006119D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</w:t>
            </w:r>
            <w:r w:rsidR="00C93D93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3B42AED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0D0883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77777777" w:rsidR="00F90F1E" w:rsidRPr="0090770F" w:rsidRDefault="00F90F1E">
      <w:r w:rsidRPr="0090770F">
        <w:br w:type="page"/>
      </w:r>
    </w:p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Q3</w:t>
            </w:r>
          </w:p>
        </w:tc>
        <w:tc>
          <w:tcPr>
            <w:tcW w:w="7377" w:type="dxa"/>
          </w:tcPr>
          <w:p w14:paraId="5599EF9F" w14:textId="13AA5F04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</w:t>
            </w:r>
            <w:proofErr w:type="gramStart"/>
            <w:r w:rsidRPr="31B6D1FB">
              <w:rPr>
                <w:rFonts w:ascii="Arial" w:eastAsia="Arial" w:hAnsi="Arial" w:cs="Arial"/>
                <w:sz w:val="22"/>
                <w:szCs w:val="22"/>
              </w:rPr>
              <w:t>),its</w:t>
            </w:r>
            <w:proofErr w:type="gramEnd"/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 major provisions, and how it relates to Australian entities. In your response, describe at least two difference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565BFB3C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022C0AA" w14:textId="77777777" w:rsidR="005F06B3" w:rsidRPr="0090770F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  <w:p w14:paraId="29401857" w14:textId="2A555DE3" w:rsidR="00565FD9" w:rsidRPr="0090770F" w:rsidRDefault="00565FD9" w:rsidP="00F61468">
            <w:pPr>
              <w:widowControl w:val="0"/>
              <w:spacing w:before="62"/>
              <w:ind w:left="108" w:right="-20"/>
              <w:jc w:val="center"/>
              <w:rPr>
                <w:rFonts w:ascii="Arial" w:eastAsia="Arial" w:hAnsi="Arial" w:cs="Arial"/>
                <w:i/>
                <w:color w:val="0000CC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CC64935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F9FCAE9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7F1762C" w14:textId="77777777" w:rsidR="00384595" w:rsidRPr="0090770F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8524CE2" w14:textId="77777777" w:rsidR="00722F25" w:rsidRPr="0090770F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3B67E37" w14:textId="77777777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D22598" w14:textId="77777777" w:rsidR="006F078D" w:rsidRPr="0090770F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868F4B9" w14:textId="663AB32C" w:rsidR="006F078D" w:rsidRPr="0090770F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9F20FFB" w14:textId="4C7A4206" w:rsidR="00B17AED" w:rsidRPr="0090770F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38D8DE85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. What kind of industry-specific considerations should you keep in mind when implementing the risk management 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4A605E6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6F20553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01417F9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38AB6354" w14:textId="77777777" w:rsidR="00B17AED" w:rsidRPr="0090770F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AC3E" w14:textId="77777777" w:rsidR="00797184" w:rsidRDefault="00797184">
      <w:r>
        <w:separator/>
      </w:r>
    </w:p>
  </w:endnote>
  <w:endnote w:type="continuationSeparator" w:id="0">
    <w:p w14:paraId="4AF16018" w14:textId="77777777" w:rsidR="00797184" w:rsidRDefault="0079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  <w:proofErr w:type="gramEnd"/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DCAF" w14:textId="77777777" w:rsidR="00797184" w:rsidRDefault="00797184">
      <w:r>
        <w:separator/>
      </w:r>
    </w:p>
  </w:footnote>
  <w:footnote w:type="continuationSeparator" w:id="0">
    <w:p w14:paraId="1AFFBDB9" w14:textId="77777777" w:rsidR="00797184" w:rsidRDefault="00797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877289">
    <w:abstractNumId w:val="19"/>
  </w:num>
  <w:num w:numId="2" w16cid:durableId="726027821">
    <w:abstractNumId w:val="16"/>
  </w:num>
  <w:num w:numId="3" w16cid:durableId="1291982771">
    <w:abstractNumId w:val="6"/>
  </w:num>
  <w:num w:numId="4" w16cid:durableId="1660767989">
    <w:abstractNumId w:val="13"/>
  </w:num>
  <w:num w:numId="5" w16cid:durableId="898630182">
    <w:abstractNumId w:val="2"/>
  </w:num>
  <w:num w:numId="6" w16cid:durableId="1199514266">
    <w:abstractNumId w:val="4"/>
  </w:num>
  <w:num w:numId="7" w16cid:durableId="1840388368">
    <w:abstractNumId w:val="12"/>
  </w:num>
  <w:num w:numId="8" w16cid:durableId="367336562">
    <w:abstractNumId w:val="20"/>
  </w:num>
  <w:num w:numId="9" w16cid:durableId="1157574317">
    <w:abstractNumId w:val="3"/>
  </w:num>
  <w:num w:numId="10" w16cid:durableId="190454664">
    <w:abstractNumId w:val="8"/>
  </w:num>
  <w:num w:numId="11" w16cid:durableId="2039159214">
    <w:abstractNumId w:val="21"/>
  </w:num>
  <w:num w:numId="12" w16cid:durableId="128131021">
    <w:abstractNumId w:val="18"/>
  </w:num>
  <w:num w:numId="13" w16cid:durableId="659770428">
    <w:abstractNumId w:val="1"/>
  </w:num>
  <w:num w:numId="14" w16cid:durableId="476841317">
    <w:abstractNumId w:val="22"/>
  </w:num>
  <w:num w:numId="15" w16cid:durableId="111360223">
    <w:abstractNumId w:val="17"/>
  </w:num>
  <w:num w:numId="16" w16cid:durableId="1688170607">
    <w:abstractNumId w:val="5"/>
  </w:num>
  <w:num w:numId="17" w16cid:durableId="1793472614">
    <w:abstractNumId w:val="9"/>
  </w:num>
  <w:num w:numId="18" w16cid:durableId="504519977">
    <w:abstractNumId w:val="7"/>
  </w:num>
  <w:num w:numId="19" w16cid:durableId="1082482231">
    <w:abstractNumId w:val="11"/>
  </w:num>
  <w:num w:numId="20" w16cid:durableId="1096247390">
    <w:abstractNumId w:val="15"/>
  </w:num>
  <w:num w:numId="21" w16cid:durableId="1805926731">
    <w:abstractNumId w:val="10"/>
  </w:num>
  <w:num w:numId="22" w16cid:durableId="263346362">
    <w:abstractNumId w:val="14"/>
  </w:num>
  <w:num w:numId="23" w16cid:durableId="1050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46E0B"/>
    <w:rsid w:val="00072314"/>
    <w:rsid w:val="00081E41"/>
    <w:rsid w:val="00082249"/>
    <w:rsid w:val="0008406E"/>
    <w:rsid w:val="000B5B47"/>
    <w:rsid w:val="000B60AD"/>
    <w:rsid w:val="000B78BA"/>
    <w:rsid w:val="000E363F"/>
    <w:rsid w:val="000F0A5B"/>
    <w:rsid w:val="000F18B7"/>
    <w:rsid w:val="00131F45"/>
    <w:rsid w:val="00143FDD"/>
    <w:rsid w:val="00162A05"/>
    <w:rsid w:val="001C7423"/>
    <w:rsid w:val="001D0D74"/>
    <w:rsid w:val="001D30E1"/>
    <w:rsid w:val="001F11BC"/>
    <w:rsid w:val="001F628A"/>
    <w:rsid w:val="00201B08"/>
    <w:rsid w:val="00210A13"/>
    <w:rsid w:val="002433E7"/>
    <w:rsid w:val="002639A5"/>
    <w:rsid w:val="002713BE"/>
    <w:rsid w:val="00273366"/>
    <w:rsid w:val="002D1285"/>
    <w:rsid w:val="002F5B38"/>
    <w:rsid w:val="00317192"/>
    <w:rsid w:val="0032348A"/>
    <w:rsid w:val="003240E9"/>
    <w:rsid w:val="003324B1"/>
    <w:rsid w:val="00343B45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B5198"/>
    <w:rsid w:val="004C0D2B"/>
    <w:rsid w:val="004C3815"/>
    <w:rsid w:val="004F4645"/>
    <w:rsid w:val="00531E70"/>
    <w:rsid w:val="00534F34"/>
    <w:rsid w:val="005370BC"/>
    <w:rsid w:val="0054046C"/>
    <w:rsid w:val="00540A11"/>
    <w:rsid w:val="00565FD9"/>
    <w:rsid w:val="00571AB6"/>
    <w:rsid w:val="00572193"/>
    <w:rsid w:val="00587D96"/>
    <w:rsid w:val="00595373"/>
    <w:rsid w:val="00596939"/>
    <w:rsid w:val="005A49A8"/>
    <w:rsid w:val="005C4ABC"/>
    <w:rsid w:val="005E7D77"/>
    <w:rsid w:val="005F06B3"/>
    <w:rsid w:val="005F45CD"/>
    <w:rsid w:val="005F6433"/>
    <w:rsid w:val="006119D3"/>
    <w:rsid w:val="00626295"/>
    <w:rsid w:val="00645B02"/>
    <w:rsid w:val="00645C8D"/>
    <w:rsid w:val="00645D0A"/>
    <w:rsid w:val="00671A09"/>
    <w:rsid w:val="0067688E"/>
    <w:rsid w:val="00677600"/>
    <w:rsid w:val="00685740"/>
    <w:rsid w:val="006A0A16"/>
    <w:rsid w:val="006B712D"/>
    <w:rsid w:val="006C169E"/>
    <w:rsid w:val="006C7A1D"/>
    <w:rsid w:val="006E2359"/>
    <w:rsid w:val="006F078D"/>
    <w:rsid w:val="006F2BFA"/>
    <w:rsid w:val="007004B0"/>
    <w:rsid w:val="00714E64"/>
    <w:rsid w:val="00722F25"/>
    <w:rsid w:val="00723B1A"/>
    <w:rsid w:val="007405EB"/>
    <w:rsid w:val="007523E0"/>
    <w:rsid w:val="00771C6F"/>
    <w:rsid w:val="00790EA6"/>
    <w:rsid w:val="007939DE"/>
    <w:rsid w:val="00793DE7"/>
    <w:rsid w:val="00797184"/>
    <w:rsid w:val="007C41C4"/>
    <w:rsid w:val="007E3318"/>
    <w:rsid w:val="007F70AB"/>
    <w:rsid w:val="00806795"/>
    <w:rsid w:val="00812694"/>
    <w:rsid w:val="008379B8"/>
    <w:rsid w:val="008424CF"/>
    <w:rsid w:val="00860FE6"/>
    <w:rsid w:val="008638A7"/>
    <w:rsid w:val="008701B5"/>
    <w:rsid w:val="008911F2"/>
    <w:rsid w:val="00893ADB"/>
    <w:rsid w:val="008B4147"/>
    <w:rsid w:val="008B558D"/>
    <w:rsid w:val="008E1668"/>
    <w:rsid w:val="008E1CE7"/>
    <w:rsid w:val="008F1009"/>
    <w:rsid w:val="008F1ECA"/>
    <w:rsid w:val="0090770F"/>
    <w:rsid w:val="00966E9E"/>
    <w:rsid w:val="009709F0"/>
    <w:rsid w:val="00984A6E"/>
    <w:rsid w:val="009B7F97"/>
    <w:rsid w:val="009C03BA"/>
    <w:rsid w:val="009C1461"/>
    <w:rsid w:val="009C4816"/>
    <w:rsid w:val="009D1DD2"/>
    <w:rsid w:val="009F653B"/>
    <w:rsid w:val="00A06201"/>
    <w:rsid w:val="00A12F4C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5634"/>
    <w:rsid w:val="00B54EC0"/>
    <w:rsid w:val="00B87EA9"/>
    <w:rsid w:val="00B936C8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3D93"/>
    <w:rsid w:val="00CA0E22"/>
    <w:rsid w:val="00CA6024"/>
    <w:rsid w:val="00CB482A"/>
    <w:rsid w:val="00CC7079"/>
    <w:rsid w:val="00CC7DFD"/>
    <w:rsid w:val="00CF1D6A"/>
    <w:rsid w:val="00D03A46"/>
    <w:rsid w:val="00D13D6F"/>
    <w:rsid w:val="00D25E93"/>
    <w:rsid w:val="00D3203D"/>
    <w:rsid w:val="00D329A8"/>
    <w:rsid w:val="00D45A6A"/>
    <w:rsid w:val="00D9543B"/>
    <w:rsid w:val="00DA6047"/>
    <w:rsid w:val="00DA772A"/>
    <w:rsid w:val="00DF7B46"/>
    <w:rsid w:val="00E15E11"/>
    <w:rsid w:val="00E414C2"/>
    <w:rsid w:val="00E4644D"/>
    <w:rsid w:val="00E53274"/>
    <w:rsid w:val="00E604D0"/>
    <w:rsid w:val="00E8285B"/>
    <w:rsid w:val="00E90ABD"/>
    <w:rsid w:val="00E9787D"/>
    <w:rsid w:val="00EB04E0"/>
    <w:rsid w:val="00EC6CFA"/>
    <w:rsid w:val="00EF226D"/>
    <w:rsid w:val="00EF707E"/>
    <w:rsid w:val="00F20D1A"/>
    <w:rsid w:val="00F40223"/>
    <w:rsid w:val="00F41E31"/>
    <w:rsid w:val="00F5618F"/>
    <w:rsid w:val="00F61468"/>
    <w:rsid w:val="00F61956"/>
    <w:rsid w:val="00F643B1"/>
    <w:rsid w:val="00F6755B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customStyle="1" w:styleId="MyHeading">
    <w:name w:val="My Heading"/>
    <w:basedOn w:val="Heading1"/>
    <w:next w:val="Normal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Heading2Char">
    <w:name w:val="My Heading 2 Char"/>
    <w:basedOn w:val="DefaultParagraphFont"/>
    <w:link w:val="MyHeading2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igning">
    <w:name w:val="My Signing"/>
    <w:basedOn w:val="Normal"/>
    <w:link w:val="MySigningChar"/>
    <w:qFormat/>
    <w:rsid w:val="0054046C"/>
    <w:pPr>
      <w:tabs>
        <w:tab w:val="left" w:pos="1515"/>
      </w:tabs>
    </w:pPr>
    <w:rPr>
      <w:rFonts w:ascii="Brush Script MT" w:eastAsiaTheme="minorHAnsi" w:hAnsi="Brush Script MT" w:cs="Tahoma"/>
      <w:strike/>
      <w:color w:val="0000FF"/>
      <w:sz w:val="20"/>
      <w:lang w:eastAsia="en-US"/>
    </w:rPr>
  </w:style>
  <w:style w:type="character" w:customStyle="1" w:styleId="MySigningChar">
    <w:name w:val="My Signing Char"/>
    <w:basedOn w:val="DefaultParagraphFont"/>
    <w:link w:val="MySigning"/>
    <w:rsid w:val="0054046C"/>
    <w:rPr>
      <w:rFonts w:ascii="Brush Script MT" w:eastAsiaTheme="minorHAnsi" w:hAnsi="Brush Script MT" w:cs="Tahoma"/>
      <w:strike/>
      <w:color w:val="0000FF"/>
      <w:lang w:val="en-AU"/>
    </w:rPr>
  </w:style>
  <w:style w:type="paragraph" w:customStyle="1" w:styleId="MyStyle">
    <w:name w:val="My Style"/>
    <w:basedOn w:val="Normal"/>
    <w:link w:val="MyStyleChar"/>
    <w:qFormat/>
    <w:rsid w:val="0054046C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4046C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SubheadingChar">
    <w:name w:val="My Subheading Char"/>
    <w:basedOn w:val="DefaultParagraphFont"/>
    <w:link w:val="MySubheading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54046C"/>
    <w:pPr>
      <w:spacing w:after="0"/>
      <w:jc w:val="center"/>
    </w:pPr>
    <w:rPr>
      <w:color w:val="0066FF"/>
    </w:rPr>
  </w:style>
  <w:style w:type="character" w:customStyle="1" w:styleId="MySubtitleChar">
    <w:name w:val="My Subtitle Char"/>
    <w:basedOn w:val="SubtitleChar"/>
    <w:link w:val="MySubtitle"/>
    <w:rsid w:val="0054046C"/>
    <w:rPr>
      <w:rFonts w:asciiTheme="minorHAnsi" w:eastAsiaTheme="minorEastAsia" w:hAnsiTheme="minorHAnsi" w:cstheme="minorBidi"/>
      <w:color w:val="0066FF"/>
      <w:spacing w:val="15"/>
      <w:sz w:val="22"/>
      <w:szCs w:val="22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5404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04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AU"/>
    </w:rPr>
  </w:style>
  <w:style w:type="paragraph" w:customStyle="1" w:styleId="MyTitle">
    <w:name w:val="My Title"/>
    <w:basedOn w:val="Title"/>
    <w:next w:val="MySubtitle"/>
    <w:link w:val="MyTitleChar"/>
    <w:qFormat/>
    <w:rsid w:val="0054046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54046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540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046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3</cp:revision>
  <cp:lastPrinted>2014-03-10T02:18:00Z</cp:lastPrinted>
  <dcterms:created xsi:type="dcterms:W3CDTF">2022-08-19T01:29:00Z</dcterms:created>
  <dcterms:modified xsi:type="dcterms:W3CDTF">2022-08-26T01:59:00Z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