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 w:rsidRPr="003347A2"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3347A2">
              <w:rPr>
                <w:rFonts w:ascii="Tahoma" w:hAnsi="Tahoma" w:cs="Tahoma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3347A2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FF"/>
              </w:rPr>
            </w:pPr>
            <w:r w:rsidRPr="003347A2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F0269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F0269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F0269B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F0269B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456700A5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</w:t>
      </w:r>
      <w:r w:rsidR="00F2542B">
        <w:rPr>
          <w:sz w:val="24"/>
          <w:szCs w:val="24"/>
        </w:rPr>
        <w:t>,</w:t>
      </w:r>
      <w:r>
        <w:rPr>
          <w:sz w:val="24"/>
          <w:szCs w:val="24"/>
        </w:rPr>
        <w:t xml:space="preserve">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065618CF" w:rsidR="00555471" w:rsidRPr="001A5FCB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</w:t>
            </w:r>
            <w:r w:rsidRPr="00A328C7">
              <w:rPr>
                <w:color w:val="0000FF"/>
                <w:sz w:val="24"/>
                <w:szCs w:val="24"/>
              </w:rPr>
              <w:t>:</w:t>
            </w:r>
            <w:r w:rsidR="001A5FCB" w:rsidRPr="00A328C7">
              <w:rPr>
                <w:color w:val="0000FF"/>
                <w:sz w:val="24"/>
                <w:szCs w:val="24"/>
              </w:rPr>
              <w:t xml:space="preserve"> </w:t>
            </w:r>
            <w:r w:rsidR="00E2254A" w:rsidRPr="00A328C7">
              <w:rPr>
                <w:color w:val="0000FF"/>
                <w:sz w:val="24"/>
                <w:szCs w:val="24"/>
              </w:rPr>
              <w:t>don’t give out passwords &amp; personal information.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30026896" w:rsidR="007167ED" w:rsidRPr="00C525B7" w:rsidRDefault="007167ED" w:rsidP="007167ED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E2254A">
              <w:rPr>
                <w:i/>
                <w:iCs/>
                <w:sz w:val="24"/>
                <w:szCs w:val="24"/>
              </w:rPr>
              <w:t xml:space="preserve"> 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5028CF6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</w:t>
            </w:r>
            <w:r w:rsidR="00F2542B">
              <w:rPr>
                <w:color w:val="0000FF"/>
                <w:sz w:val="24"/>
                <w:szCs w:val="24"/>
              </w:rPr>
              <w:t xml:space="preserve">&amp; </w:t>
            </w:r>
            <w:r w:rsidR="00331818">
              <w:rPr>
                <w:color w:val="0000FF"/>
                <w:sz w:val="24"/>
                <w:szCs w:val="24"/>
              </w:rPr>
              <w:t>Office365(OneDrive)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4334E0F5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  <w:r w:rsidR="00CE1C5B" w:rsidRPr="00F221E5">
              <w:rPr>
                <w:i/>
                <w:iCs/>
                <w:color w:val="0000FF"/>
                <w:sz w:val="24"/>
                <w:szCs w:val="24"/>
              </w:rPr>
              <w:t>If working from home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09480130" w14:textId="06F8309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5EA6FEB4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0371E824" w:rsidR="008C2BDD" w:rsidRPr="00C94FFB" w:rsidRDefault="008C2BDD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9BEA54C" w14:textId="77777777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3247C3A" w:rsidR="00C94FFB" w:rsidRPr="00C94FFB" w:rsidRDefault="00C94FFB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0D2B62E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E75FC65" w14:textId="352E6765" w:rsidR="00F7114F" w:rsidRPr="00C94FFB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17A21261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203A161" w14:textId="7A6DCA98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30CD" w14:textId="77777777" w:rsidR="00F0269B" w:rsidRDefault="00F0269B" w:rsidP="00E81266">
      <w:pPr>
        <w:spacing w:after="0" w:line="240" w:lineRule="auto"/>
      </w:pPr>
      <w:r>
        <w:separator/>
      </w:r>
    </w:p>
  </w:endnote>
  <w:endnote w:type="continuationSeparator" w:id="0">
    <w:p w14:paraId="702EE1E1" w14:textId="77777777" w:rsidR="00F0269B" w:rsidRDefault="00F0269B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8E89" w14:textId="77777777" w:rsidR="00F0269B" w:rsidRDefault="00F0269B" w:rsidP="00E81266">
      <w:pPr>
        <w:spacing w:after="0" w:line="240" w:lineRule="auto"/>
      </w:pPr>
      <w:r>
        <w:separator/>
      </w:r>
    </w:p>
  </w:footnote>
  <w:footnote w:type="continuationSeparator" w:id="0">
    <w:p w14:paraId="0239424C" w14:textId="77777777" w:rsidR="00F0269B" w:rsidRDefault="00F0269B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7608">
    <w:abstractNumId w:val="34"/>
  </w:num>
  <w:num w:numId="2" w16cid:durableId="1392004275">
    <w:abstractNumId w:val="18"/>
  </w:num>
  <w:num w:numId="3" w16cid:durableId="187187582">
    <w:abstractNumId w:val="14"/>
  </w:num>
  <w:num w:numId="4" w16cid:durableId="750127704">
    <w:abstractNumId w:val="0"/>
  </w:num>
  <w:num w:numId="5" w16cid:durableId="2070611065">
    <w:abstractNumId w:val="27"/>
  </w:num>
  <w:num w:numId="6" w16cid:durableId="308365909">
    <w:abstractNumId w:val="22"/>
  </w:num>
  <w:num w:numId="7" w16cid:durableId="1742097751">
    <w:abstractNumId w:val="23"/>
  </w:num>
  <w:num w:numId="8" w16cid:durableId="132331136">
    <w:abstractNumId w:val="21"/>
  </w:num>
  <w:num w:numId="9" w16cid:durableId="294068408">
    <w:abstractNumId w:val="38"/>
  </w:num>
  <w:num w:numId="10" w16cid:durableId="1922713587">
    <w:abstractNumId w:val="5"/>
  </w:num>
  <w:num w:numId="11" w16cid:durableId="1043948485">
    <w:abstractNumId w:val="33"/>
  </w:num>
  <w:num w:numId="12" w16cid:durableId="588588545">
    <w:abstractNumId w:val="3"/>
  </w:num>
  <w:num w:numId="13" w16cid:durableId="70473652">
    <w:abstractNumId w:val="15"/>
  </w:num>
  <w:num w:numId="14" w16cid:durableId="451478779">
    <w:abstractNumId w:val="36"/>
  </w:num>
  <w:num w:numId="15" w16cid:durableId="2077169298">
    <w:abstractNumId w:val="24"/>
  </w:num>
  <w:num w:numId="16" w16cid:durableId="233660256">
    <w:abstractNumId w:val="26"/>
  </w:num>
  <w:num w:numId="17" w16cid:durableId="627709344">
    <w:abstractNumId w:val="6"/>
  </w:num>
  <w:num w:numId="18" w16cid:durableId="8529464">
    <w:abstractNumId w:val="1"/>
  </w:num>
  <w:num w:numId="19" w16cid:durableId="607666953">
    <w:abstractNumId w:val="4"/>
  </w:num>
  <w:num w:numId="20" w16cid:durableId="451172460">
    <w:abstractNumId w:val="10"/>
  </w:num>
  <w:num w:numId="21" w16cid:durableId="842548370">
    <w:abstractNumId w:val="16"/>
  </w:num>
  <w:num w:numId="22" w16cid:durableId="1819687615">
    <w:abstractNumId w:val="31"/>
  </w:num>
  <w:num w:numId="23" w16cid:durableId="1875457124">
    <w:abstractNumId w:val="8"/>
  </w:num>
  <w:num w:numId="24" w16cid:durableId="2075199876">
    <w:abstractNumId w:val="11"/>
  </w:num>
  <w:num w:numId="25" w16cid:durableId="1692106646">
    <w:abstractNumId w:val="13"/>
  </w:num>
  <w:num w:numId="26" w16cid:durableId="1522090313">
    <w:abstractNumId w:val="25"/>
  </w:num>
  <w:num w:numId="27" w16cid:durableId="1959483199">
    <w:abstractNumId w:val="29"/>
  </w:num>
  <w:num w:numId="28" w16cid:durableId="2071492866">
    <w:abstractNumId w:val="28"/>
  </w:num>
  <w:num w:numId="29" w16cid:durableId="691035811">
    <w:abstractNumId w:val="17"/>
  </w:num>
  <w:num w:numId="30" w16cid:durableId="712851313">
    <w:abstractNumId w:val="7"/>
  </w:num>
  <w:num w:numId="31" w16cid:durableId="1521385350">
    <w:abstractNumId w:val="9"/>
  </w:num>
  <w:num w:numId="32" w16cid:durableId="198973577">
    <w:abstractNumId w:val="35"/>
  </w:num>
  <w:num w:numId="33" w16cid:durableId="1533499465">
    <w:abstractNumId w:val="37"/>
  </w:num>
  <w:num w:numId="34" w16cid:durableId="2024745946">
    <w:abstractNumId w:val="20"/>
  </w:num>
  <w:num w:numId="35" w16cid:durableId="564799465">
    <w:abstractNumId w:val="32"/>
  </w:num>
  <w:num w:numId="36" w16cid:durableId="250236896">
    <w:abstractNumId w:val="12"/>
  </w:num>
  <w:num w:numId="37" w16cid:durableId="1021399068">
    <w:abstractNumId w:val="2"/>
  </w:num>
  <w:num w:numId="38" w16cid:durableId="534274008">
    <w:abstractNumId w:val="30"/>
  </w:num>
  <w:num w:numId="39" w16cid:durableId="1441534230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QxNDc3NTC3sDRS0lEKTi0uzszPAykwrAUANs09LS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1686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B7CA2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0F83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7A2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8C7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640D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1C5B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54A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269B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1E5"/>
    <w:rsid w:val="00F2257E"/>
    <w:rsid w:val="00F22E6A"/>
    <w:rsid w:val="00F23450"/>
    <w:rsid w:val="00F2360A"/>
    <w:rsid w:val="00F23BC9"/>
    <w:rsid w:val="00F2542B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87</TotalTime>
  <Pages>11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6</cp:revision>
  <cp:lastPrinted>2016-09-20T01:36:00Z</cp:lastPrinted>
  <dcterms:created xsi:type="dcterms:W3CDTF">2022-03-16T07:52:00Z</dcterms:created>
  <dcterms:modified xsi:type="dcterms:W3CDTF">2022-04-06T07:50:00Z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