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F22" w:rsidRDefault="000F2F22" w:rsidP="000F2F22">
      <w:pPr>
        <w:jc w:val="center"/>
        <w:rPr>
          <w:rFonts w:ascii="Tahoma" w:hAnsi="Tahoma" w:cs="Tahoma"/>
          <w:b/>
          <w:sz w:val="36"/>
          <w:szCs w:val="36"/>
        </w:rPr>
      </w:pPr>
      <w:bookmarkStart w:id="0" w:name="_GoBack"/>
      <w:bookmarkEnd w:id="0"/>
    </w:p>
    <w:p w:rsidR="000F2F22" w:rsidRDefault="000F2F22" w:rsidP="000F2F22">
      <w:pPr>
        <w:jc w:val="center"/>
        <w:rPr>
          <w:rFonts w:ascii="Tahoma" w:hAnsi="Tahoma" w:cs="Tahoma"/>
          <w:b/>
          <w:sz w:val="36"/>
          <w:szCs w:val="36"/>
        </w:rPr>
      </w:pPr>
    </w:p>
    <w:p w:rsidR="000F2F22" w:rsidRDefault="000F2F22" w:rsidP="000F2F22">
      <w:pPr>
        <w:jc w:val="center"/>
        <w:rPr>
          <w:rFonts w:ascii="Tahoma" w:hAnsi="Tahoma" w:cs="Tahoma"/>
          <w:b/>
          <w:sz w:val="36"/>
          <w:szCs w:val="36"/>
        </w:rPr>
      </w:pPr>
    </w:p>
    <w:p w:rsidR="000F2F22" w:rsidRDefault="000F2F22" w:rsidP="000F2F22">
      <w:pPr>
        <w:jc w:val="center"/>
        <w:rPr>
          <w:rFonts w:ascii="Tahoma" w:hAnsi="Tahoma" w:cs="Tahoma"/>
          <w:b/>
          <w:sz w:val="36"/>
          <w:szCs w:val="36"/>
        </w:rPr>
      </w:pPr>
    </w:p>
    <w:p w:rsidR="00B847E6" w:rsidRDefault="00B847E6" w:rsidP="000F2F22">
      <w:pPr>
        <w:jc w:val="center"/>
        <w:rPr>
          <w:rFonts w:ascii="Tahoma" w:hAnsi="Tahoma" w:cs="Tahoma"/>
          <w:b/>
          <w:sz w:val="36"/>
          <w:szCs w:val="36"/>
        </w:rPr>
      </w:pPr>
    </w:p>
    <w:p w:rsidR="00B847E6" w:rsidRDefault="00B847E6" w:rsidP="000F2F22">
      <w:pPr>
        <w:jc w:val="center"/>
        <w:rPr>
          <w:rFonts w:ascii="Tahoma" w:hAnsi="Tahoma" w:cs="Tahoma"/>
          <w:b/>
          <w:sz w:val="36"/>
          <w:szCs w:val="36"/>
        </w:rPr>
      </w:pPr>
    </w:p>
    <w:p w:rsidR="00B847E6" w:rsidRDefault="00B847E6" w:rsidP="000F2F22">
      <w:pPr>
        <w:jc w:val="center"/>
        <w:rPr>
          <w:rFonts w:ascii="Tahoma" w:hAnsi="Tahoma" w:cs="Tahoma"/>
          <w:b/>
          <w:sz w:val="36"/>
          <w:szCs w:val="36"/>
        </w:rPr>
      </w:pPr>
    </w:p>
    <w:p w:rsidR="000F2F22" w:rsidRDefault="00EB5812" w:rsidP="000F2F22">
      <w:pPr>
        <w:jc w:val="center"/>
        <w:rPr>
          <w:rFonts w:ascii="Tahoma" w:hAnsi="Tahoma" w:cs="Tahoma"/>
          <w:b/>
          <w:sz w:val="36"/>
          <w:szCs w:val="36"/>
        </w:rPr>
      </w:pPr>
      <w:r>
        <w:rPr>
          <w:rFonts w:ascii="Tahoma" w:hAnsi="Tahoma" w:cs="Tahoma"/>
          <w:b/>
          <w:sz w:val="36"/>
          <w:szCs w:val="36"/>
        </w:rPr>
        <w:t>FOLLOWING WHS GUIDELINES</w:t>
      </w:r>
    </w:p>
    <w:p w:rsidR="000F2F22" w:rsidRDefault="000F2F22" w:rsidP="000F2F22">
      <w:pPr>
        <w:jc w:val="center"/>
        <w:rPr>
          <w:rFonts w:ascii="Tahoma" w:hAnsi="Tahoma" w:cs="Tahoma"/>
          <w:b/>
          <w:sz w:val="36"/>
          <w:szCs w:val="36"/>
        </w:rPr>
      </w:pPr>
    </w:p>
    <w:p w:rsidR="000C7249" w:rsidRDefault="00EB5812" w:rsidP="000F2F22">
      <w:pPr>
        <w:jc w:val="center"/>
        <w:rPr>
          <w:rFonts w:ascii="Tahoma" w:hAnsi="Tahoma" w:cs="Tahoma"/>
          <w:b/>
          <w:sz w:val="36"/>
          <w:szCs w:val="36"/>
        </w:rPr>
      </w:pPr>
      <w:r>
        <w:rPr>
          <w:rFonts w:ascii="Tahoma" w:hAnsi="Tahoma" w:cs="Tahoma"/>
          <w:b/>
          <w:sz w:val="36"/>
          <w:szCs w:val="36"/>
        </w:rPr>
        <w:t>Learners Guide</w:t>
      </w:r>
    </w:p>
    <w:p w:rsidR="00B847E6" w:rsidRDefault="00B847E6" w:rsidP="000F2F22">
      <w:pPr>
        <w:jc w:val="center"/>
        <w:rPr>
          <w:rFonts w:ascii="Tahoma" w:hAnsi="Tahoma" w:cs="Tahoma"/>
          <w:b/>
          <w:sz w:val="36"/>
          <w:szCs w:val="36"/>
        </w:rPr>
      </w:pPr>
    </w:p>
    <w:p w:rsidR="000F2F22" w:rsidRDefault="000F2F22" w:rsidP="000F2F22">
      <w:pPr>
        <w:jc w:val="center"/>
        <w:rPr>
          <w:rFonts w:ascii="Tahoma" w:hAnsi="Tahoma" w:cs="Tahoma"/>
          <w:b/>
          <w:sz w:val="36"/>
          <w:szCs w:val="36"/>
        </w:rPr>
      </w:pPr>
    </w:p>
    <w:p w:rsidR="006D5658" w:rsidRDefault="006D5658" w:rsidP="000F2F22">
      <w:pPr>
        <w:jc w:val="center"/>
        <w:rPr>
          <w:rFonts w:ascii="Tahoma" w:hAnsi="Tahoma" w:cs="Tahoma"/>
          <w:b/>
          <w:sz w:val="36"/>
          <w:szCs w:val="36"/>
        </w:rPr>
      </w:pPr>
    </w:p>
    <w:p w:rsidR="006D5658" w:rsidRDefault="006D5658" w:rsidP="000F2F22">
      <w:pPr>
        <w:jc w:val="center"/>
        <w:rPr>
          <w:rFonts w:ascii="Tahoma" w:hAnsi="Tahoma" w:cs="Tahoma"/>
          <w:b/>
          <w:sz w:val="36"/>
          <w:szCs w:val="36"/>
        </w:rPr>
      </w:pPr>
    </w:p>
    <w:p w:rsidR="006D5658" w:rsidRDefault="006D5658" w:rsidP="000F2F22">
      <w:pPr>
        <w:jc w:val="center"/>
        <w:rPr>
          <w:rFonts w:ascii="Tahoma" w:hAnsi="Tahoma" w:cs="Tahoma"/>
          <w:b/>
          <w:sz w:val="36"/>
          <w:szCs w:val="36"/>
        </w:rPr>
      </w:pPr>
    </w:p>
    <w:p w:rsidR="000F2F22" w:rsidRDefault="000F2F22" w:rsidP="000F2F22">
      <w:pPr>
        <w:jc w:val="center"/>
        <w:rPr>
          <w:rFonts w:ascii="Tahoma" w:hAnsi="Tahoma" w:cs="Tahoma"/>
          <w:b/>
          <w:sz w:val="36"/>
          <w:szCs w:val="36"/>
        </w:rPr>
      </w:pPr>
    </w:p>
    <w:p w:rsidR="000F2F22" w:rsidRDefault="000F2F22" w:rsidP="000F2F22">
      <w:pPr>
        <w:jc w:val="center"/>
        <w:rPr>
          <w:rFonts w:ascii="Tahoma" w:hAnsi="Tahoma" w:cs="Tahoma"/>
          <w:b/>
          <w:sz w:val="36"/>
          <w:szCs w:val="36"/>
        </w:rPr>
      </w:pPr>
    </w:p>
    <w:p w:rsidR="00537B45" w:rsidRDefault="008F3BC3" w:rsidP="000F2F22">
      <w:pPr>
        <w:jc w:val="right"/>
        <w:rPr>
          <w:rFonts w:ascii="Tahoma" w:hAnsi="Tahoma" w:cs="Tahoma"/>
          <w:b/>
          <w:sz w:val="20"/>
          <w:szCs w:val="36"/>
        </w:rPr>
      </w:pPr>
      <w:r>
        <w:rPr>
          <w:rFonts w:ascii="Tahoma" w:hAnsi="Tahoma" w:cs="Tahoma"/>
          <w:b/>
          <w:sz w:val="20"/>
          <w:szCs w:val="36"/>
        </w:rPr>
        <w:t xml:space="preserve"> South Metropolitan TAFE</w:t>
      </w:r>
    </w:p>
    <w:p w:rsidR="00537B45" w:rsidRDefault="00537B45">
      <w:pPr>
        <w:rPr>
          <w:rFonts w:ascii="Tahoma" w:hAnsi="Tahoma" w:cs="Tahoma"/>
          <w:b/>
          <w:sz w:val="20"/>
          <w:szCs w:val="36"/>
        </w:rPr>
      </w:pPr>
    </w:p>
    <w:p w:rsidR="000F2F22" w:rsidRDefault="000F2F22" w:rsidP="00537B45">
      <w:pPr>
        <w:rPr>
          <w:rFonts w:ascii="Tahoma" w:hAnsi="Tahoma" w:cs="Tahoma"/>
          <w:b/>
          <w:sz w:val="20"/>
          <w:szCs w:val="36"/>
        </w:rPr>
        <w:sectPr w:rsidR="000F2F22" w:rsidSect="000F2F22">
          <w:footerReference w:type="default" r:id="rId9"/>
          <w:pgSz w:w="11906" w:h="16838"/>
          <w:pgMar w:top="1440" w:right="1440" w:bottom="1440" w:left="1440" w:header="708" w:footer="708" w:gutter="0"/>
          <w:cols w:space="708"/>
          <w:docGrid w:linePitch="360"/>
        </w:sectPr>
      </w:pPr>
    </w:p>
    <w:bookmarkStart w:id="1" w:name="_Toc536621237" w:displacedByCustomXml="next"/>
    <w:sdt>
      <w:sdtPr>
        <w:rPr>
          <w:rFonts w:eastAsiaTheme="minorHAnsi" w:cstheme="minorBidi"/>
          <w:b w:val="0"/>
          <w:caps w:val="0"/>
          <w:color w:val="auto"/>
          <w:spacing w:val="0"/>
          <w:sz w:val="22"/>
          <w:szCs w:val="22"/>
          <w:lang w:val="en-AU" w:bidi="ar-SA"/>
        </w:rPr>
        <w:id w:val="-1690208467"/>
        <w:docPartObj>
          <w:docPartGallery w:val="Table of Contents"/>
          <w:docPartUnique/>
        </w:docPartObj>
      </w:sdtPr>
      <w:sdtEndPr>
        <w:rPr>
          <w:bCs/>
          <w:noProof/>
        </w:rPr>
      </w:sdtEndPr>
      <w:sdtContent>
        <w:p w:rsidR="00537B45" w:rsidRPr="004467BD" w:rsidRDefault="00537B45" w:rsidP="004467BD">
          <w:pPr>
            <w:pStyle w:val="StyleHeading1"/>
          </w:pPr>
          <w:r w:rsidRPr="004467BD">
            <w:t>CONTENTS</w:t>
          </w:r>
          <w:bookmarkEnd w:id="1"/>
        </w:p>
        <w:p w:rsidR="00EB5812" w:rsidRDefault="00537B45">
          <w:pPr>
            <w:pStyle w:val="TOC1"/>
            <w:tabs>
              <w:tab w:val="right" w:leader="dot" w:pos="10430"/>
            </w:tabs>
            <w:rPr>
              <w:rFonts w:eastAsiaTheme="minorEastAsia"/>
              <w:noProof/>
              <w:lang w:eastAsia="en-AU"/>
            </w:rPr>
          </w:pPr>
          <w:r>
            <w:fldChar w:fldCharType="begin"/>
          </w:r>
          <w:r>
            <w:instrText xml:space="preserve"> TOC \o "1-3" \h \z \u </w:instrText>
          </w:r>
          <w:r>
            <w:fldChar w:fldCharType="separate"/>
          </w:r>
          <w:hyperlink w:anchor="_Toc536621237" w:history="1">
            <w:r w:rsidR="00EB5812" w:rsidRPr="00EF325D">
              <w:rPr>
                <w:rStyle w:val="Hyperlink"/>
                <w:noProof/>
                <w:lang w:bidi="en-US"/>
              </w:rPr>
              <w:t>CONTENTS</w:t>
            </w:r>
            <w:r w:rsidR="00EB5812">
              <w:rPr>
                <w:noProof/>
                <w:webHidden/>
              </w:rPr>
              <w:tab/>
            </w:r>
            <w:r w:rsidR="00EB5812">
              <w:rPr>
                <w:noProof/>
                <w:webHidden/>
              </w:rPr>
              <w:fldChar w:fldCharType="begin"/>
            </w:r>
            <w:r w:rsidR="00EB5812">
              <w:rPr>
                <w:noProof/>
                <w:webHidden/>
              </w:rPr>
              <w:instrText xml:space="preserve"> PAGEREF _Toc536621237 \h </w:instrText>
            </w:r>
            <w:r w:rsidR="00EB5812">
              <w:rPr>
                <w:noProof/>
                <w:webHidden/>
              </w:rPr>
            </w:r>
            <w:r w:rsidR="00EB5812">
              <w:rPr>
                <w:noProof/>
                <w:webHidden/>
              </w:rPr>
              <w:fldChar w:fldCharType="separate"/>
            </w:r>
            <w:r w:rsidR="00EB5812">
              <w:rPr>
                <w:noProof/>
                <w:webHidden/>
              </w:rPr>
              <w:t>1</w:t>
            </w:r>
            <w:r w:rsidR="00EB5812">
              <w:rPr>
                <w:noProof/>
                <w:webHidden/>
              </w:rPr>
              <w:fldChar w:fldCharType="end"/>
            </w:r>
          </w:hyperlink>
        </w:p>
        <w:p w:rsidR="00EB5812" w:rsidRDefault="00C429DB">
          <w:pPr>
            <w:pStyle w:val="TOC1"/>
            <w:tabs>
              <w:tab w:val="right" w:leader="dot" w:pos="10430"/>
            </w:tabs>
            <w:rPr>
              <w:rFonts w:eastAsiaTheme="minorEastAsia"/>
              <w:noProof/>
              <w:lang w:eastAsia="en-AU"/>
            </w:rPr>
          </w:pPr>
          <w:hyperlink w:anchor="_Toc536621238" w:history="1">
            <w:r w:rsidR="00EB5812" w:rsidRPr="00EF325D">
              <w:rPr>
                <w:rStyle w:val="Hyperlink"/>
                <w:noProof/>
                <w:lang w:bidi="en-US"/>
              </w:rPr>
              <w:t>INTRODUCTION TO WHS</w:t>
            </w:r>
            <w:r w:rsidR="00EB5812">
              <w:rPr>
                <w:noProof/>
                <w:webHidden/>
              </w:rPr>
              <w:tab/>
            </w:r>
            <w:r w:rsidR="00EB5812">
              <w:rPr>
                <w:noProof/>
                <w:webHidden/>
              </w:rPr>
              <w:fldChar w:fldCharType="begin"/>
            </w:r>
            <w:r w:rsidR="00EB5812">
              <w:rPr>
                <w:noProof/>
                <w:webHidden/>
              </w:rPr>
              <w:instrText xml:space="preserve"> PAGEREF _Toc536621238 \h </w:instrText>
            </w:r>
            <w:r w:rsidR="00EB5812">
              <w:rPr>
                <w:noProof/>
                <w:webHidden/>
              </w:rPr>
            </w:r>
            <w:r w:rsidR="00EB5812">
              <w:rPr>
                <w:noProof/>
                <w:webHidden/>
              </w:rPr>
              <w:fldChar w:fldCharType="separate"/>
            </w:r>
            <w:r w:rsidR="00EB5812">
              <w:rPr>
                <w:noProof/>
                <w:webHidden/>
              </w:rPr>
              <w:t>2</w:t>
            </w:r>
            <w:r w:rsidR="00EB5812">
              <w:rPr>
                <w:noProof/>
                <w:webHidden/>
              </w:rPr>
              <w:fldChar w:fldCharType="end"/>
            </w:r>
          </w:hyperlink>
        </w:p>
        <w:p w:rsidR="00EB5812" w:rsidRDefault="00C429DB">
          <w:pPr>
            <w:pStyle w:val="TOC2"/>
            <w:tabs>
              <w:tab w:val="right" w:leader="dot" w:pos="10430"/>
            </w:tabs>
            <w:rPr>
              <w:rFonts w:eastAsiaTheme="minorEastAsia"/>
              <w:noProof/>
              <w:lang w:eastAsia="en-AU"/>
            </w:rPr>
          </w:pPr>
          <w:hyperlink w:anchor="_Toc536621239" w:history="1">
            <w:r w:rsidR="00EB5812" w:rsidRPr="00EF325D">
              <w:rPr>
                <w:rStyle w:val="Hyperlink"/>
                <w:noProof/>
                <w:lang w:bidi="en-US"/>
              </w:rPr>
              <w:t>WORK HEALTH AND SAFETY &amp; OCCUPATIONAL SAFETY AND HEALTH</w:t>
            </w:r>
            <w:r w:rsidR="00EB5812">
              <w:rPr>
                <w:noProof/>
                <w:webHidden/>
              </w:rPr>
              <w:tab/>
            </w:r>
            <w:r w:rsidR="00EB5812">
              <w:rPr>
                <w:noProof/>
                <w:webHidden/>
              </w:rPr>
              <w:fldChar w:fldCharType="begin"/>
            </w:r>
            <w:r w:rsidR="00EB5812">
              <w:rPr>
                <w:noProof/>
                <w:webHidden/>
              </w:rPr>
              <w:instrText xml:space="preserve"> PAGEREF _Toc536621239 \h </w:instrText>
            </w:r>
            <w:r w:rsidR="00EB5812">
              <w:rPr>
                <w:noProof/>
                <w:webHidden/>
              </w:rPr>
            </w:r>
            <w:r w:rsidR="00EB5812">
              <w:rPr>
                <w:noProof/>
                <w:webHidden/>
              </w:rPr>
              <w:fldChar w:fldCharType="separate"/>
            </w:r>
            <w:r w:rsidR="00EB5812">
              <w:rPr>
                <w:noProof/>
                <w:webHidden/>
              </w:rPr>
              <w:t>2</w:t>
            </w:r>
            <w:r w:rsidR="00EB5812">
              <w:rPr>
                <w:noProof/>
                <w:webHidden/>
              </w:rPr>
              <w:fldChar w:fldCharType="end"/>
            </w:r>
          </w:hyperlink>
        </w:p>
        <w:p w:rsidR="00EB5812" w:rsidRDefault="00C429DB">
          <w:pPr>
            <w:pStyle w:val="TOC2"/>
            <w:tabs>
              <w:tab w:val="right" w:leader="dot" w:pos="10430"/>
            </w:tabs>
            <w:rPr>
              <w:rFonts w:eastAsiaTheme="minorEastAsia"/>
              <w:noProof/>
              <w:lang w:eastAsia="en-AU"/>
            </w:rPr>
          </w:pPr>
          <w:hyperlink w:anchor="_Toc536621240" w:history="1">
            <w:r w:rsidR="00EB5812" w:rsidRPr="00EF325D">
              <w:rPr>
                <w:rStyle w:val="Hyperlink"/>
                <w:noProof/>
                <w:lang w:bidi="en-US"/>
              </w:rPr>
              <w:t>WHS LEGISLATIONS, CODES OF PRACTICES AND STANDARDS</w:t>
            </w:r>
            <w:r w:rsidR="00EB5812">
              <w:rPr>
                <w:noProof/>
                <w:webHidden/>
              </w:rPr>
              <w:tab/>
            </w:r>
            <w:r w:rsidR="00EB5812">
              <w:rPr>
                <w:noProof/>
                <w:webHidden/>
              </w:rPr>
              <w:fldChar w:fldCharType="begin"/>
            </w:r>
            <w:r w:rsidR="00EB5812">
              <w:rPr>
                <w:noProof/>
                <w:webHidden/>
              </w:rPr>
              <w:instrText xml:space="preserve"> PAGEREF _Toc536621240 \h </w:instrText>
            </w:r>
            <w:r w:rsidR="00EB5812">
              <w:rPr>
                <w:noProof/>
                <w:webHidden/>
              </w:rPr>
            </w:r>
            <w:r w:rsidR="00EB5812">
              <w:rPr>
                <w:noProof/>
                <w:webHidden/>
              </w:rPr>
              <w:fldChar w:fldCharType="separate"/>
            </w:r>
            <w:r w:rsidR="00EB5812">
              <w:rPr>
                <w:noProof/>
                <w:webHidden/>
              </w:rPr>
              <w:t>3</w:t>
            </w:r>
            <w:r w:rsidR="00EB5812">
              <w:rPr>
                <w:noProof/>
                <w:webHidden/>
              </w:rPr>
              <w:fldChar w:fldCharType="end"/>
            </w:r>
          </w:hyperlink>
        </w:p>
        <w:p w:rsidR="00EB5812" w:rsidRDefault="00C429DB">
          <w:pPr>
            <w:pStyle w:val="TOC3"/>
            <w:tabs>
              <w:tab w:val="right" w:leader="dot" w:pos="10430"/>
            </w:tabs>
            <w:rPr>
              <w:rFonts w:eastAsiaTheme="minorEastAsia"/>
              <w:noProof/>
              <w:lang w:eastAsia="en-AU"/>
            </w:rPr>
          </w:pPr>
          <w:hyperlink w:anchor="_Toc536621241" w:history="1">
            <w:r w:rsidR="00EB5812" w:rsidRPr="00EF325D">
              <w:rPr>
                <w:rStyle w:val="Hyperlink"/>
                <w:noProof/>
                <w:lang w:bidi="en-US"/>
              </w:rPr>
              <w:t>WHS/OSH ACTS:</w:t>
            </w:r>
            <w:r w:rsidR="00EB5812">
              <w:rPr>
                <w:noProof/>
                <w:webHidden/>
              </w:rPr>
              <w:tab/>
            </w:r>
            <w:r w:rsidR="00EB5812">
              <w:rPr>
                <w:noProof/>
                <w:webHidden/>
              </w:rPr>
              <w:fldChar w:fldCharType="begin"/>
            </w:r>
            <w:r w:rsidR="00EB5812">
              <w:rPr>
                <w:noProof/>
                <w:webHidden/>
              </w:rPr>
              <w:instrText xml:space="preserve"> PAGEREF _Toc536621241 \h </w:instrText>
            </w:r>
            <w:r w:rsidR="00EB5812">
              <w:rPr>
                <w:noProof/>
                <w:webHidden/>
              </w:rPr>
            </w:r>
            <w:r w:rsidR="00EB5812">
              <w:rPr>
                <w:noProof/>
                <w:webHidden/>
              </w:rPr>
              <w:fldChar w:fldCharType="separate"/>
            </w:r>
            <w:r w:rsidR="00EB5812">
              <w:rPr>
                <w:noProof/>
                <w:webHidden/>
              </w:rPr>
              <w:t>4</w:t>
            </w:r>
            <w:r w:rsidR="00EB5812">
              <w:rPr>
                <w:noProof/>
                <w:webHidden/>
              </w:rPr>
              <w:fldChar w:fldCharType="end"/>
            </w:r>
          </w:hyperlink>
        </w:p>
        <w:p w:rsidR="00EB5812" w:rsidRDefault="00C429DB">
          <w:pPr>
            <w:pStyle w:val="TOC3"/>
            <w:tabs>
              <w:tab w:val="right" w:leader="dot" w:pos="10430"/>
            </w:tabs>
            <w:rPr>
              <w:rFonts w:eastAsiaTheme="minorEastAsia"/>
              <w:noProof/>
              <w:lang w:eastAsia="en-AU"/>
            </w:rPr>
          </w:pPr>
          <w:hyperlink w:anchor="_Toc536621242" w:history="1">
            <w:r w:rsidR="00EB5812" w:rsidRPr="00EF325D">
              <w:rPr>
                <w:rStyle w:val="Hyperlink"/>
                <w:noProof/>
                <w:lang w:bidi="en-US"/>
              </w:rPr>
              <w:t>WHS/OSH REGULATIONS:</w:t>
            </w:r>
            <w:r w:rsidR="00EB5812">
              <w:rPr>
                <w:noProof/>
                <w:webHidden/>
              </w:rPr>
              <w:tab/>
            </w:r>
            <w:r w:rsidR="00EB5812">
              <w:rPr>
                <w:noProof/>
                <w:webHidden/>
              </w:rPr>
              <w:fldChar w:fldCharType="begin"/>
            </w:r>
            <w:r w:rsidR="00EB5812">
              <w:rPr>
                <w:noProof/>
                <w:webHidden/>
              </w:rPr>
              <w:instrText xml:space="preserve"> PAGEREF _Toc536621242 \h </w:instrText>
            </w:r>
            <w:r w:rsidR="00EB5812">
              <w:rPr>
                <w:noProof/>
                <w:webHidden/>
              </w:rPr>
            </w:r>
            <w:r w:rsidR="00EB5812">
              <w:rPr>
                <w:noProof/>
                <w:webHidden/>
              </w:rPr>
              <w:fldChar w:fldCharType="separate"/>
            </w:r>
            <w:r w:rsidR="00EB5812">
              <w:rPr>
                <w:noProof/>
                <w:webHidden/>
              </w:rPr>
              <w:t>4</w:t>
            </w:r>
            <w:r w:rsidR="00EB5812">
              <w:rPr>
                <w:noProof/>
                <w:webHidden/>
              </w:rPr>
              <w:fldChar w:fldCharType="end"/>
            </w:r>
          </w:hyperlink>
        </w:p>
        <w:p w:rsidR="00EB5812" w:rsidRDefault="00C429DB">
          <w:pPr>
            <w:pStyle w:val="TOC3"/>
            <w:tabs>
              <w:tab w:val="right" w:leader="dot" w:pos="10430"/>
            </w:tabs>
            <w:rPr>
              <w:rFonts w:eastAsiaTheme="minorEastAsia"/>
              <w:noProof/>
              <w:lang w:eastAsia="en-AU"/>
            </w:rPr>
          </w:pPr>
          <w:hyperlink w:anchor="_Toc536621243" w:history="1">
            <w:r w:rsidR="00EB5812" w:rsidRPr="00EF325D">
              <w:rPr>
                <w:rStyle w:val="Hyperlink"/>
                <w:noProof/>
                <w:lang w:bidi="en-US"/>
              </w:rPr>
              <w:t>CODES OF PRACTICES:</w:t>
            </w:r>
            <w:r w:rsidR="00EB5812">
              <w:rPr>
                <w:noProof/>
                <w:webHidden/>
              </w:rPr>
              <w:tab/>
            </w:r>
            <w:r w:rsidR="00EB5812">
              <w:rPr>
                <w:noProof/>
                <w:webHidden/>
              </w:rPr>
              <w:fldChar w:fldCharType="begin"/>
            </w:r>
            <w:r w:rsidR="00EB5812">
              <w:rPr>
                <w:noProof/>
                <w:webHidden/>
              </w:rPr>
              <w:instrText xml:space="preserve"> PAGEREF _Toc536621243 \h </w:instrText>
            </w:r>
            <w:r w:rsidR="00EB5812">
              <w:rPr>
                <w:noProof/>
                <w:webHidden/>
              </w:rPr>
            </w:r>
            <w:r w:rsidR="00EB5812">
              <w:rPr>
                <w:noProof/>
                <w:webHidden/>
              </w:rPr>
              <w:fldChar w:fldCharType="separate"/>
            </w:r>
            <w:r w:rsidR="00EB5812">
              <w:rPr>
                <w:noProof/>
                <w:webHidden/>
              </w:rPr>
              <w:t>4</w:t>
            </w:r>
            <w:r w:rsidR="00EB5812">
              <w:rPr>
                <w:noProof/>
                <w:webHidden/>
              </w:rPr>
              <w:fldChar w:fldCharType="end"/>
            </w:r>
          </w:hyperlink>
        </w:p>
        <w:p w:rsidR="00EB5812" w:rsidRDefault="00C429DB">
          <w:pPr>
            <w:pStyle w:val="TOC3"/>
            <w:tabs>
              <w:tab w:val="right" w:leader="dot" w:pos="10430"/>
            </w:tabs>
            <w:rPr>
              <w:rFonts w:eastAsiaTheme="minorEastAsia"/>
              <w:noProof/>
              <w:lang w:eastAsia="en-AU"/>
            </w:rPr>
          </w:pPr>
          <w:hyperlink w:anchor="_Toc536621244" w:history="1">
            <w:r w:rsidR="00EB5812" w:rsidRPr="00EF325D">
              <w:rPr>
                <w:rStyle w:val="Hyperlink"/>
                <w:noProof/>
                <w:lang w:bidi="en-US"/>
              </w:rPr>
              <w:t>AS/NZ STANDARDS:</w:t>
            </w:r>
            <w:r w:rsidR="00EB5812">
              <w:rPr>
                <w:noProof/>
                <w:webHidden/>
              </w:rPr>
              <w:tab/>
            </w:r>
            <w:r w:rsidR="00EB5812">
              <w:rPr>
                <w:noProof/>
                <w:webHidden/>
              </w:rPr>
              <w:fldChar w:fldCharType="begin"/>
            </w:r>
            <w:r w:rsidR="00EB5812">
              <w:rPr>
                <w:noProof/>
                <w:webHidden/>
              </w:rPr>
              <w:instrText xml:space="preserve"> PAGEREF _Toc536621244 \h </w:instrText>
            </w:r>
            <w:r w:rsidR="00EB5812">
              <w:rPr>
                <w:noProof/>
                <w:webHidden/>
              </w:rPr>
            </w:r>
            <w:r w:rsidR="00EB5812">
              <w:rPr>
                <w:noProof/>
                <w:webHidden/>
              </w:rPr>
              <w:fldChar w:fldCharType="separate"/>
            </w:r>
            <w:r w:rsidR="00EB5812">
              <w:rPr>
                <w:noProof/>
                <w:webHidden/>
              </w:rPr>
              <w:t>5</w:t>
            </w:r>
            <w:r w:rsidR="00EB5812">
              <w:rPr>
                <w:noProof/>
                <w:webHidden/>
              </w:rPr>
              <w:fldChar w:fldCharType="end"/>
            </w:r>
          </w:hyperlink>
        </w:p>
        <w:p w:rsidR="00EB5812" w:rsidRDefault="00C429DB">
          <w:pPr>
            <w:pStyle w:val="TOC2"/>
            <w:tabs>
              <w:tab w:val="right" w:leader="dot" w:pos="10430"/>
            </w:tabs>
            <w:rPr>
              <w:rFonts w:eastAsiaTheme="minorEastAsia"/>
              <w:noProof/>
              <w:lang w:eastAsia="en-AU"/>
            </w:rPr>
          </w:pPr>
          <w:hyperlink w:anchor="_Toc536621245" w:history="1">
            <w:r w:rsidR="00EB5812" w:rsidRPr="00EF325D">
              <w:rPr>
                <w:rStyle w:val="Hyperlink"/>
                <w:noProof/>
                <w:lang w:bidi="en-US"/>
              </w:rPr>
              <w:t>WHERE TO FIND WHS INFORMATION</w:t>
            </w:r>
            <w:r w:rsidR="00EB5812">
              <w:rPr>
                <w:noProof/>
                <w:webHidden/>
              </w:rPr>
              <w:tab/>
            </w:r>
            <w:r w:rsidR="00EB5812">
              <w:rPr>
                <w:noProof/>
                <w:webHidden/>
              </w:rPr>
              <w:fldChar w:fldCharType="begin"/>
            </w:r>
            <w:r w:rsidR="00EB5812">
              <w:rPr>
                <w:noProof/>
                <w:webHidden/>
              </w:rPr>
              <w:instrText xml:space="preserve"> PAGEREF _Toc536621245 \h </w:instrText>
            </w:r>
            <w:r w:rsidR="00EB5812">
              <w:rPr>
                <w:noProof/>
                <w:webHidden/>
              </w:rPr>
            </w:r>
            <w:r w:rsidR="00EB5812">
              <w:rPr>
                <w:noProof/>
                <w:webHidden/>
              </w:rPr>
              <w:fldChar w:fldCharType="separate"/>
            </w:r>
            <w:r w:rsidR="00EB5812">
              <w:rPr>
                <w:noProof/>
                <w:webHidden/>
              </w:rPr>
              <w:t>5</w:t>
            </w:r>
            <w:r w:rsidR="00EB5812">
              <w:rPr>
                <w:noProof/>
                <w:webHidden/>
              </w:rPr>
              <w:fldChar w:fldCharType="end"/>
            </w:r>
          </w:hyperlink>
        </w:p>
        <w:p w:rsidR="00EB5812" w:rsidRDefault="00C429DB">
          <w:pPr>
            <w:pStyle w:val="TOC3"/>
            <w:tabs>
              <w:tab w:val="right" w:leader="dot" w:pos="10430"/>
            </w:tabs>
            <w:rPr>
              <w:rFonts w:eastAsiaTheme="minorEastAsia"/>
              <w:noProof/>
              <w:lang w:eastAsia="en-AU"/>
            </w:rPr>
          </w:pPr>
          <w:hyperlink w:anchor="_Toc536621246" w:history="1">
            <w:r w:rsidR="00EB5812" w:rsidRPr="00EF325D">
              <w:rPr>
                <w:rStyle w:val="Hyperlink"/>
                <w:noProof/>
                <w:lang w:bidi="en-US"/>
              </w:rPr>
              <w:t>EXTERNAL SOURCES</w:t>
            </w:r>
            <w:r w:rsidR="00EB5812">
              <w:rPr>
                <w:noProof/>
                <w:webHidden/>
              </w:rPr>
              <w:tab/>
            </w:r>
            <w:r w:rsidR="00EB5812">
              <w:rPr>
                <w:noProof/>
                <w:webHidden/>
              </w:rPr>
              <w:fldChar w:fldCharType="begin"/>
            </w:r>
            <w:r w:rsidR="00EB5812">
              <w:rPr>
                <w:noProof/>
                <w:webHidden/>
              </w:rPr>
              <w:instrText xml:space="preserve"> PAGEREF _Toc536621246 \h </w:instrText>
            </w:r>
            <w:r w:rsidR="00EB5812">
              <w:rPr>
                <w:noProof/>
                <w:webHidden/>
              </w:rPr>
            </w:r>
            <w:r w:rsidR="00EB5812">
              <w:rPr>
                <w:noProof/>
                <w:webHidden/>
              </w:rPr>
              <w:fldChar w:fldCharType="separate"/>
            </w:r>
            <w:r w:rsidR="00EB5812">
              <w:rPr>
                <w:noProof/>
                <w:webHidden/>
              </w:rPr>
              <w:t>5</w:t>
            </w:r>
            <w:r w:rsidR="00EB5812">
              <w:rPr>
                <w:noProof/>
                <w:webHidden/>
              </w:rPr>
              <w:fldChar w:fldCharType="end"/>
            </w:r>
          </w:hyperlink>
        </w:p>
        <w:p w:rsidR="00EB5812" w:rsidRDefault="00C429DB">
          <w:pPr>
            <w:pStyle w:val="TOC3"/>
            <w:tabs>
              <w:tab w:val="right" w:leader="dot" w:pos="10430"/>
            </w:tabs>
            <w:rPr>
              <w:rFonts w:eastAsiaTheme="minorEastAsia"/>
              <w:noProof/>
              <w:lang w:eastAsia="en-AU"/>
            </w:rPr>
          </w:pPr>
          <w:hyperlink w:anchor="_Toc536621247" w:history="1">
            <w:r w:rsidR="00EB5812" w:rsidRPr="00EF325D">
              <w:rPr>
                <w:rStyle w:val="Hyperlink"/>
                <w:noProof/>
                <w:lang w:bidi="en-US"/>
              </w:rPr>
              <w:t>INTERNAL SOURCES</w:t>
            </w:r>
            <w:r w:rsidR="00EB5812">
              <w:rPr>
                <w:noProof/>
                <w:webHidden/>
              </w:rPr>
              <w:tab/>
            </w:r>
            <w:r w:rsidR="00EB5812">
              <w:rPr>
                <w:noProof/>
                <w:webHidden/>
              </w:rPr>
              <w:fldChar w:fldCharType="begin"/>
            </w:r>
            <w:r w:rsidR="00EB5812">
              <w:rPr>
                <w:noProof/>
                <w:webHidden/>
              </w:rPr>
              <w:instrText xml:space="preserve"> PAGEREF _Toc536621247 \h </w:instrText>
            </w:r>
            <w:r w:rsidR="00EB5812">
              <w:rPr>
                <w:noProof/>
                <w:webHidden/>
              </w:rPr>
            </w:r>
            <w:r w:rsidR="00EB5812">
              <w:rPr>
                <w:noProof/>
                <w:webHidden/>
              </w:rPr>
              <w:fldChar w:fldCharType="separate"/>
            </w:r>
            <w:r w:rsidR="00EB5812">
              <w:rPr>
                <w:noProof/>
                <w:webHidden/>
              </w:rPr>
              <w:t>6</w:t>
            </w:r>
            <w:r w:rsidR="00EB5812">
              <w:rPr>
                <w:noProof/>
                <w:webHidden/>
              </w:rPr>
              <w:fldChar w:fldCharType="end"/>
            </w:r>
          </w:hyperlink>
        </w:p>
        <w:p w:rsidR="00EB5812" w:rsidRDefault="00C429DB">
          <w:pPr>
            <w:pStyle w:val="TOC2"/>
            <w:tabs>
              <w:tab w:val="right" w:leader="dot" w:pos="10430"/>
            </w:tabs>
            <w:rPr>
              <w:rFonts w:eastAsiaTheme="minorEastAsia"/>
              <w:noProof/>
              <w:lang w:eastAsia="en-AU"/>
            </w:rPr>
          </w:pPr>
          <w:hyperlink w:anchor="_Toc536621248" w:history="1">
            <w:r w:rsidR="00EB5812" w:rsidRPr="00EF325D">
              <w:rPr>
                <w:rStyle w:val="Hyperlink"/>
                <w:noProof/>
                <w:lang w:bidi="en-US"/>
              </w:rPr>
              <w:t>ENSURING SAFE WORK PRACTICES</w:t>
            </w:r>
            <w:r w:rsidR="00EB5812">
              <w:rPr>
                <w:noProof/>
                <w:webHidden/>
              </w:rPr>
              <w:tab/>
            </w:r>
            <w:r w:rsidR="00EB5812">
              <w:rPr>
                <w:noProof/>
                <w:webHidden/>
              </w:rPr>
              <w:fldChar w:fldCharType="begin"/>
            </w:r>
            <w:r w:rsidR="00EB5812">
              <w:rPr>
                <w:noProof/>
                <w:webHidden/>
              </w:rPr>
              <w:instrText xml:space="preserve"> PAGEREF _Toc536621248 \h </w:instrText>
            </w:r>
            <w:r w:rsidR="00EB5812">
              <w:rPr>
                <w:noProof/>
                <w:webHidden/>
              </w:rPr>
            </w:r>
            <w:r w:rsidR="00EB5812">
              <w:rPr>
                <w:noProof/>
                <w:webHidden/>
              </w:rPr>
              <w:fldChar w:fldCharType="separate"/>
            </w:r>
            <w:r w:rsidR="00EB5812">
              <w:rPr>
                <w:noProof/>
                <w:webHidden/>
              </w:rPr>
              <w:t>7</w:t>
            </w:r>
            <w:r w:rsidR="00EB5812">
              <w:rPr>
                <w:noProof/>
                <w:webHidden/>
              </w:rPr>
              <w:fldChar w:fldCharType="end"/>
            </w:r>
          </w:hyperlink>
        </w:p>
        <w:p w:rsidR="00537B45" w:rsidRDefault="00537B45">
          <w:r>
            <w:rPr>
              <w:b/>
              <w:bCs/>
              <w:noProof/>
            </w:rPr>
            <w:fldChar w:fldCharType="end"/>
          </w:r>
        </w:p>
      </w:sdtContent>
    </w:sdt>
    <w:p w:rsidR="0001317A" w:rsidRPr="006D5658" w:rsidRDefault="00537B45" w:rsidP="0001317A">
      <w:pPr>
        <w:rPr>
          <w:rFonts w:eastAsia="Times New Roman" w:cs="Times New Roman"/>
          <w:b/>
          <w:color w:val="943634"/>
          <w:spacing w:val="20"/>
          <w:sz w:val="28"/>
          <w:szCs w:val="32"/>
          <w:lang w:val="en-US" w:bidi="en-US"/>
        </w:rPr>
      </w:pPr>
      <w:r>
        <w:rPr>
          <w:rFonts w:eastAsia="Times New Roman" w:cs="Times New Roman"/>
          <w:b/>
          <w:color w:val="943634"/>
          <w:spacing w:val="20"/>
          <w:sz w:val="28"/>
          <w:szCs w:val="32"/>
          <w:lang w:val="en-US" w:bidi="en-US"/>
        </w:rPr>
        <w:br w:type="page"/>
      </w:r>
    </w:p>
    <w:p w:rsidR="00C50844" w:rsidRDefault="008F3BC3" w:rsidP="008F3BC3">
      <w:pPr>
        <w:pStyle w:val="StyleHeading1"/>
        <w:rPr>
          <w:u w:val="single"/>
        </w:rPr>
      </w:pPr>
      <w:bookmarkStart w:id="2" w:name="_Toc536621238"/>
      <w:r>
        <w:rPr>
          <w:caps w:val="0"/>
        </w:rPr>
        <w:lastRenderedPageBreak/>
        <w:t>INTRODUCTION TO WHS</w:t>
      </w:r>
      <w:bookmarkEnd w:id="2"/>
    </w:p>
    <w:p w:rsidR="00F23B66" w:rsidRDefault="00F23B66" w:rsidP="00FB209A">
      <w:pPr>
        <w:pStyle w:val="Heading2"/>
      </w:pPr>
      <w:r w:rsidRPr="000E43D3">
        <w:t xml:space="preserve"> </w:t>
      </w:r>
      <w:bookmarkStart w:id="3" w:name="_Toc536621239"/>
      <w:r w:rsidR="00C0180C">
        <w:t>WORK HEALTH AND SAFETY &amp; OCCUPATIONAL SAFETY AND HEALTH</w:t>
      </w:r>
      <w:bookmarkEnd w:id="3"/>
    </w:p>
    <w:p w:rsidR="003D5A43" w:rsidRDefault="00D83228" w:rsidP="002540A0">
      <w:pPr>
        <w:rPr>
          <w:sz w:val="24"/>
          <w:lang w:val="en-US" w:bidi="en-US"/>
        </w:rPr>
      </w:pPr>
      <w:r>
        <w:rPr>
          <w:b/>
          <w:sz w:val="24"/>
          <w:lang w:val="en-US" w:bidi="en-US"/>
        </w:rPr>
        <w:t>Work Health and Safety (WHS) and</w:t>
      </w:r>
      <w:r w:rsidR="002540A0" w:rsidRPr="003D5A43">
        <w:rPr>
          <w:b/>
          <w:sz w:val="24"/>
          <w:lang w:val="en-US" w:bidi="en-US"/>
        </w:rPr>
        <w:t xml:space="preserve"> Occupational Safety &amp; Health (OSH)</w:t>
      </w:r>
      <w:r>
        <w:rPr>
          <w:b/>
          <w:sz w:val="24"/>
          <w:lang w:val="en-US" w:bidi="en-US"/>
        </w:rPr>
        <w:t xml:space="preserve"> </w:t>
      </w:r>
      <w:r w:rsidRPr="00D83228">
        <w:rPr>
          <w:sz w:val="24"/>
          <w:lang w:val="en-US" w:bidi="en-US"/>
        </w:rPr>
        <w:t>are the</w:t>
      </w:r>
      <w:r w:rsidR="002540A0" w:rsidRPr="003D5A43">
        <w:rPr>
          <w:sz w:val="24"/>
          <w:lang w:val="en-US" w:bidi="en-US"/>
        </w:rPr>
        <w:t xml:space="preserve"> terms </w:t>
      </w:r>
      <w:r>
        <w:rPr>
          <w:sz w:val="24"/>
          <w:lang w:val="en-US" w:bidi="en-US"/>
        </w:rPr>
        <w:t xml:space="preserve">that </w:t>
      </w:r>
      <w:r w:rsidR="002540A0" w:rsidRPr="003D5A43">
        <w:rPr>
          <w:sz w:val="24"/>
          <w:lang w:val="en-US" w:bidi="en-US"/>
        </w:rPr>
        <w:t xml:space="preserve">refer to the same thing – </w:t>
      </w:r>
      <w:r w:rsidR="002540A0" w:rsidRPr="003D5A43">
        <w:rPr>
          <w:sz w:val="24"/>
          <w:u w:val="single"/>
          <w:lang w:val="en-US" w:bidi="en-US"/>
        </w:rPr>
        <w:t>a set of laws and processes that help protect employees from harm while at work.</w:t>
      </w:r>
      <w:r w:rsidR="002540A0" w:rsidRPr="003D5A43">
        <w:rPr>
          <w:sz w:val="24"/>
          <w:lang w:val="en-US" w:bidi="en-US"/>
        </w:rPr>
        <w:t xml:space="preserve"> </w:t>
      </w:r>
    </w:p>
    <w:p w:rsidR="002540A0" w:rsidRDefault="002540A0" w:rsidP="002540A0">
      <w:pPr>
        <w:rPr>
          <w:sz w:val="24"/>
          <w:lang w:val="en-US" w:bidi="en-US"/>
        </w:rPr>
      </w:pPr>
      <w:r w:rsidRPr="003D5A43">
        <w:rPr>
          <w:sz w:val="24"/>
          <w:lang w:val="en-US" w:bidi="en-US"/>
        </w:rPr>
        <w:t>The reason why two different terms are used is because of the current laws that apply across Australia. You will learn about this difference in the next section of this guide.</w:t>
      </w:r>
    </w:p>
    <w:p w:rsidR="003D5A43" w:rsidRPr="003D5A43" w:rsidRDefault="003D5A43" w:rsidP="002540A0">
      <w:pPr>
        <w:rPr>
          <w:b/>
          <w:sz w:val="24"/>
        </w:rPr>
      </w:pPr>
      <w:r>
        <w:rPr>
          <w:b/>
          <w:sz w:val="24"/>
          <w:lang w:val="en-US" w:bidi="en-US"/>
        </w:rPr>
        <w:t xml:space="preserve">WHS </w:t>
      </w:r>
      <w:r w:rsidRPr="003D5A43">
        <w:rPr>
          <w:b/>
          <w:sz w:val="24"/>
          <w:lang w:val="en-US" w:bidi="en-US"/>
        </w:rPr>
        <w:t>Statistics</w:t>
      </w:r>
    </w:p>
    <w:p w:rsidR="00FB209A" w:rsidRPr="003D5A43" w:rsidRDefault="00FB209A" w:rsidP="002844AF">
      <w:pPr>
        <w:rPr>
          <w:sz w:val="24"/>
          <w:lang w:val="en-US" w:bidi="en-US"/>
        </w:rPr>
      </w:pPr>
      <w:r w:rsidRPr="003D5A43">
        <w:rPr>
          <w:sz w:val="24"/>
          <w:lang w:val="en-US" w:bidi="en-US"/>
        </w:rPr>
        <w:t xml:space="preserve">Did you know that in 2017, 191 </w:t>
      </w:r>
      <w:r w:rsidR="003A4C28" w:rsidRPr="003D5A43">
        <w:rPr>
          <w:sz w:val="24"/>
          <w:lang w:val="en-US" w:bidi="en-US"/>
        </w:rPr>
        <w:t>were fatally injured in the workplace, and 106,260 serious injury claims were made in 2016-2017 resulting in billions of dollars in compensation claims? You can find some key work health and safety statistics information from the following links:</w:t>
      </w:r>
    </w:p>
    <w:p w:rsidR="003A4C28" w:rsidRPr="003D5A43" w:rsidRDefault="00C429DB" w:rsidP="003A4C28">
      <w:pPr>
        <w:pStyle w:val="ListParagraph"/>
        <w:numPr>
          <w:ilvl w:val="0"/>
          <w:numId w:val="37"/>
        </w:numPr>
        <w:rPr>
          <w:sz w:val="24"/>
          <w:lang w:val="en-US" w:bidi="en-US"/>
        </w:rPr>
      </w:pPr>
      <w:hyperlink r:id="rId10" w:history="1">
        <w:r w:rsidR="003A4C28" w:rsidRPr="003D5A43">
          <w:rPr>
            <w:rStyle w:val="Hyperlink"/>
            <w:sz w:val="24"/>
            <w:lang w:val="en-US" w:bidi="en-US"/>
          </w:rPr>
          <w:t>Work-related injury fatalities – Key WHS statistics Australia 2018 (Safe Work Australia)</w:t>
        </w:r>
      </w:hyperlink>
    </w:p>
    <w:p w:rsidR="003A4C28" w:rsidRPr="003D5A43" w:rsidRDefault="00C429DB" w:rsidP="003A4C28">
      <w:pPr>
        <w:pStyle w:val="ListParagraph"/>
        <w:numPr>
          <w:ilvl w:val="0"/>
          <w:numId w:val="37"/>
        </w:numPr>
        <w:rPr>
          <w:sz w:val="24"/>
          <w:lang w:val="en-US" w:bidi="en-US"/>
        </w:rPr>
      </w:pPr>
      <w:hyperlink r:id="rId11" w:history="1">
        <w:r w:rsidR="003A4C28" w:rsidRPr="003D5A43">
          <w:rPr>
            <w:rStyle w:val="Hyperlink"/>
            <w:sz w:val="24"/>
            <w:lang w:val="en-US" w:bidi="en-US"/>
          </w:rPr>
          <w:t>Work-related injury and disease – Key WHS statistics Australia 2018 (Safe Work Australia)</w:t>
        </w:r>
      </w:hyperlink>
    </w:p>
    <w:p w:rsidR="003A4C28" w:rsidRPr="003D5A43" w:rsidRDefault="00C429DB" w:rsidP="003A4C28">
      <w:pPr>
        <w:pStyle w:val="ListParagraph"/>
        <w:numPr>
          <w:ilvl w:val="0"/>
          <w:numId w:val="37"/>
        </w:numPr>
        <w:rPr>
          <w:sz w:val="24"/>
          <w:lang w:val="en-US" w:bidi="en-US"/>
        </w:rPr>
      </w:pPr>
      <w:hyperlink r:id="rId12" w:history="1">
        <w:r w:rsidR="003A4C28" w:rsidRPr="003D5A43">
          <w:rPr>
            <w:rStyle w:val="Hyperlink"/>
            <w:sz w:val="24"/>
            <w:lang w:val="en-US" w:bidi="en-US"/>
          </w:rPr>
          <w:t>Costs of work-related injuries and diseases - Key WHS statistics Australia 2018 (Safe Work Australia)</w:t>
        </w:r>
      </w:hyperlink>
    </w:p>
    <w:p w:rsidR="002540A0" w:rsidRPr="003D5A43" w:rsidRDefault="002540A0" w:rsidP="002540A0">
      <w:pPr>
        <w:rPr>
          <w:sz w:val="24"/>
          <w:lang w:val="en-US" w:bidi="en-US"/>
        </w:rPr>
      </w:pPr>
      <w:r w:rsidRPr="003D5A43">
        <w:rPr>
          <w:sz w:val="24"/>
          <w:lang w:val="en-US" w:bidi="en-US"/>
        </w:rPr>
        <w:t xml:space="preserve">In the past 10 years however a number of injuries, fatalities and compensation have been gradually decreasing </w:t>
      </w:r>
      <w:r w:rsidR="00D83228">
        <w:rPr>
          <w:sz w:val="24"/>
          <w:lang w:val="en-US" w:bidi="en-US"/>
        </w:rPr>
        <w:t xml:space="preserve">so </w:t>
      </w:r>
      <w:r w:rsidRPr="003D5A43">
        <w:rPr>
          <w:sz w:val="24"/>
          <w:lang w:val="en-US" w:bidi="en-US"/>
        </w:rPr>
        <w:t xml:space="preserve">a number of fatalities have dropped almost by half and a number of serious injuries went down by 27%. This is largely </w:t>
      </w:r>
      <w:r w:rsidR="00D83228">
        <w:rPr>
          <w:sz w:val="24"/>
          <w:lang w:val="en-US" w:bidi="en-US"/>
        </w:rPr>
        <w:t>because the</w:t>
      </w:r>
      <w:r w:rsidRPr="003D5A43">
        <w:rPr>
          <w:sz w:val="24"/>
          <w:lang w:val="en-US" w:bidi="en-US"/>
        </w:rPr>
        <w:t xml:space="preserve"> </w:t>
      </w:r>
      <w:r w:rsidR="00D83228">
        <w:rPr>
          <w:sz w:val="24"/>
          <w:lang w:val="en-US" w:bidi="en-US"/>
        </w:rPr>
        <w:t>Work Health and Safety</w:t>
      </w:r>
      <w:r w:rsidRPr="003D5A43">
        <w:rPr>
          <w:sz w:val="24"/>
          <w:lang w:val="en-US" w:bidi="en-US"/>
        </w:rPr>
        <w:t xml:space="preserve"> laws becoming </w:t>
      </w:r>
      <w:r w:rsidR="00C20F82" w:rsidRPr="003D5A43">
        <w:rPr>
          <w:sz w:val="24"/>
          <w:lang w:val="en-US" w:bidi="en-US"/>
        </w:rPr>
        <w:t>a mandatory part of</w:t>
      </w:r>
      <w:r w:rsidR="00D83228">
        <w:rPr>
          <w:sz w:val="24"/>
          <w:lang w:val="en-US" w:bidi="en-US"/>
        </w:rPr>
        <w:t xml:space="preserve"> a</w:t>
      </w:r>
      <w:r w:rsidR="00C20F82" w:rsidRPr="003D5A43">
        <w:rPr>
          <w:sz w:val="24"/>
          <w:lang w:val="en-US" w:bidi="en-US"/>
        </w:rPr>
        <w:t xml:space="preserve"> day to day work rather than an optional measure.</w:t>
      </w:r>
    </w:p>
    <w:p w:rsidR="00C20F82" w:rsidRDefault="00C20F82" w:rsidP="002540A0">
      <w:pPr>
        <w:rPr>
          <w:sz w:val="24"/>
          <w:lang w:val="en-US" w:bidi="en-US"/>
        </w:rPr>
      </w:pPr>
      <w:r w:rsidRPr="003D5A43">
        <w:rPr>
          <w:sz w:val="24"/>
          <w:lang w:val="en-US" w:bidi="en-US"/>
        </w:rPr>
        <w:t>Back in 1900s safety was not a priority and workers were almost expected to make sacrifices for the sake of production and getting things done. The safety culture has been evolving gradually starting from introduction of safety gear in 1940s and 1950s (masks, glasses, gloves and aprons) to implementation of targeted safety campaigns in 1950s (“no smoking” and “safety around machinery”) and to communication of safety information and implementation of risk controls</w:t>
      </w:r>
      <w:r w:rsidR="00FD5318" w:rsidRPr="003D5A43">
        <w:rPr>
          <w:sz w:val="24"/>
          <w:lang w:val="en-US" w:bidi="en-US"/>
        </w:rPr>
        <w:t xml:space="preserve"> and breach penalties</w:t>
      </w:r>
      <w:r w:rsidRPr="003D5A43">
        <w:rPr>
          <w:sz w:val="24"/>
          <w:lang w:val="en-US" w:bidi="en-US"/>
        </w:rPr>
        <w:t xml:space="preserve"> in the past century. (</w:t>
      </w:r>
      <w:hyperlink r:id="rId13" w:history="1">
        <w:r w:rsidR="00FD5318" w:rsidRPr="003D5A43">
          <w:rPr>
            <w:rStyle w:val="Hyperlink"/>
            <w:sz w:val="24"/>
            <w:lang w:val="en-US" w:bidi="en-US"/>
          </w:rPr>
          <w:t>Full Circle: A work health and safety evolution</w:t>
        </w:r>
      </w:hyperlink>
      <w:r w:rsidRPr="003D5A43">
        <w:rPr>
          <w:sz w:val="24"/>
          <w:lang w:val="en-US" w:bidi="en-US"/>
        </w:rPr>
        <w:t>)</w:t>
      </w:r>
    </w:p>
    <w:p w:rsidR="00D83228" w:rsidRPr="003D5A43" w:rsidRDefault="00D83228" w:rsidP="002540A0">
      <w:pPr>
        <w:rPr>
          <w:sz w:val="24"/>
          <w:lang w:val="en-US" w:bidi="en-US"/>
        </w:rPr>
      </w:pPr>
    </w:p>
    <w:p w:rsidR="005A63DB" w:rsidRDefault="005A63DB">
      <w:pPr>
        <w:rPr>
          <w:lang w:val="en-US" w:bidi="en-US"/>
        </w:rPr>
      </w:pPr>
      <w:r>
        <w:rPr>
          <w:lang w:val="en-US" w:bidi="en-US"/>
        </w:rPr>
        <w:br w:type="page"/>
      </w:r>
    </w:p>
    <w:p w:rsidR="00FC6B72" w:rsidRDefault="000C7249" w:rsidP="00FC6B72">
      <w:pPr>
        <w:pStyle w:val="Heading2"/>
        <w:rPr>
          <w:caps w:val="0"/>
        </w:rPr>
      </w:pPr>
      <w:bookmarkStart w:id="4" w:name="_Toc536621240"/>
      <w:r>
        <w:rPr>
          <w:caps w:val="0"/>
        </w:rPr>
        <w:lastRenderedPageBreak/>
        <w:t xml:space="preserve">WHS </w:t>
      </w:r>
      <w:r w:rsidR="00C0180C">
        <w:rPr>
          <w:caps w:val="0"/>
        </w:rPr>
        <w:t>LEGISLATIONS, CODES OF PRACTICES AND STANDARDS</w:t>
      </w:r>
      <w:bookmarkEnd w:id="4"/>
    </w:p>
    <w:p w:rsidR="008716C4" w:rsidRPr="003F0A0C" w:rsidRDefault="00BC490C" w:rsidP="003F0A0C">
      <w:pPr>
        <w:jc w:val="center"/>
        <w:rPr>
          <w:lang w:val="en-US" w:bidi="en-US"/>
        </w:rPr>
      </w:pPr>
      <w:r w:rsidRPr="00BC490C">
        <w:rPr>
          <w:noProof/>
          <w:lang w:eastAsia="en-AU"/>
        </w:rPr>
        <w:drawing>
          <wp:inline distT="0" distB="0" distL="0" distR="0" wp14:anchorId="2AA3049C" wp14:editId="4AF496D5">
            <wp:extent cx="3676085" cy="2708694"/>
            <wp:effectExtent l="0" t="0" r="635"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5064" cy="2722678"/>
                    </a:xfrm>
                    <a:prstGeom prst="rect">
                      <a:avLst/>
                    </a:prstGeom>
                    <a:noFill/>
                    <a:ln>
                      <a:noFill/>
                    </a:ln>
                    <a:extLst/>
                  </pic:spPr>
                </pic:pic>
              </a:graphicData>
            </a:graphic>
          </wp:inline>
        </w:drawing>
      </w:r>
    </w:p>
    <w:p w:rsidR="008716C4" w:rsidRDefault="008716C4" w:rsidP="008716C4">
      <w:pPr>
        <w:rPr>
          <w:sz w:val="24"/>
          <w:lang w:val="en-US" w:bidi="en-US"/>
        </w:rPr>
      </w:pPr>
      <w:r w:rsidRPr="008716C4">
        <w:rPr>
          <w:sz w:val="24"/>
          <w:lang w:val="en-US" w:bidi="en-US"/>
        </w:rPr>
        <w:t xml:space="preserve">You </w:t>
      </w:r>
      <w:r w:rsidR="00F66423">
        <w:rPr>
          <w:sz w:val="24"/>
          <w:lang w:val="en-US" w:bidi="en-US"/>
        </w:rPr>
        <w:t>must</w:t>
      </w:r>
      <w:r w:rsidRPr="008716C4">
        <w:rPr>
          <w:sz w:val="24"/>
          <w:lang w:val="en-US" w:bidi="en-US"/>
        </w:rPr>
        <w:t xml:space="preserve"> make sure you get familiar with the laws, and WHS policies and procedures in your organisation. If you don’t meet your legal obligations under the OSH Act and Regulations</w:t>
      </w:r>
      <w:r>
        <w:rPr>
          <w:sz w:val="24"/>
          <w:lang w:val="en-US" w:bidi="en-US"/>
        </w:rPr>
        <w:t xml:space="preserve"> (or WHS Act and Regulations)</w:t>
      </w:r>
      <w:r w:rsidRPr="008716C4">
        <w:rPr>
          <w:sz w:val="24"/>
          <w:lang w:val="en-US" w:bidi="en-US"/>
        </w:rPr>
        <w:t xml:space="preserve">, you may be putting your and other people’s health and wellbeing at risk; you may also be breaking a law </w:t>
      </w:r>
      <w:r>
        <w:rPr>
          <w:sz w:val="24"/>
          <w:lang w:val="en-US" w:bidi="en-US"/>
        </w:rPr>
        <w:t>which usually results in</w:t>
      </w:r>
      <w:r w:rsidRPr="008716C4">
        <w:rPr>
          <w:sz w:val="24"/>
          <w:lang w:val="en-US" w:bidi="en-US"/>
        </w:rPr>
        <w:t xml:space="preserve"> hefty penalties and fines.</w:t>
      </w:r>
    </w:p>
    <w:p w:rsidR="008716C4" w:rsidRPr="008716C4" w:rsidRDefault="008716C4" w:rsidP="008716C4">
      <w:pPr>
        <w:rPr>
          <w:b/>
          <w:sz w:val="24"/>
          <w:szCs w:val="24"/>
        </w:rPr>
      </w:pPr>
      <w:r w:rsidRPr="008716C4">
        <w:rPr>
          <w:b/>
          <w:sz w:val="24"/>
          <w:szCs w:val="24"/>
        </w:rPr>
        <w:t xml:space="preserve">Current WHS laws </w:t>
      </w:r>
      <w:r w:rsidRPr="00740DED">
        <w:rPr>
          <w:b/>
          <w:sz w:val="24"/>
          <w:szCs w:val="24"/>
          <w:u w:val="single"/>
        </w:rPr>
        <w:t>across Australia</w:t>
      </w:r>
    </w:p>
    <w:p w:rsidR="008716C4" w:rsidRDefault="00833E6F" w:rsidP="009D3B7D">
      <w:pPr>
        <w:spacing w:after="0"/>
        <w:rPr>
          <w:sz w:val="24"/>
          <w:lang w:val="en-US" w:bidi="en-US"/>
        </w:rPr>
      </w:pPr>
      <w:r w:rsidRPr="008716C4">
        <w:rPr>
          <w:sz w:val="24"/>
          <w:szCs w:val="24"/>
          <w:lang w:val="en-US" w:bidi="en-US"/>
        </w:rPr>
        <w:t xml:space="preserve">In Australia, WHS is regulated through </w:t>
      </w:r>
      <w:r w:rsidR="008716C4" w:rsidRPr="008716C4">
        <w:rPr>
          <w:sz w:val="24"/>
          <w:szCs w:val="24"/>
          <w:lang w:val="en-US" w:bidi="en-US"/>
        </w:rPr>
        <w:t xml:space="preserve">the </w:t>
      </w:r>
      <w:r w:rsidR="00AC1313" w:rsidRPr="008716C4">
        <w:rPr>
          <w:sz w:val="24"/>
          <w:szCs w:val="24"/>
          <w:lang w:val="en-US" w:bidi="en-US"/>
        </w:rPr>
        <w:t>WHS</w:t>
      </w:r>
      <w:r w:rsidR="00AC1313" w:rsidRPr="008716C4">
        <w:rPr>
          <w:sz w:val="24"/>
          <w:lang w:val="en-US" w:bidi="en-US"/>
        </w:rPr>
        <w:t xml:space="preserve"> legislation. All states except for Western Australia and Victoria have adopted the harmonised WHS laws</w:t>
      </w:r>
      <w:r w:rsidR="008716C4" w:rsidRPr="008716C4">
        <w:rPr>
          <w:sz w:val="24"/>
          <w:lang w:val="en-US" w:bidi="en-US"/>
        </w:rPr>
        <w:t xml:space="preserve"> developed by Safe Work Australia</w:t>
      </w:r>
      <w:r w:rsidR="008716C4">
        <w:rPr>
          <w:sz w:val="24"/>
          <w:lang w:val="en-US" w:bidi="en-US"/>
        </w:rPr>
        <w:t>:</w:t>
      </w:r>
    </w:p>
    <w:p w:rsidR="008716C4" w:rsidRDefault="00C429DB" w:rsidP="008716C4">
      <w:pPr>
        <w:pStyle w:val="ListParagraph"/>
        <w:numPr>
          <w:ilvl w:val="0"/>
          <w:numId w:val="37"/>
        </w:numPr>
        <w:rPr>
          <w:sz w:val="24"/>
          <w:lang w:val="en-US" w:bidi="en-US"/>
        </w:rPr>
      </w:pPr>
      <w:hyperlink r:id="rId15" w:history="1">
        <w:r w:rsidR="00AC1313" w:rsidRPr="008716C4">
          <w:rPr>
            <w:rStyle w:val="Hyperlink"/>
            <w:sz w:val="24"/>
            <w:lang w:val="en-US" w:bidi="en-US"/>
          </w:rPr>
          <w:t xml:space="preserve">WHS Act </w:t>
        </w:r>
        <w:r w:rsidR="008716C4" w:rsidRPr="008716C4">
          <w:rPr>
            <w:rStyle w:val="Hyperlink"/>
            <w:sz w:val="24"/>
            <w:lang w:val="en-US" w:bidi="en-US"/>
          </w:rPr>
          <w:t>2011</w:t>
        </w:r>
      </w:hyperlink>
    </w:p>
    <w:p w:rsidR="00740DED" w:rsidRDefault="00C429DB" w:rsidP="00740DED">
      <w:pPr>
        <w:pStyle w:val="ListParagraph"/>
        <w:numPr>
          <w:ilvl w:val="0"/>
          <w:numId w:val="37"/>
        </w:numPr>
        <w:rPr>
          <w:sz w:val="24"/>
          <w:lang w:val="en-US" w:bidi="en-US"/>
        </w:rPr>
      </w:pPr>
      <w:hyperlink r:id="rId16" w:history="1">
        <w:r w:rsidR="008716C4" w:rsidRPr="008716C4">
          <w:rPr>
            <w:rStyle w:val="Hyperlink"/>
            <w:sz w:val="24"/>
            <w:lang w:val="en-US" w:bidi="en-US"/>
          </w:rPr>
          <w:t xml:space="preserve">WHS </w:t>
        </w:r>
        <w:r w:rsidR="00AC1313" w:rsidRPr="008716C4">
          <w:rPr>
            <w:rStyle w:val="Hyperlink"/>
            <w:sz w:val="24"/>
            <w:lang w:val="en-US" w:bidi="en-US"/>
          </w:rPr>
          <w:t>Regulations</w:t>
        </w:r>
        <w:r w:rsidR="008716C4" w:rsidRPr="008716C4">
          <w:rPr>
            <w:rStyle w:val="Hyperlink"/>
            <w:sz w:val="24"/>
            <w:lang w:val="en-US" w:bidi="en-US"/>
          </w:rPr>
          <w:t xml:space="preserve"> 2011</w:t>
        </w:r>
      </w:hyperlink>
    </w:p>
    <w:p w:rsidR="00740DED" w:rsidRPr="00740DED" w:rsidRDefault="00C429DB" w:rsidP="00740DED">
      <w:pPr>
        <w:pStyle w:val="ListParagraph"/>
        <w:numPr>
          <w:ilvl w:val="0"/>
          <w:numId w:val="37"/>
        </w:numPr>
        <w:rPr>
          <w:sz w:val="24"/>
          <w:lang w:val="en-US" w:bidi="en-US"/>
        </w:rPr>
      </w:pPr>
      <w:hyperlink r:id="rId17" w:history="1">
        <w:r w:rsidR="00740DED" w:rsidRPr="00740DED">
          <w:rPr>
            <w:rStyle w:val="Hyperlink"/>
            <w:sz w:val="24"/>
            <w:lang w:val="en-US" w:bidi="en-US"/>
          </w:rPr>
          <w:t>Model Codes of Practices</w:t>
        </w:r>
      </w:hyperlink>
    </w:p>
    <w:p w:rsidR="008716C4" w:rsidRDefault="008716C4" w:rsidP="008716C4">
      <w:pPr>
        <w:rPr>
          <w:b/>
          <w:sz w:val="24"/>
          <w:u w:val="single"/>
        </w:rPr>
      </w:pPr>
      <w:r w:rsidRPr="008716C4">
        <w:rPr>
          <w:b/>
          <w:sz w:val="24"/>
        </w:rPr>
        <w:t xml:space="preserve">Current WHS laws </w:t>
      </w:r>
      <w:r w:rsidRPr="00740DED">
        <w:rPr>
          <w:b/>
          <w:sz w:val="24"/>
          <w:u w:val="single"/>
        </w:rPr>
        <w:t>in W</w:t>
      </w:r>
      <w:r w:rsidRPr="008716C4">
        <w:rPr>
          <w:b/>
          <w:sz w:val="24"/>
          <w:u w:val="single"/>
        </w:rPr>
        <w:t>estern Australia</w:t>
      </w:r>
    </w:p>
    <w:p w:rsidR="00740DED" w:rsidRDefault="00740DED" w:rsidP="009D3B7D">
      <w:pPr>
        <w:spacing w:after="0"/>
        <w:rPr>
          <w:sz w:val="24"/>
        </w:rPr>
      </w:pPr>
      <w:r w:rsidRPr="00740DED">
        <w:rPr>
          <w:sz w:val="24"/>
        </w:rPr>
        <w:t>In Western Australia</w:t>
      </w:r>
      <w:r>
        <w:rPr>
          <w:sz w:val="24"/>
        </w:rPr>
        <w:t>, WHS is regulated through the OSH legislation:</w:t>
      </w:r>
    </w:p>
    <w:p w:rsidR="00740DED" w:rsidRPr="00740DED" w:rsidRDefault="00C429DB" w:rsidP="00740DED">
      <w:pPr>
        <w:pStyle w:val="ListParagraph"/>
        <w:numPr>
          <w:ilvl w:val="0"/>
          <w:numId w:val="37"/>
        </w:numPr>
        <w:rPr>
          <w:rStyle w:val="Hyperlink"/>
          <w:color w:val="auto"/>
          <w:sz w:val="28"/>
          <w:u w:val="none"/>
        </w:rPr>
      </w:pPr>
      <w:hyperlink r:id="rId18" w:history="1">
        <w:r w:rsidR="00740DED" w:rsidRPr="00740DED">
          <w:rPr>
            <w:rStyle w:val="Hyperlink"/>
            <w:sz w:val="24"/>
            <w:lang w:val="en-US" w:bidi="en-US"/>
          </w:rPr>
          <w:t>Occupational Safety &amp; Health Act 1984</w:t>
        </w:r>
      </w:hyperlink>
    </w:p>
    <w:p w:rsidR="00740DED" w:rsidRPr="00740DED" w:rsidRDefault="00C429DB" w:rsidP="00740DED">
      <w:pPr>
        <w:pStyle w:val="ListParagraph"/>
        <w:numPr>
          <w:ilvl w:val="0"/>
          <w:numId w:val="37"/>
        </w:numPr>
        <w:rPr>
          <w:rStyle w:val="Hyperlink"/>
          <w:color w:val="auto"/>
          <w:sz w:val="28"/>
          <w:u w:val="none"/>
        </w:rPr>
      </w:pPr>
      <w:hyperlink r:id="rId19" w:history="1">
        <w:r w:rsidR="00740DED" w:rsidRPr="00740DED">
          <w:rPr>
            <w:rStyle w:val="Hyperlink"/>
            <w:sz w:val="24"/>
            <w:lang w:val="en-US" w:bidi="en-US"/>
          </w:rPr>
          <w:t>Occupational Safety &amp; Health Regulations 1996</w:t>
        </w:r>
      </w:hyperlink>
    </w:p>
    <w:p w:rsidR="009D3B7D" w:rsidRPr="00025A66" w:rsidRDefault="00C429DB" w:rsidP="00025A66">
      <w:pPr>
        <w:pStyle w:val="ListParagraph"/>
        <w:numPr>
          <w:ilvl w:val="0"/>
          <w:numId w:val="37"/>
        </w:numPr>
        <w:rPr>
          <w:rStyle w:val="Hyperlink"/>
          <w:b/>
          <w:color w:val="auto"/>
          <w:sz w:val="28"/>
        </w:rPr>
      </w:pPr>
      <w:hyperlink r:id="rId20" w:history="1">
        <w:r w:rsidR="00740DED" w:rsidRPr="00740DED">
          <w:rPr>
            <w:rStyle w:val="Hyperlink"/>
            <w:sz w:val="24"/>
            <w:lang w:val="en-US" w:bidi="en-US"/>
          </w:rPr>
          <w:t>Approved Codes of Practices</w:t>
        </w:r>
      </w:hyperlink>
    </w:p>
    <w:tbl>
      <w:tblPr>
        <w:tblStyle w:val="TableGrid"/>
        <w:tblW w:w="0" w:type="auto"/>
        <w:tblLook w:val="04A0" w:firstRow="1" w:lastRow="0" w:firstColumn="1" w:lastColumn="0" w:noHBand="0" w:noVBand="1"/>
      </w:tblPr>
      <w:tblGrid>
        <w:gridCol w:w="10656"/>
      </w:tblGrid>
      <w:tr w:rsidR="00740DED" w:rsidTr="00740DED">
        <w:tc>
          <w:tcPr>
            <w:tcW w:w="10656" w:type="dxa"/>
            <w:shd w:val="clear" w:color="auto" w:fill="E5DFEC" w:themeFill="accent4" w:themeFillTint="33"/>
          </w:tcPr>
          <w:p w:rsidR="00740DED" w:rsidRPr="00740DED" w:rsidRDefault="00740DED" w:rsidP="00740DED">
            <w:pPr>
              <w:spacing w:before="60" w:after="60"/>
              <w:rPr>
                <w:b/>
                <w:sz w:val="24"/>
                <w:lang w:bidi="en-US"/>
              </w:rPr>
            </w:pPr>
            <w:r w:rsidRPr="00740DED">
              <w:rPr>
                <w:b/>
                <w:sz w:val="24"/>
                <w:lang w:bidi="en-US"/>
              </w:rPr>
              <w:t>NOTE</w:t>
            </w:r>
          </w:p>
          <w:p w:rsidR="00740DED" w:rsidRDefault="00740DED" w:rsidP="00740DED">
            <w:pPr>
              <w:spacing w:before="60" w:after="60"/>
              <w:rPr>
                <w:sz w:val="24"/>
                <w:lang w:bidi="en-US"/>
              </w:rPr>
            </w:pPr>
            <w:r>
              <w:rPr>
                <w:sz w:val="24"/>
                <w:lang w:bidi="en-US"/>
              </w:rPr>
              <w:t xml:space="preserve">A harmonised legislation similar to WHS Act and Regulations has been proposed </w:t>
            </w:r>
            <w:r w:rsidRPr="008716C4">
              <w:rPr>
                <w:sz w:val="24"/>
                <w:lang w:bidi="en-US"/>
              </w:rPr>
              <w:t>to be adopted in Western Australia</w:t>
            </w:r>
            <w:r>
              <w:rPr>
                <w:sz w:val="24"/>
                <w:lang w:bidi="en-US"/>
              </w:rPr>
              <w:t xml:space="preserve"> in 2014</w:t>
            </w:r>
            <w:r w:rsidRPr="008716C4">
              <w:rPr>
                <w:sz w:val="24"/>
                <w:lang w:bidi="en-US"/>
              </w:rPr>
              <w:t xml:space="preserve">, </w:t>
            </w:r>
            <w:r w:rsidRPr="00740DED">
              <w:rPr>
                <w:sz w:val="24"/>
                <w:lang w:bidi="en-US"/>
              </w:rPr>
              <w:t xml:space="preserve">but the decision </w:t>
            </w:r>
            <w:r w:rsidRPr="00740DED">
              <w:rPr>
                <w:sz w:val="24"/>
                <w:u w:val="single"/>
                <w:lang w:bidi="en-US"/>
              </w:rPr>
              <w:t>has not yet</w:t>
            </w:r>
            <w:r w:rsidRPr="00740DED">
              <w:rPr>
                <w:sz w:val="24"/>
                <w:lang w:bidi="en-US"/>
              </w:rPr>
              <w:t xml:space="preserve"> been finalised</w:t>
            </w:r>
            <w:r w:rsidRPr="008716C4">
              <w:rPr>
                <w:sz w:val="24"/>
                <w:lang w:bidi="en-US"/>
              </w:rPr>
              <w:t xml:space="preserve">. </w:t>
            </w:r>
          </w:p>
          <w:p w:rsidR="00740DED" w:rsidRPr="00740DED" w:rsidRDefault="00C429DB" w:rsidP="00740DED">
            <w:pPr>
              <w:pStyle w:val="ListParagraph"/>
              <w:numPr>
                <w:ilvl w:val="0"/>
                <w:numId w:val="37"/>
              </w:numPr>
              <w:spacing w:before="60" w:after="60"/>
              <w:contextualSpacing w:val="0"/>
              <w:rPr>
                <w:rStyle w:val="Hyperlink"/>
                <w:color w:val="auto"/>
                <w:sz w:val="24"/>
                <w:u w:val="none"/>
                <w:lang w:bidi="en-US"/>
              </w:rPr>
            </w:pPr>
            <w:hyperlink r:id="rId21" w:history="1">
              <w:r w:rsidR="00740DED" w:rsidRPr="008716C4">
                <w:rPr>
                  <w:rStyle w:val="Hyperlink"/>
                  <w:sz w:val="24"/>
                  <w:lang w:bidi="en-US"/>
                </w:rPr>
                <w:t>Work Health and Safety Bill 2014</w:t>
              </w:r>
            </w:hyperlink>
            <w:r w:rsidR="00740DED">
              <w:rPr>
                <w:sz w:val="24"/>
                <w:lang w:bidi="en-US"/>
              </w:rPr>
              <w:t xml:space="preserve"> (This is </w:t>
            </w:r>
            <w:r w:rsidR="00740DED" w:rsidRPr="008716C4">
              <w:rPr>
                <w:sz w:val="24"/>
                <w:lang w:bidi="en-US"/>
              </w:rPr>
              <w:t xml:space="preserve">a Western Australian version of the WHS Act that fits </w:t>
            </w:r>
            <w:r w:rsidR="00740DED">
              <w:rPr>
                <w:sz w:val="24"/>
                <w:lang w:bidi="en-US"/>
              </w:rPr>
              <w:t>in with the WA’s work environment. Still under review)</w:t>
            </w:r>
          </w:p>
        </w:tc>
      </w:tr>
    </w:tbl>
    <w:p w:rsidR="00025A66" w:rsidRDefault="00025A66" w:rsidP="00025A66"/>
    <w:p w:rsidR="00025A66" w:rsidRDefault="00025A66" w:rsidP="00025A66">
      <w:pPr>
        <w:rPr>
          <w:rFonts w:eastAsiaTheme="majorEastAsia" w:cstheme="majorBidi"/>
          <w:color w:val="403152" w:themeColor="accent4" w:themeShade="80"/>
          <w:spacing w:val="20"/>
          <w:szCs w:val="32"/>
          <w:lang w:val="en-US" w:bidi="en-US"/>
        </w:rPr>
      </w:pPr>
      <w:r>
        <w:br w:type="page"/>
      </w:r>
    </w:p>
    <w:p w:rsidR="00DD5EFA" w:rsidRPr="00DD5EFA" w:rsidRDefault="00C0180C" w:rsidP="00C0180C">
      <w:pPr>
        <w:pStyle w:val="Heading3"/>
      </w:pPr>
      <w:bookmarkStart w:id="5" w:name="_Toc536621241"/>
      <w:r w:rsidRPr="00DD5EFA">
        <w:rPr>
          <w:caps w:val="0"/>
        </w:rPr>
        <w:lastRenderedPageBreak/>
        <w:t>WHS/OSH ACTS</w:t>
      </w:r>
      <w:r>
        <w:rPr>
          <w:caps w:val="0"/>
        </w:rPr>
        <w:t>:</w:t>
      </w:r>
      <w:bookmarkEnd w:id="5"/>
    </w:p>
    <w:p w:rsidR="004F449A" w:rsidRDefault="00DD5EFA" w:rsidP="0019741D">
      <w:pPr>
        <w:pStyle w:val="ListParagraph"/>
        <w:numPr>
          <w:ilvl w:val="0"/>
          <w:numId w:val="25"/>
        </w:numPr>
        <w:spacing w:after="0"/>
        <w:rPr>
          <w:sz w:val="24"/>
          <w:lang w:val="en-US" w:bidi="en-US"/>
        </w:rPr>
      </w:pPr>
      <w:r w:rsidRPr="0019741D">
        <w:rPr>
          <w:b/>
          <w:sz w:val="24"/>
          <w:lang w:val="en-US" w:bidi="en-US"/>
        </w:rPr>
        <w:t>Act</w:t>
      </w:r>
      <w:r w:rsidRPr="0019741D">
        <w:rPr>
          <w:sz w:val="24"/>
          <w:lang w:val="en-US" w:bidi="en-US"/>
        </w:rPr>
        <w:t xml:space="preserve"> </w:t>
      </w:r>
      <w:r w:rsidR="0019741D">
        <w:rPr>
          <w:sz w:val="24"/>
          <w:lang w:val="en-US" w:bidi="en-US"/>
        </w:rPr>
        <w:t>contains the general rules on making workplaces safe and healthy.</w:t>
      </w:r>
    </w:p>
    <w:p w:rsidR="00525A37" w:rsidRPr="0019741D" w:rsidRDefault="004F449A" w:rsidP="0019741D">
      <w:pPr>
        <w:pStyle w:val="ListParagraph"/>
        <w:numPr>
          <w:ilvl w:val="0"/>
          <w:numId w:val="25"/>
        </w:numPr>
        <w:spacing w:after="0"/>
        <w:rPr>
          <w:sz w:val="24"/>
          <w:lang w:val="en-US" w:bidi="en-US"/>
        </w:rPr>
      </w:pPr>
      <w:r>
        <w:rPr>
          <w:sz w:val="24"/>
          <w:lang w:val="en-US" w:bidi="en-US"/>
        </w:rPr>
        <w:t>Includes information about</w:t>
      </w:r>
      <w:r w:rsidR="00DD5EFA" w:rsidRPr="0019741D">
        <w:rPr>
          <w:sz w:val="24"/>
          <w:lang w:val="en-US" w:bidi="en-US"/>
        </w:rPr>
        <w:t xml:space="preserve"> general </w:t>
      </w:r>
      <w:r w:rsidR="00EC26DA" w:rsidRPr="0019741D">
        <w:rPr>
          <w:sz w:val="24"/>
          <w:lang w:val="en-US" w:bidi="en-US"/>
        </w:rPr>
        <w:t>legal responsibilities</w:t>
      </w:r>
      <w:r w:rsidR="00DD5EFA" w:rsidRPr="0019741D">
        <w:rPr>
          <w:sz w:val="24"/>
          <w:lang w:val="en-US" w:bidi="en-US"/>
        </w:rPr>
        <w:t xml:space="preserve"> on specific persons or parties (Employers, employees,</w:t>
      </w:r>
      <w:r w:rsidR="00EC26DA" w:rsidRPr="0019741D">
        <w:rPr>
          <w:sz w:val="24"/>
          <w:lang w:val="en-US" w:bidi="en-US"/>
        </w:rPr>
        <w:t xml:space="preserve"> </w:t>
      </w:r>
      <w:r w:rsidR="00DD5EFA" w:rsidRPr="0019741D">
        <w:rPr>
          <w:sz w:val="24"/>
          <w:lang w:val="en-US" w:bidi="en-US"/>
        </w:rPr>
        <w:t>manufactu</w:t>
      </w:r>
      <w:r w:rsidR="001B6C32" w:rsidRPr="0019741D">
        <w:rPr>
          <w:sz w:val="24"/>
          <w:lang w:val="en-US" w:bidi="en-US"/>
        </w:rPr>
        <w:t>rers, designers, suppliers etc</w:t>
      </w:r>
      <w:r w:rsidR="00EC26DA" w:rsidRPr="0019741D">
        <w:rPr>
          <w:sz w:val="24"/>
          <w:lang w:val="en-US" w:bidi="en-US"/>
        </w:rPr>
        <w:t>.) and provides some</w:t>
      </w:r>
      <w:r w:rsidR="001B6C32" w:rsidRPr="0019741D">
        <w:rPr>
          <w:sz w:val="24"/>
          <w:lang w:val="en-US" w:bidi="en-US"/>
        </w:rPr>
        <w:t xml:space="preserve"> legal information</w:t>
      </w:r>
      <w:r w:rsidR="00EC26DA" w:rsidRPr="0019741D">
        <w:rPr>
          <w:sz w:val="24"/>
          <w:lang w:val="en-US" w:bidi="en-US"/>
        </w:rPr>
        <w:t xml:space="preserve"> regarding breaches, penalties and disputes</w:t>
      </w:r>
      <w:r w:rsidR="001B6C32" w:rsidRPr="0019741D">
        <w:rPr>
          <w:sz w:val="24"/>
          <w:lang w:val="en-US" w:bidi="en-US"/>
        </w:rPr>
        <w:t>.</w:t>
      </w:r>
    </w:p>
    <w:tbl>
      <w:tblPr>
        <w:tblStyle w:val="TableGrid"/>
        <w:tblW w:w="0" w:type="auto"/>
        <w:tblLook w:val="04A0" w:firstRow="1" w:lastRow="0" w:firstColumn="1" w:lastColumn="0" w:noHBand="0" w:noVBand="1"/>
      </w:tblPr>
      <w:tblGrid>
        <w:gridCol w:w="10656"/>
      </w:tblGrid>
      <w:tr w:rsidR="001B6C32" w:rsidRPr="0019741D" w:rsidTr="001B6C32">
        <w:tc>
          <w:tcPr>
            <w:tcW w:w="10656" w:type="dxa"/>
            <w:shd w:val="clear" w:color="auto" w:fill="E5DFEC" w:themeFill="accent4" w:themeFillTint="33"/>
          </w:tcPr>
          <w:p w:rsidR="001B6C32" w:rsidRPr="0019741D" w:rsidRDefault="001B6C32" w:rsidP="001B6C32">
            <w:pPr>
              <w:spacing w:before="60" w:after="60"/>
              <w:rPr>
                <w:sz w:val="24"/>
                <w:lang w:bidi="en-US"/>
              </w:rPr>
            </w:pPr>
            <w:r w:rsidRPr="0019741D">
              <w:rPr>
                <w:sz w:val="24"/>
                <w:lang w:bidi="en-US"/>
              </w:rPr>
              <w:t xml:space="preserve">Example: </w:t>
            </w:r>
          </w:p>
          <w:p w:rsidR="001B6C32" w:rsidRPr="0019741D" w:rsidRDefault="001B6C32" w:rsidP="001B6C32">
            <w:pPr>
              <w:tabs>
                <w:tab w:val="left" w:pos="3450"/>
              </w:tabs>
              <w:spacing w:before="60" w:after="60"/>
              <w:rPr>
                <w:sz w:val="24"/>
                <w:u w:val="single"/>
                <w:lang w:bidi="en-US"/>
              </w:rPr>
            </w:pPr>
            <w:r w:rsidRPr="0019741D">
              <w:rPr>
                <w:sz w:val="24"/>
                <w:u w:val="single"/>
                <w:lang w:bidi="en-US"/>
              </w:rPr>
              <w:t>Occupational Safety &amp; Health Act (Part II, Section 20 – Duties of Employees)</w:t>
            </w:r>
          </w:p>
          <w:p w:rsidR="001B6C32" w:rsidRPr="0019741D" w:rsidRDefault="00C51FF7" w:rsidP="001B6C32">
            <w:pPr>
              <w:pStyle w:val="ListParagraph"/>
              <w:numPr>
                <w:ilvl w:val="0"/>
                <w:numId w:val="28"/>
              </w:numPr>
              <w:tabs>
                <w:tab w:val="left" w:pos="3450"/>
              </w:tabs>
              <w:spacing w:before="60" w:after="60"/>
              <w:contextualSpacing w:val="0"/>
              <w:rPr>
                <w:sz w:val="24"/>
                <w:lang w:bidi="en-US"/>
              </w:rPr>
            </w:pPr>
            <w:r w:rsidRPr="0019741D">
              <w:rPr>
                <w:sz w:val="24"/>
                <w:lang w:bidi="en-US"/>
              </w:rPr>
              <w:t>a</w:t>
            </w:r>
            <w:r w:rsidR="001B6C32" w:rsidRPr="0019741D">
              <w:rPr>
                <w:sz w:val="24"/>
                <w:lang w:bidi="en-US"/>
              </w:rPr>
              <w:t xml:space="preserve">n employee shall take reasonable care – </w:t>
            </w:r>
          </w:p>
          <w:p w:rsidR="001B6C32" w:rsidRPr="0019741D" w:rsidRDefault="00C51FF7" w:rsidP="001B6C32">
            <w:pPr>
              <w:pStyle w:val="ListParagraph"/>
              <w:numPr>
                <w:ilvl w:val="0"/>
                <w:numId w:val="27"/>
              </w:numPr>
              <w:tabs>
                <w:tab w:val="left" w:pos="3450"/>
              </w:tabs>
              <w:spacing w:before="60" w:after="60"/>
              <w:ind w:left="1080"/>
              <w:contextualSpacing w:val="0"/>
              <w:rPr>
                <w:sz w:val="24"/>
                <w:lang w:bidi="en-US"/>
              </w:rPr>
            </w:pPr>
            <w:r w:rsidRPr="0019741D">
              <w:rPr>
                <w:sz w:val="24"/>
                <w:lang w:bidi="en-US"/>
              </w:rPr>
              <w:t>t</w:t>
            </w:r>
            <w:r w:rsidR="001B6C32" w:rsidRPr="0019741D">
              <w:rPr>
                <w:sz w:val="24"/>
                <w:lang w:bidi="en-US"/>
              </w:rPr>
              <w:t>o ensure</w:t>
            </w:r>
            <w:r w:rsidR="001B6C32" w:rsidRPr="0019741D">
              <w:rPr>
                <w:sz w:val="24"/>
              </w:rPr>
              <w:t xml:space="preserve"> h</w:t>
            </w:r>
            <w:r w:rsidR="001B6C32" w:rsidRPr="0019741D">
              <w:rPr>
                <w:sz w:val="24"/>
                <w:lang w:bidi="en-US"/>
              </w:rPr>
              <w:t>is or her own safety and health at work; and</w:t>
            </w:r>
          </w:p>
          <w:p w:rsidR="001B6C32" w:rsidRPr="0019741D" w:rsidRDefault="00C51FF7" w:rsidP="001B6C32">
            <w:pPr>
              <w:pStyle w:val="ListParagraph"/>
              <w:numPr>
                <w:ilvl w:val="0"/>
                <w:numId w:val="27"/>
              </w:numPr>
              <w:tabs>
                <w:tab w:val="left" w:pos="3450"/>
              </w:tabs>
              <w:spacing w:before="60" w:after="60"/>
              <w:ind w:left="1080"/>
              <w:contextualSpacing w:val="0"/>
              <w:rPr>
                <w:sz w:val="24"/>
                <w:lang w:bidi="en-US"/>
              </w:rPr>
            </w:pPr>
            <w:r w:rsidRPr="0019741D">
              <w:rPr>
                <w:sz w:val="24"/>
                <w:lang w:bidi="en-US"/>
              </w:rPr>
              <w:t>t</w:t>
            </w:r>
            <w:r w:rsidR="001B6C32" w:rsidRPr="0019741D">
              <w:rPr>
                <w:sz w:val="24"/>
                <w:lang w:bidi="en-US"/>
              </w:rPr>
              <w:t>o avoid adversely affecting the safety or health of any other person through any act or omission at work</w:t>
            </w:r>
          </w:p>
        </w:tc>
      </w:tr>
    </w:tbl>
    <w:p w:rsidR="00C51FF7" w:rsidRDefault="00C51FF7" w:rsidP="00525A37">
      <w:pPr>
        <w:rPr>
          <w:b/>
          <w:lang w:val="en-US" w:bidi="en-US"/>
        </w:rPr>
      </w:pPr>
    </w:p>
    <w:p w:rsidR="00525A37" w:rsidRPr="00525A37" w:rsidRDefault="00C0180C" w:rsidP="00C0180C">
      <w:pPr>
        <w:pStyle w:val="Heading3"/>
      </w:pPr>
      <w:bookmarkStart w:id="6" w:name="_Toc536621242"/>
      <w:r w:rsidRPr="00525A37">
        <w:rPr>
          <w:caps w:val="0"/>
        </w:rPr>
        <w:t>WHS/OSH REGULATIONS:</w:t>
      </w:r>
      <w:bookmarkEnd w:id="6"/>
    </w:p>
    <w:p w:rsidR="001B6C32" w:rsidRPr="0019741D" w:rsidRDefault="001B6C32" w:rsidP="001B6C32">
      <w:pPr>
        <w:pStyle w:val="ListParagraph"/>
        <w:numPr>
          <w:ilvl w:val="0"/>
          <w:numId w:val="26"/>
        </w:numPr>
        <w:rPr>
          <w:sz w:val="24"/>
          <w:lang w:val="en-US" w:bidi="en-US"/>
        </w:rPr>
      </w:pPr>
      <w:r w:rsidRPr="0019741D">
        <w:rPr>
          <w:b/>
          <w:sz w:val="24"/>
          <w:lang w:val="en-US" w:bidi="en-US"/>
        </w:rPr>
        <w:t xml:space="preserve">Regulations </w:t>
      </w:r>
      <w:r w:rsidRPr="0019741D">
        <w:rPr>
          <w:sz w:val="24"/>
          <w:lang w:val="en-US" w:bidi="en-US"/>
        </w:rPr>
        <w:t>outline general du</w:t>
      </w:r>
      <w:r w:rsidR="00740DED" w:rsidRPr="0019741D">
        <w:rPr>
          <w:sz w:val="24"/>
          <w:lang w:val="en-US" w:bidi="en-US"/>
        </w:rPr>
        <w:t>ties as well, but in this case the d</w:t>
      </w:r>
      <w:r w:rsidRPr="0019741D">
        <w:rPr>
          <w:sz w:val="24"/>
          <w:lang w:val="en-US" w:bidi="en-US"/>
        </w:rPr>
        <w:t xml:space="preserve">uties applicable to specific </w:t>
      </w:r>
      <w:r w:rsidR="0019741D" w:rsidRPr="0019741D">
        <w:rPr>
          <w:sz w:val="24"/>
          <w:lang w:val="en-US" w:bidi="en-US"/>
        </w:rPr>
        <w:t xml:space="preserve">situations </w:t>
      </w:r>
      <w:r w:rsidRPr="0019741D">
        <w:rPr>
          <w:sz w:val="24"/>
          <w:lang w:val="en-US" w:bidi="en-US"/>
        </w:rPr>
        <w:t xml:space="preserve">or hazards within the workplaces (Manual handling, </w:t>
      </w:r>
      <w:r w:rsidR="00631E51">
        <w:rPr>
          <w:sz w:val="24"/>
          <w:lang w:val="en-US" w:bidi="en-US"/>
        </w:rPr>
        <w:t>Working with heavy machinery, working at heights etc.</w:t>
      </w:r>
      <w:r w:rsidRPr="0019741D">
        <w:rPr>
          <w:sz w:val="24"/>
          <w:lang w:val="en-US" w:bidi="en-US"/>
        </w:rPr>
        <w:t>).</w:t>
      </w:r>
    </w:p>
    <w:p w:rsidR="00EC26DA" w:rsidRPr="0019741D" w:rsidRDefault="0019741D" w:rsidP="0019741D">
      <w:pPr>
        <w:pStyle w:val="ListParagraph"/>
        <w:numPr>
          <w:ilvl w:val="0"/>
          <w:numId w:val="26"/>
        </w:numPr>
        <w:spacing w:after="0"/>
        <w:rPr>
          <w:sz w:val="24"/>
          <w:lang w:val="en-US" w:bidi="en-US"/>
        </w:rPr>
      </w:pPr>
      <w:r>
        <w:rPr>
          <w:sz w:val="24"/>
          <w:lang w:val="en-US" w:bidi="en-US"/>
        </w:rPr>
        <w:t>Additionally t</w:t>
      </w:r>
      <w:r w:rsidR="00EC26DA" w:rsidRPr="0019741D">
        <w:rPr>
          <w:sz w:val="24"/>
          <w:lang w:val="en-US" w:bidi="en-US"/>
        </w:rPr>
        <w:t>his document provides some information about licensing</w:t>
      </w:r>
      <w:r w:rsidR="00631E51">
        <w:rPr>
          <w:sz w:val="24"/>
          <w:lang w:val="en-US" w:bidi="en-US"/>
        </w:rPr>
        <w:t>(certifications)</w:t>
      </w:r>
      <w:r w:rsidR="00EC26DA" w:rsidRPr="0019741D">
        <w:rPr>
          <w:sz w:val="24"/>
          <w:lang w:val="en-US" w:bidi="en-US"/>
        </w:rPr>
        <w:t>, record keeping and reporting requirements.</w:t>
      </w:r>
    </w:p>
    <w:tbl>
      <w:tblPr>
        <w:tblStyle w:val="TableGrid"/>
        <w:tblW w:w="0" w:type="auto"/>
        <w:tblLook w:val="04A0" w:firstRow="1" w:lastRow="0" w:firstColumn="1" w:lastColumn="0" w:noHBand="0" w:noVBand="1"/>
      </w:tblPr>
      <w:tblGrid>
        <w:gridCol w:w="10656"/>
      </w:tblGrid>
      <w:tr w:rsidR="001B6C32" w:rsidRPr="0019741D" w:rsidTr="001B6C32">
        <w:tc>
          <w:tcPr>
            <w:tcW w:w="10656" w:type="dxa"/>
            <w:shd w:val="clear" w:color="auto" w:fill="E5DFEC" w:themeFill="accent4" w:themeFillTint="33"/>
          </w:tcPr>
          <w:p w:rsidR="001B6C32" w:rsidRPr="0019741D" w:rsidRDefault="001B6C32" w:rsidP="008F2945">
            <w:pPr>
              <w:spacing w:before="60" w:after="60"/>
              <w:rPr>
                <w:sz w:val="24"/>
                <w:lang w:bidi="en-US"/>
              </w:rPr>
            </w:pPr>
            <w:r w:rsidRPr="0019741D">
              <w:rPr>
                <w:sz w:val="24"/>
                <w:lang w:bidi="en-US"/>
              </w:rPr>
              <w:t xml:space="preserve">Example: </w:t>
            </w:r>
          </w:p>
          <w:p w:rsidR="001B6C32" w:rsidRPr="0019741D" w:rsidRDefault="001B6C32" w:rsidP="008F2945">
            <w:pPr>
              <w:tabs>
                <w:tab w:val="left" w:pos="3450"/>
              </w:tabs>
              <w:spacing w:before="60" w:after="60"/>
              <w:rPr>
                <w:sz w:val="24"/>
                <w:u w:val="single"/>
                <w:lang w:bidi="en-US"/>
              </w:rPr>
            </w:pPr>
            <w:r w:rsidRPr="0019741D">
              <w:rPr>
                <w:sz w:val="24"/>
                <w:u w:val="single"/>
                <w:lang w:bidi="en-US"/>
              </w:rPr>
              <w:t xml:space="preserve">Occupational Safety &amp; Health Regulations (Part </w:t>
            </w:r>
            <w:r w:rsidR="008F2945" w:rsidRPr="0019741D">
              <w:rPr>
                <w:sz w:val="24"/>
                <w:u w:val="single"/>
                <w:lang w:bidi="en-US"/>
              </w:rPr>
              <w:t>3, Section 3.17</w:t>
            </w:r>
            <w:r w:rsidRPr="0019741D">
              <w:rPr>
                <w:sz w:val="24"/>
                <w:u w:val="single"/>
                <w:lang w:bidi="en-US"/>
              </w:rPr>
              <w:t xml:space="preserve"> – </w:t>
            </w:r>
            <w:r w:rsidR="008F2945" w:rsidRPr="0019741D">
              <w:rPr>
                <w:sz w:val="24"/>
                <w:u w:val="single"/>
                <w:lang w:bidi="en-US"/>
              </w:rPr>
              <w:t>Cleanliness of workplace…</w:t>
            </w:r>
            <w:r w:rsidRPr="0019741D">
              <w:rPr>
                <w:sz w:val="24"/>
                <w:u w:val="single"/>
                <w:lang w:bidi="en-US"/>
              </w:rPr>
              <w:t>)</w:t>
            </w:r>
          </w:p>
          <w:p w:rsidR="008F2945" w:rsidRPr="0019741D" w:rsidRDefault="008F2945" w:rsidP="008F2945">
            <w:pPr>
              <w:pStyle w:val="ListParagraph"/>
              <w:numPr>
                <w:ilvl w:val="0"/>
                <w:numId w:val="29"/>
              </w:numPr>
              <w:tabs>
                <w:tab w:val="left" w:pos="3450"/>
              </w:tabs>
              <w:spacing w:before="60" w:after="60"/>
              <w:contextualSpacing w:val="0"/>
              <w:rPr>
                <w:sz w:val="24"/>
                <w:lang w:bidi="en-US"/>
              </w:rPr>
            </w:pPr>
            <w:r w:rsidRPr="0019741D">
              <w:rPr>
                <w:sz w:val="24"/>
                <w:lang w:bidi="en-US"/>
              </w:rPr>
              <w:t xml:space="preserve">person who, at a workplace, is an employer, the main contractor, a self-employed person or a person having control of the workplace must ensure that — </w:t>
            </w:r>
          </w:p>
          <w:p w:rsidR="008F2945" w:rsidRPr="0019741D" w:rsidRDefault="008F2945" w:rsidP="008F2945">
            <w:pPr>
              <w:pStyle w:val="ListParagraph"/>
              <w:numPr>
                <w:ilvl w:val="0"/>
                <w:numId w:val="30"/>
              </w:numPr>
              <w:tabs>
                <w:tab w:val="left" w:pos="3450"/>
              </w:tabs>
              <w:spacing w:before="60" w:after="60"/>
              <w:contextualSpacing w:val="0"/>
              <w:rPr>
                <w:sz w:val="24"/>
                <w:lang w:bidi="en-US"/>
              </w:rPr>
            </w:pPr>
            <w:r w:rsidRPr="0019741D">
              <w:rPr>
                <w:sz w:val="24"/>
                <w:lang w:bidi="en-US"/>
              </w:rPr>
              <w:t xml:space="preserve">the workplace and other areas ancillary to the workplace are maintained in such clean condition as is necessary to avoid hazards to persons at the workplace; and </w:t>
            </w:r>
          </w:p>
          <w:p w:rsidR="001B6C32" w:rsidRPr="0019741D" w:rsidRDefault="008F2945" w:rsidP="008F2945">
            <w:pPr>
              <w:pStyle w:val="ListParagraph"/>
              <w:numPr>
                <w:ilvl w:val="0"/>
                <w:numId w:val="30"/>
              </w:numPr>
              <w:tabs>
                <w:tab w:val="left" w:pos="3450"/>
              </w:tabs>
              <w:spacing w:before="60" w:after="60"/>
              <w:contextualSpacing w:val="0"/>
              <w:rPr>
                <w:sz w:val="24"/>
                <w:lang w:bidi="en-US"/>
              </w:rPr>
            </w:pPr>
            <w:r w:rsidRPr="0019741D">
              <w:rPr>
                <w:sz w:val="24"/>
                <w:lang w:bidi="en-US"/>
              </w:rPr>
              <w:t>where practicable, rubbish and debris are removed by mechanical means; and</w:t>
            </w:r>
          </w:p>
        </w:tc>
      </w:tr>
    </w:tbl>
    <w:p w:rsidR="00C51FF7" w:rsidRDefault="00C51FF7" w:rsidP="001B6C32">
      <w:pPr>
        <w:rPr>
          <w:lang w:val="en-US" w:bidi="en-US"/>
        </w:rPr>
      </w:pPr>
    </w:p>
    <w:p w:rsidR="00C51FF7" w:rsidRPr="00C51FF7" w:rsidRDefault="00C0180C" w:rsidP="00C0180C">
      <w:pPr>
        <w:pStyle w:val="Heading3"/>
      </w:pPr>
      <w:bookmarkStart w:id="7" w:name="_Toc536621243"/>
      <w:r w:rsidRPr="00C51FF7">
        <w:rPr>
          <w:caps w:val="0"/>
        </w:rPr>
        <w:t>CODES OF PRACTICES:</w:t>
      </w:r>
      <w:bookmarkEnd w:id="7"/>
    </w:p>
    <w:p w:rsidR="00EC26DA" w:rsidRPr="0019741D" w:rsidRDefault="0019741D" w:rsidP="00EC26DA">
      <w:pPr>
        <w:pStyle w:val="ListParagraph"/>
        <w:numPr>
          <w:ilvl w:val="0"/>
          <w:numId w:val="31"/>
        </w:numPr>
        <w:rPr>
          <w:sz w:val="24"/>
          <w:lang w:val="en-US" w:bidi="en-US"/>
        </w:rPr>
      </w:pPr>
      <w:r w:rsidRPr="0019741D">
        <w:rPr>
          <w:b/>
          <w:sz w:val="24"/>
          <w:lang w:val="en-US" w:bidi="en-US"/>
        </w:rPr>
        <w:t>Codes of Practices</w:t>
      </w:r>
      <w:r w:rsidRPr="0019741D">
        <w:rPr>
          <w:sz w:val="24"/>
          <w:lang w:val="en-US" w:bidi="en-US"/>
        </w:rPr>
        <w:t xml:space="preserve"> are a set of documents </w:t>
      </w:r>
      <w:r>
        <w:rPr>
          <w:sz w:val="24"/>
          <w:lang w:val="en-US" w:bidi="en-US"/>
        </w:rPr>
        <w:t>developed by WHS Authorities to</w:t>
      </w:r>
      <w:r w:rsidRPr="0019741D">
        <w:rPr>
          <w:sz w:val="24"/>
          <w:lang w:val="en-US" w:bidi="en-US"/>
        </w:rPr>
        <w:t xml:space="preserve"> p</w:t>
      </w:r>
      <w:r w:rsidR="00C51FF7" w:rsidRPr="0019741D">
        <w:rPr>
          <w:sz w:val="24"/>
          <w:lang w:val="en-US" w:bidi="en-US"/>
        </w:rPr>
        <w:t>rovide specific advice</w:t>
      </w:r>
      <w:r w:rsidR="00EC26DA" w:rsidRPr="0019741D">
        <w:rPr>
          <w:sz w:val="24"/>
          <w:lang w:val="en-US" w:bidi="en-US"/>
        </w:rPr>
        <w:t xml:space="preserve"> and </w:t>
      </w:r>
      <w:r>
        <w:rPr>
          <w:sz w:val="24"/>
          <w:lang w:val="en-US" w:bidi="en-US"/>
        </w:rPr>
        <w:t>recommendations about how to meet the requirements set in Acts and Regulations.</w:t>
      </w:r>
    </w:p>
    <w:p w:rsidR="00EC7DC3" w:rsidRPr="0019741D" w:rsidRDefault="00EC26DA" w:rsidP="0019741D">
      <w:pPr>
        <w:pStyle w:val="ListParagraph"/>
        <w:numPr>
          <w:ilvl w:val="0"/>
          <w:numId w:val="31"/>
        </w:numPr>
        <w:spacing w:after="0"/>
        <w:rPr>
          <w:sz w:val="24"/>
          <w:lang w:val="en-US" w:bidi="en-US"/>
        </w:rPr>
      </w:pPr>
      <w:r w:rsidRPr="0019741D">
        <w:rPr>
          <w:sz w:val="24"/>
          <w:lang w:val="en-US" w:bidi="en-US"/>
        </w:rPr>
        <w:t>Code</w:t>
      </w:r>
      <w:r w:rsidR="0019741D">
        <w:rPr>
          <w:sz w:val="24"/>
          <w:lang w:val="en-US" w:bidi="en-US"/>
        </w:rPr>
        <w:t>s</w:t>
      </w:r>
      <w:r w:rsidRPr="0019741D">
        <w:rPr>
          <w:sz w:val="24"/>
          <w:lang w:val="en-US" w:bidi="en-US"/>
        </w:rPr>
        <w:t xml:space="preserve"> of Practices</w:t>
      </w:r>
      <w:r w:rsidR="00C51FF7" w:rsidRPr="0019741D">
        <w:rPr>
          <w:sz w:val="24"/>
          <w:lang w:val="en-US" w:bidi="en-US"/>
        </w:rPr>
        <w:t xml:space="preserve"> are not </w:t>
      </w:r>
      <w:r w:rsidR="00EC7DC3" w:rsidRPr="0019741D">
        <w:rPr>
          <w:sz w:val="24"/>
          <w:lang w:val="en-US" w:bidi="en-US"/>
        </w:rPr>
        <w:t>legally enforcea</w:t>
      </w:r>
      <w:r w:rsidRPr="0019741D">
        <w:rPr>
          <w:sz w:val="24"/>
          <w:lang w:val="en-US" w:bidi="en-US"/>
        </w:rPr>
        <w:t xml:space="preserve">ble by themselves but </w:t>
      </w:r>
      <w:r w:rsidR="00EC7DC3" w:rsidRPr="0019741D">
        <w:rPr>
          <w:sz w:val="24"/>
          <w:lang w:val="en-US" w:bidi="en-US"/>
        </w:rPr>
        <w:t xml:space="preserve">they can be used as evidence to show </w:t>
      </w:r>
      <w:r w:rsidRPr="0019741D">
        <w:rPr>
          <w:sz w:val="24"/>
          <w:lang w:val="en-US" w:bidi="en-US"/>
        </w:rPr>
        <w:t xml:space="preserve">that organisation </w:t>
      </w:r>
      <w:r w:rsidR="00EC7DC3" w:rsidRPr="0019741D">
        <w:rPr>
          <w:sz w:val="24"/>
          <w:lang w:val="en-US" w:bidi="en-US"/>
        </w:rPr>
        <w:t xml:space="preserve">does </w:t>
      </w:r>
      <w:r w:rsidRPr="0019741D">
        <w:rPr>
          <w:sz w:val="24"/>
          <w:lang w:val="en-US" w:bidi="en-US"/>
        </w:rPr>
        <w:t>or does not</w:t>
      </w:r>
      <w:r w:rsidR="00EC7DC3" w:rsidRPr="0019741D">
        <w:rPr>
          <w:sz w:val="24"/>
          <w:lang w:val="en-US" w:bidi="en-US"/>
        </w:rPr>
        <w:t xml:space="preserve"> comply with the law.</w:t>
      </w:r>
    </w:p>
    <w:tbl>
      <w:tblPr>
        <w:tblStyle w:val="TableGrid"/>
        <w:tblW w:w="0" w:type="auto"/>
        <w:tblLook w:val="04A0" w:firstRow="1" w:lastRow="0" w:firstColumn="1" w:lastColumn="0" w:noHBand="0" w:noVBand="1"/>
      </w:tblPr>
      <w:tblGrid>
        <w:gridCol w:w="10656"/>
      </w:tblGrid>
      <w:tr w:rsidR="00C51FF7" w:rsidRPr="0019741D" w:rsidTr="00C51FF7">
        <w:tc>
          <w:tcPr>
            <w:tcW w:w="10656" w:type="dxa"/>
            <w:shd w:val="clear" w:color="auto" w:fill="E5DFEC" w:themeFill="accent4" w:themeFillTint="33"/>
          </w:tcPr>
          <w:p w:rsidR="00C51FF7" w:rsidRPr="0019741D" w:rsidRDefault="00C51FF7" w:rsidP="00C51FF7">
            <w:pPr>
              <w:spacing w:before="60" w:after="60"/>
              <w:rPr>
                <w:sz w:val="24"/>
                <w:lang w:bidi="en-US"/>
              </w:rPr>
            </w:pPr>
            <w:r w:rsidRPr="0019741D">
              <w:rPr>
                <w:sz w:val="24"/>
                <w:lang w:bidi="en-US"/>
              </w:rPr>
              <w:t>Example:</w:t>
            </w:r>
          </w:p>
          <w:p w:rsidR="00C51FF7" w:rsidRPr="0019741D" w:rsidRDefault="00EE26DF" w:rsidP="00C51FF7">
            <w:pPr>
              <w:spacing w:before="60" w:after="60"/>
              <w:rPr>
                <w:sz w:val="24"/>
                <w:u w:val="single"/>
                <w:lang w:bidi="en-US"/>
              </w:rPr>
            </w:pPr>
            <w:r w:rsidRPr="0019741D">
              <w:rPr>
                <w:sz w:val="24"/>
                <w:u w:val="single"/>
                <w:lang w:bidi="en-US"/>
              </w:rPr>
              <w:t>Model Code of Practice for Managing the Work Environment and Facilities</w:t>
            </w:r>
          </w:p>
          <w:p w:rsidR="00C51FF7" w:rsidRPr="0019741D" w:rsidRDefault="00C51FF7" w:rsidP="00C51FF7">
            <w:pPr>
              <w:pStyle w:val="ListParagraph"/>
              <w:numPr>
                <w:ilvl w:val="0"/>
                <w:numId w:val="32"/>
              </w:numPr>
              <w:spacing w:before="60" w:after="60"/>
              <w:contextualSpacing w:val="0"/>
              <w:rPr>
                <w:sz w:val="24"/>
                <w:lang w:bidi="en-US"/>
              </w:rPr>
            </w:pPr>
            <w:r w:rsidRPr="0019741D">
              <w:rPr>
                <w:sz w:val="24"/>
                <w:lang w:bidi="en-US"/>
              </w:rPr>
              <w:t xml:space="preserve">This Code of Practice </w:t>
            </w:r>
            <w:r w:rsidR="0019741D">
              <w:rPr>
                <w:sz w:val="24"/>
                <w:lang w:bidi="en-US"/>
              </w:rPr>
              <w:t>provides advice on how to</w:t>
            </w:r>
            <w:r w:rsidR="00EE26DF" w:rsidRPr="0019741D">
              <w:rPr>
                <w:sz w:val="24"/>
                <w:lang w:bidi="en-US"/>
              </w:rPr>
              <w:t xml:space="preserve"> maintain a risk-free, safe and healthy physical work environment;</w:t>
            </w:r>
          </w:p>
          <w:p w:rsidR="00C51FF7" w:rsidRPr="0019741D" w:rsidRDefault="00C51FF7" w:rsidP="0086093F">
            <w:pPr>
              <w:pStyle w:val="ListParagraph"/>
              <w:numPr>
                <w:ilvl w:val="0"/>
                <w:numId w:val="32"/>
              </w:numPr>
              <w:spacing w:before="60" w:after="60"/>
              <w:contextualSpacing w:val="0"/>
              <w:rPr>
                <w:sz w:val="24"/>
                <w:lang w:bidi="en-US"/>
              </w:rPr>
            </w:pPr>
            <w:r w:rsidRPr="0019741D">
              <w:rPr>
                <w:sz w:val="24"/>
                <w:lang w:bidi="en-US"/>
              </w:rPr>
              <w:t xml:space="preserve">Outlines the requirements for </w:t>
            </w:r>
            <w:r w:rsidR="0086093F" w:rsidRPr="0019741D">
              <w:rPr>
                <w:sz w:val="24"/>
                <w:lang w:bidi="en-US"/>
              </w:rPr>
              <w:t>the physical work environment and welfare facilities, provides guidance for specific types of work and explains how to prepare emergency procedures.</w:t>
            </w:r>
          </w:p>
        </w:tc>
      </w:tr>
    </w:tbl>
    <w:p w:rsidR="00EC7DC3" w:rsidRPr="00EC7DC3" w:rsidRDefault="00C0180C" w:rsidP="00C0180C">
      <w:pPr>
        <w:pStyle w:val="Heading3"/>
      </w:pPr>
      <w:bookmarkStart w:id="8" w:name="_Toc536621244"/>
      <w:r w:rsidRPr="00EC7DC3">
        <w:rPr>
          <w:caps w:val="0"/>
        </w:rPr>
        <w:lastRenderedPageBreak/>
        <w:t>AS/NZ STANDARDS:</w:t>
      </w:r>
      <w:bookmarkEnd w:id="8"/>
    </w:p>
    <w:p w:rsidR="0019741D" w:rsidRDefault="00EC7DC3" w:rsidP="00EC26DA">
      <w:pPr>
        <w:pStyle w:val="ListParagraph"/>
        <w:numPr>
          <w:ilvl w:val="0"/>
          <w:numId w:val="32"/>
        </w:numPr>
        <w:rPr>
          <w:sz w:val="24"/>
          <w:lang w:val="en-US" w:bidi="en-US"/>
        </w:rPr>
      </w:pPr>
      <w:r w:rsidRPr="0019741D">
        <w:rPr>
          <w:b/>
          <w:sz w:val="24"/>
          <w:lang w:val="en-US" w:bidi="en-US"/>
        </w:rPr>
        <w:t>Australian</w:t>
      </w:r>
      <w:r w:rsidR="0019741D" w:rsidRPr="0019741D">
        <w:rPr>
          <w:b/>
          <w:sz w:val="24"/>
          <w:lang w:val="en-US" w:bidi="en-US"/>
        </w:rPr>
        <w:t>/New Zealand and International</w:t>
      </w:r>
      <w:r w:rsidRPr="0019741D">
        <w:rPr>
          <w:b/>
          <w:sz w:val="24"/>
          <w:lang w:val="en-US" w:bidi="en-US"/>
        </w:rPr>
        <w:t xml:space="preserve"> Standards</w:t>
      </w:r>
      <w:r w:rsidRPr="0019741D">
        <w:rPr>
          <w:sz w:val="24"/>
          <w:lang w:val="en-US" w:bidi="en-US"/>
        </w:rPr>
        <w:t xml:space="preserve"> are standards of quality control and apply to nearly ev</w:t>
      </w:r>
      <w:r w:rsidR="0019741D">
        <w:rPr>
          <w:sz w:val="24"/>
          <w:lang w:val="en-US" w:bidi="en-US"/>
        </w:rPr>
        <w:t>erything from meat pies to windows</w:t>
      </w:r>
      <w:r w:rsidRPr="0019741D">
        <w:rPr>
          <w:sz w:val="24"/>
          <w:lang w:val="en-US" w:bidi="en-US"/>
        </w:rPr>
        <w:t xml:space="preserve"> (panes of glass on busses have the Standards Australia logo on them, showing they </w:t>
      </w:r>
      <w:r w:rsidR="0019741D">
        <w:rPr>
          <w:sz w:val="24"/>
          <w:lang w:val="en-US" w:bidi="en-US"/>
        </w:rPr>
        <w:t>passed the quality check</w:t>
      </w:r>
      <w:r w:rsidRPr="0019741D">
        <w:rPr>
          <w:sz w:val="24"/>
          <w:lang w:val="en-US" w:bidi="en-US"/>
        </w:rPr>
        <w:t xml:space="preserve">). </w:t>
      </w:r>
    </w:p>
    <w:p w:rsidR="00EC7DC3" w:rsidRPr="0019741D" w:rsidRDefault="00EC26DA" w:rsidP="0019741D">
      <w:pPr>
        <w:pStyle w:val="ListParagraph"/>
        <w:numPr>
          <w:ilvl w:val="0"/>
          <w:numId w:val="32"/>
        </w:numPr>
        <w:spacing w:after="0"/>
        <w:rPr>
          <w:sz w:val="24"/>
          <w:lang w:val="en-US" w:bidi="en-US"/>
        </w:rPr>
      </w:pPr>
      <w:r w:rsidRPr="0019741D">
        <w:rPr>
          <w:sz w:val="24"/>
          <w:lang w:val="en-US" w:bidi="en-US"/>
        </w:rPr>
        <w:t>These standards are necessary to ensure that any risk control measures, processes or equipment used are consistent and reliable.</w:t>
      </w:r>
    </w:p>
    <w:tbl>
      <w:tblPr>
        <w:tblStyle w:val="TableGrid"/>
        <w:tblW w:w="0" w:type="auto"/>
        <w:tblLook w:val="04A0" w:firstRow="1" w:lastRow="0" w:firstColumn="1" w:lastColumn="0" w:noHBand="0" w:noVBand="1"/>
      </w:tblPr>
      <w:tblGrid>
        <w:gridCol w:w="10656"/>
      </w:tblGrid>
      <w:tr w:rsidR="00EC7DC3" w:rsidRPr="0019741D" w:rsidTr="00EC7DC3">
        <w:tc>
          <w:tcPr>
            <w:tcW w:w="10656" w:type="dxa"/>
            <w:shd w:val="clear" w:color="auto" w:fill="E5DFEC" w:themeFill="accent4" w:themeFillTint="33"/>
          </w:tcPr>
          <w:p w:rsidR="00EC7DC3" w:rsidRPr="0019741D" w:rsidRDefault="00EC7DC3" w:rsidP="00EC7DC3">
            <w:pPr>
              <w:spacing w:before="60" w:after="60"/>
              <w:rPr>
                <w:sz w:val="24"/>
                <w:lang w:bidi="en-US"/>
              </w:rPr>
            </w:pPr>
            <w:r w:rsidRPr="0019741D">
              <w:rPr>
                <w:sz w:val="24"/>
                <w:lang w:bidi="en-US"/>
              </w:rPr>
              <w:t>Example:</w:t>
            </w:r>
          </w:p>
          <w:p w:rsidR="00EC7DC3" w:rsidRPr="0019741D" w:rsidRDefault="00EC7DC3" w:rsidP="00EC7DC3">
            <w:pPr>
              <w:spacing w:before="60" w:after="60"/>
              <w:rPr>
                <w:sz w:val="24"/>
                <w:u w:val="single"/>
                <w:lang w:bidi="en-US"/>
              </w:rPr>
            </w:pPr>
            <w:r w:rsidRPr="0019741D">
              <w:rPr>
                <w:sz w:val="24"/>
                <w:u w:val="single"/>
                <w:lang w:bidi="en-US"/>
              </w:rPr>
              <w:t>National Standard for Occupational Noise</w:t>
            </w:r>
          </w:p>
          <w:p w:rsidR="00EC7DC3" w:rsidRPr="0019741D" w:rsidRDefault="00EC7DC3" w:rsidP="00EC7DC3">
            <w:pPr>
              <w:pStyle w:val="ListParagraph"/>
              <w:numPr>
                <w:ilvl w:val="0"/>
                <w:numId w:val="33"/>
              </w:numPr>
              <w:spacing w:before="60" w:after="60"/>
              <w:contextualSpacing w:val="0"/>
              <w:rPr>
                <w:sz w:val="24"/>
                <w:lang w:bidi="en-US"/>
              </w:rPr>
            </w:pPr>
            <w:r w:rsidRPr="0019741D">
              <w:rPr>
                <w:sz w:val="24"/>
                <w:lang w:bidi="en-US"/>
              </w:rPr>
              <w:t>This standard provides the requirements applicable to acceptable levels of noise in places of work with consideration to Sound volume, sound pressure level, and amounts of acceptable exposure.</w:t>
            </w:r>
          </w:p>
        </w:tc>
      </w:tr>
    </w:tbl>
    <w:p w:rsidR="00124E0B" w:rsidRPr="0019741D" w:rsidRDefault="00124E0B" w:rsidP="00C51FF7">
      <w:pPr>
        <w:rPr>
          <w:sz w:val="24"/>
          <w:lang w:val="en-US" w:bidi="en-US"/>
        </w:rPr>
      </w:pPr>
    </w:p>
    <w:p w:rsidR="00C0180C" w:rsidRDefault="0019741D" w:rsidP="00C0180C">
      <w:pPr>
        <w:pStyle w:val="Heading2"/>
      </w:pPr>
      <w:bookmarkStart w:id="9" w:name="_Toc536621245"/>
      <w:r>
        <w:t xml:space="preserve">WHERE TO FIND </w:t>
      </w:r>
      <w:r w:rsidR="00C0180C">
        <w:t>WHS INFORMATION</w:t>
      </w:r>
      <w:bookmarkEnd w:id="9"/>
    </w:p>
    <w:p w:rsidR="0019741D" w:rsidRDefault="001D3AA8" w:rsidP="0019741D">
      <w:pPr>
        <w:rPr>
          <w:sz w:val="24"/>
          <w:lang w:val="en-US" w:bidi="en-US"/>
        </w:rPr>
      </w:pPr>
      <w:r w:rsidRPr="001D3AA8">
        <w:rPr>
          <w:sz w:val="24"/>
          <w:lang w:val="en-US" w:bidi="en-US"/>
        </w:rPr>
        <w:t>Relevant WHS information can be found both within the organisation you are working for and outside of it.</w:t>
      </w:r>
      <w:r>
        <w:rPr>
          <w:sz w:val="24"/>
          <w:lang w:val="en-US" w:bidi="en-US"/>
        </w:rPr>
        <w:t xml:space="preserve"> This is referred to as </w:t>
      </w:r>
      <w:r w:rsidRPr="001D3AA8">
        <w:rPr>
          <w:sz w:val="24"/>
          <w:u w:val="single"/>
          <w:lang w:val="en-US" w:bidi="en-US"/>
        </w:rPr>
        <w:t xml:space="preserve">Internal </w:t>
      </w:r>
      <w:r>
        <w:rPr>
          <w:sz w:val="24"/>
          <w:lang w:val="en-US" w:bidi="en-US"/>
        </w:rPr>
        <w:t xml:space="preserve">and </w:t>
      </w:r>
      <w:r w:rsidRPr="001D3AA8">
        <w:rPr>
          <w:sz w:val="24"/>
          <w:u w:val="single"/>
          <w:lang w:val="en-US" w:bidi="en-US"/>
        </w:rPr>
        <w:t>External</w:t>
      </w:r>
      <w:r>
        <w:rPr>
          <w:sz w:val="24"/>
          <w:lang w:val="en-US" w:bidi="en-US"/>
        </w:rPr>
        <w:t xml:space="preserve"> sources of information.</w:t>
      </w:r>
    </w:p>
    <w:p w:rsidR="001D3AA8" w:rsidRDefault="00932CAC" w:rsidP="001D3AA8">
      <w:pPr>
        <w:pStyle w:val="Heading3"/>
      </w:pPr>
      <w:bookmarkStart w:id="10" w:name="_Toc536621246"/>
      <w:r>
        <w:rPr>
          <w:caps w:val="0"/>
        </w:rPr>
        <w:t>EXTERNAL SOURCES</w:t>
      </w:r>
      <w:bookmarkEnd w:id="10"/>
    </w:p>
    <w:p w:rsidR="001D3AA8" w:rsidRPr="001D3AA8" w:rsidRDefault="001D3AA8" w:rsidP="0019741D">
      <w:pPr>
        <w:rPr>
          <w:sz w:val="24"/>
          <w:lang w:val="en-US" w:bidi="en-US"/>
        </w:rPr>
      </w:pPr>
      <w:r>
        <w:rPr>
          <w:sz w:val="24"/>
          <w:lang w:val="en-US" w:bidi="en-US"/>
        </w:rPr>
        <w:t>The best and most reliable external source of WHS information is from the WHS Authorities in Australia. Additionally you may find information from the organisations specialising in Work Health and Safety.</w:t>
      </w:r>
    </w:p>
    <w:p w:rsidR="00124E0B" w:rsidRPr="001D3AA8" w:rsidRDefault="00002B87" w:rsidP="001D3AA8">
      <w:pPr>
        <w:rPr>
          <w:b/>
          <w:sz w:val="24"/>
          <w:lang w:val="en-US" w:bidi="en-US"/>
        </w:rPr>
      </w:pPr>
      <w:r w:rsidRPr="001D3AA8">
        <w:rPr>
          <w:b/>
          <w:sz w:val="24"/>
          <w:lang w:val="en-US" w:bidi="en-US"/>
        </w:rPr>
        <w:t xml:space="preserve">National </w:t>
      </w:r>
      <w:r w:rsidR="001D3AA8">
        <w:rPr>
          <w:b/>
          <w:sz w:val="24"/>
          <w:lang w:val="en-US" w:bidi="en-US"/>
        </w:rPr>
        <w:t xml:space="preserve">WHS </w:t>
      </w:r>
      <w:r w:rsidRPr="001D3AA8">
        <w:rPr>
          <w:b/>
          <w:sz w:val="24"/>
          <w:lang w:val="en-US" w:bidi="en-US"/>
        </w:rPr>
        <w:t>Authorities</w:t>
      </w:r>
    </w:p>
    <w:p w:rsidR="00124E0B" w:rsidRPr="001D3AA8" w:rsidRDefault="00124E0B" w:rsidP="00002B87">
      <w:pPr>
        <w:spacing w:after="120"/>
        <w:rPr>
          <w:sz w:val="24"/>
          <w:u w:val="single"/>
          <w:lang w:val="en-US" w:bidi="en-US"/>
        </w:rPr>
      </w:pPr>
      <w:r w:rsidRPr="001D3AA8">
        <w:rPr>
          <w:sz w:val="24"/>
          <w:u w:val="single"/>
          <w:lang w:val="en-US" w:bidi="en-US"/>
        </w:rPr>
        <w:t xml:space="preserve">WorkSafe Australia </w:t>
      </w:r>
    </w:p>
    <w:p w:rsidR="00124E0B" w:rsidRPr="001D3AA8" w:rsidRDefault="00124E0B" w:rsidP="00002B87">
      <w:pPr>
        <w:pStyle w:val="ListParagraph"/>
        <w:numPr>
          <w:ilvl w:val="0"/>
          <w:numId w:val="34"/>
        </w:numPr>
        <w:spacing w:after="120"/>
        <w:contextualSpacing w:val="0"/>
        <w:rPr>
          <w:sz w:val="24"/>
          <w:lang w:val="en-US" w:bidi="en-US"/>
        </w:rPr>
      </w:pPr>
      <w:r w:rsidRPr="001D3AA8">
        <w:rPr>
          <w:sz w:val="24"/>
          <w:lang w:val="en-US" w:bidi="en-US"/>
        </w:rPr>
        <w:t xml:space="preserve">Workplace Safety Australia was created in the year 2000 and is a leading National WHS advisory and information provider to Australian companies.  </w:t>
      </w:r>
    </w:p>
    <w:p w:rsidR="000E43D3" w:rsidRPr="001D3AA8" w:rsidRDefault="001D3AA8" w:rsidP="000E43D3">
      <w:pPr>
        <w:pStyle w:val="ListParagraph"/>
        <w:numPr>
          <w:ilvl w:val="1"/>
          <w:numId w:val="34"/>
        </w:numPr>
        <w:spacing w:after="120"/>
        <w:contextualSpacing w:val="0"/>
        <w:rPr>
          <w:sz w:val="24"/>
          <w:lang w:val="en-US" w:bidi="en-US"/>
        </w:rPr>
      </w:pPr>
      <w:r>
        <w:rPr>
          <w:sz w:val="24"/>
          <w:lang w:val="en-US" w:bidi="en-US"/>
        </w:rPr>
        <w:t xml:space="preserve">Provides services such as work health and safety consultation, </w:t>
      </w:r>
      <w:r w:rsidR="000E43D3" w:rsidRPr="001D3AA8">
        <w:rPr>
          <w:sz w:val="24"/>
          <w:lang w:val="en-US" w:bidi="en-US"/>
        </w:rPr>
        <w:t xml:space="preserve">training and auditing, </w:t>
      </w:r>
      <w:r>
        <w:rPr>
          <w:sz w:val="24"/>
          <w:lang w:val="en-US" w:bidi="en-US"/>
        </w:rPr>
        <w:t xml:space="preserve">and </w:t>
      </w:r>
      <w:r w:rsidR="000E43D3" w:rsidRPr="001D3AA8">
        <w:rPr>
          <w:sz w:val="24"/>
          <w:lang w:val="en-US" w:bidi="en-US"/>
        </w:rPr>
        <w:t>paid subscription based access to various WHS relevant resources.</w:t>
      </w:r>
    </w:p>
    <w:p w:rsidR="00124E0B" w:rsidRPr="001D3AA8" w:rsidRDefault="00124E0B" w:rsidP="00002B87">
      <w:pPr>
        <w:pStyle w:val="ListParagraph"/>
        <w:numPr>
          <w:ilvl w:val="0"/>
          <w:numId w:val="34"/>
        </w:numPr>
        <w:spacing w:after="120"/>
        <w:contextualSpacing w:val="0"/>
        <w:rPr>
          <w:sz w:val="24"/>
          <w:lang w:val="en-US" w:bidi="en-US"/>
        </w:rPr>
      </w:pPr>
      <w:r w:rsidRPr="001D3AA8">
        <w:rPr>
          <w:sz w:val="24"/>
          <w:lang w:val="en-US" w:bidi="en-US"/>
        </w:rPr>
        <w:t xml:space="preserve">Website:  </w:t>
      </w:r>
      <w:hyperlink r:id="rId22" w:history="1">
        <w:r w:rsidR="00002B87" w:rsidRPr="001D3AA8">
          <w:rPr>
            <w:rStyle w:val="Hyperlink"/>
            <w:sz w:val="24"/>
            <w:lang w:val="en-US" w:bidi="en-US"/>
          </w:rPr>
          <w:t>www.worksafe.com.au</w:t>
        </w:r>
      </w:hyperlink>
      <w:r w:rsidR="00002B87" w:rsidRPr="001D3AA8">
        <w:rPr>
          <w:sz w:val="24"/>
          <w:lang w:val="en-US" w:bidi="en-US"/>
        </w:rPr>
        <w:t xml:space="preserve"> </w:t>
      </w:r>
    </w:p>
    <w:p w:rsidR="00002B87" w:rsidRPr="001D3AA8" w:rsidRDefault="00002B87" w:rsidP="00002B87">
      <w:pPr>
        <w:spacing w:after="120"/>
        <w:rPr>
          <w:b/>
          <w:sz w:val="24"/>
          <w:lang w:val="en-US" w:bidi="en-US"/>
        </w:rPr>
      </w:pPr>
    </w:p>
    <w:p w:rsidR="00124E0B" w:rsidRPr="001D3AA8" w:rsidRDefault="00124E0B" w:rsidP="00002B87">
      <w:pPr>
        <w:spacing w:after="120"/>
        <w:rPr>
          <w:sz w:val="24"/>
          <w:u w:val="single"/>
          <w:lang w:val="en-US" w:bidi="en-US"/>
        </w:rPr>
      </w:pPr>
      <w:r w:rsidRPr="001D3AA8">
        <w:rPr>
          <w:sz w:val="24"/>
          <w:u w:val="single"/>
          <w:lang w:val="en-US" w:bidi="en-US"/>
        </w:rPr>
        <w:t>Safe Work Australia</w:t>
      </w:r>
    </w:p>
    <w:p w:rsidR="00124E0B" w:rsidRPr="001D3AA8" w:rsidRDefault="00124E0B" w:rsidP="00002B87">
      <w:pPr>
        <w:pStyle w:val="ListParagraph"/>
        <w:numPr>
          <w:ilvl w:val="0"/>
          <w:numId w:val="34"/>
        </w:numPr>
        <w:spacing w:after="120"/>
        <w:contextualSpacing w:val="0"/>
        <w:rPr>
          <w:sz w:val="24"/>
          <w:lang w:val="en-US" w:bidi="en-US"/>
        </w:rPr>
      </w:pPr>
      <w:r w:rsidRPr="001D3AA8">
        <w:rPr>
          <w:sz w:val="24"/>
          <w:lang w:val="en-US" w:bidi="en-US"/>
        </w:rPr>
        <w:t xml:space="preserve">Safe Work Australia began in November 2009 and operates as an independent statutory agency with primary responsibility to improve work health and safety and workers’ compensation arrangements across Australia.  </w:t>
      </w:r>
    </w:p>
    <w:p w:rsidR="000E43D3" w:rsidRPr="001D3AA8" w:rsidRDefault="000E43D3" w:rsidP="000E43D3">
      <w:pPr>
        <w:pStyle w:val="ListParagraph"/>
        <w:numPr>
          <w:ilvl w:val="1"/>
          <w:numId w:val="34"/>
        </w:numPr>
        <w:spacing w:after="120"/>
        <w:contextualSpacing w:val="0"/>
        <w:rPr>
          <w:sz w:val="24"/>
          <w:lang w:bidi="en-US"/>
        </w:rPr>
      </w:pPr>
      <w:r w:rsidRPr="001D3AA8">
        <w:rPr>
          <w:sz w:val="24"/>
          <w:lang w:bidi="en-US"/>
        </w:rPr>
        <w:t xml:space="preserve">National WHS Authority that leads the development of national WHS policies and strategies to improve safety in the workplaces, undertake research and report the data.  </w:t>
      </w:r>
    </w:p>
    <w:p w:rsidR="00002B87" w:rsidRPr="001D3AA8" w:rsidRDefault="00124E0B" w:rsidP="00002B87">
      <w:pPr>
        <w:pStyle w:val="ListParagraph"/>
        <w:numPr>
          <w:ilvl w:val="0"/>
          <w:numId w:val="34"/>
        </w:numPr>
        <w:spacing w:after="120"/>
        <w:contextualSpacing w:val="0"/>
        <w:rPr>
          <w:sz w:val="24"/>
          <w:lang w:val="en-US" w:bidi="en-US"/>
        </w:rPr>
      </w:pPr>
      <w:r w:rsidRPr="001D3AA8">
        <w:rPr>
          <w:sz w:val="24"/>
          <w:lang w:val="en-US" w:bidi="en-US"/>
        </w:rPr>
        <w:t xml:space="preserve">Website:  </w:t>
      </w:r>
      <w:hyperlink r:id="rId23" w:history="1">
        <w:r w:rsidR="00002B87" w:rsidRPr="001D3AA8">
          <w:rPr>
            <w:rStyle w:val="Hyperlink"/>
            <w:sz w:val="24"/>
            <w:lang w:val="en-US" w:bidi="en-US"/>
          </w:rPr>
          <w:t>www.safeworkaustralia.gov.au</w:t>
        </w:r>
      </w:hyperlink>
    </w:p>
    <w:p w:rsidR="00631E51" w:rsidRDefault="00631E51" w:rsidP="00987EF2">
      <w:pPr>
        <w:spacing w:after="120"/>
        <w:rPr>
          <w:b/>
          <w:sz w:val="24"/>
          <w:lang w:val="en-US" w:bidi="en-US"/>
        </w:rPr>
      </w:pPr>
    </w:p>
    <w:p w:rsidR="00002B87" w:rsidRDefault="00002B87" w:rsidP="00987EF2">
      <w:pPr>
        <w:spacing w:after="120"/>
        <w:rPr>
          <w:b/>
          <w:sz w:val="24"/>
          <w:lang w:val="en-US" w:bidi="en-US"/>
        </w:rPr>
      </w:pPr>
      <w:r w:rsidRPr="00987EF2">
        <w:rPr>
          <w:b/>
          <w:sz w:val="24"/>
          <w:lang w:val="en-US" w:bidi="en-US"/>
        </w:rPr>
        <w:lastRenderedPageBreak/>
        <w:t xml:space="preserve">State </w:t>
      </w:r>
      <w:r w:rsidR="00987EF2" w:rsidRPr="00987EF2">
        <w:rPr>
          <w:b/>
          <w:sz w:val="24"/>
          <w:lang w:val="en-US" w:bidi="en-US"/>
        </w:rPr>
        <w:t xml:space="preserve">WHS </w:t>
      </w:r>
      <w:r w:rsidRPr="00987EF2">
        <w:rPr>
          <w:b/>
          <w:sz w:val="24"/>
          <w:lang w:val="en-US" w:bidi="en-US"/>
        </w:rPr>
        <w:t>Authorities</w:t>
      </w:r>
    </w:p>
    <w:p w:rsidR="00987EF2" w:rsidRPr="00987EF2" w:rsidRDefault="00987EF2" w:rsidP="00987EF2">
      <w:pPr>
        <w:spacing w:after="120"/>
        <w:rPr>
          <w:sz w:val="24"/>
          <w:u w:val="single"/>
          <w:lang w:val="en-US" w:bidi="en-US"/>
        </w:rPr>
      </w:pPr>
      <w:r w:rsidRPr="00987EF2">
        <w:rPr>
          <w:sz w:val="24"/>
          <w:u w:val="single"/>
          <w:lang w:val="en-US" w:bidi="en-US"/>
        </w:rPr>
        <w:t>WorkSafe WA</w:t>
      </w:r>
    </w:p>
    <w:p w:rsidR="00987EF2" w:rsidRDefault="00987EF2" w:rsidP="00987EF2">
      <w:pPr>
        <w:pStyle w:val="ListParagraph"/>
        <w:numPr>
          <w:ilvl w:val="0"/>
          <w:numId w:val="34"/>
        </w:numPr>
        <w:spacing w:after="120"/>
        <w:rPr>
          <w:sz w:val="24"/>
          <w:lang w:val="en-US" w:bidi="en-US"/>
        </w:rPr>
      </w:pPr>
      <w:r>
        <w:rPr>
          <w:sz w:val="24"/>
          <w:lang w:val="en-US" w:bidi="en-US"/>
        </w:rPr>
        <w:t xml:space="preserve">WorkSafe is a state Western Australian government agency responsible for administration of the OSH Act 1984 and OSH Regulations 1996. </w:t>
      </w:r>
    </w:p>
    <w:p w:rsidR="00987EF2" w:rsidRDefault="00987EF2" w:rsidP="00987EF2">
      <w:pPr>
        <w:pStyle w:val="ListParagraph"/>
        <w:numPr>
          <w:ilvl w:val="0"/>
          <w:numId w:val="34"/>
        </w:numPr>
        <w:spacing w:after="120"/>
        <w:rPr>
          <w:sz w:val="24"/>
          <w:lang w:val="en-US" w:bidi="en-US"/>
        </w:rPr>
      </w:pPr>
      <w:r>
        <w:rPr>
          <w:sz w:val="24"/>
          <w:lang w:val="en-US" w:bidi="en-US"/>
        </w:rPr>
        <w:t>This authority helps resolve WHS issues</w:t>
      </w:r>
      <w:r w:rsidR="00932CAC">
        <w:rPr>
          <w:sz w:val="24"/>
          <w:lang w:val="en-US" w:bidi="en-US"/>
        </w:rPr>
        <w:t xml:space="preserve"> in WA workplaces and conducts workplace compliance inspections</w:t>
      </w:r>
    </w:p>
    <w:p w:rsidR="00EC106B" w:rsidRDefault="00EC106B" w:rsidP="00EC106B">
      <w:pPr>
        <w:pStyle w:val="ListParagraph"/>
        <w:numPr>
          <w:ilvl w:val="0"/>
          <w:numId w:val="34"/>
        </w:numPr>
        <w:spacing w:after="120"/>
        <w:rPr>
          <w:sz w:val="24"/>
          <w:lang w:val="en-US" w:bidi="en-US"/>
        </w:rPr>
      </w:pPr>
      <w:r>
        <w:rPr>
          <w:sz w:val="24"/>
          <w:lang w:val="en-US" w:bidi="en-US"/>
        </w:rPr>
        <w:t xml:space="preserve">Website: </w:t>
      </w:r>
      <w:hyperlink r:id="rId24" w:history="1">
        <w:r w:rsidRPr="001A0BA5">
          <w:rPr>
            <w:rStyle w:val="Hyperlink"/>
            <w:sz w:val="24"/>
            <w:lang w:val="en-US" w:bidi="en-US"/>
          </w:rPr>
          <w:t>www.commerce.wa.gov.au/worksafe</w:t>
        </w:r>
      </w:hyperlink>
      <w:r>
        <w:rPr>
          <w:sz w:val="24"/>
          <w:lang w:val="en-US" w:bidi="en-US"/>
        </w:rPr>
        <w:t xml:space="preserve"> </w:t>
      </w:r>
    </w:p>
    <w:p w:rsidR="00932CAC" w:rsidRPr="00932CAC" w:rsidRDefault="00932CAC" w:rsidP="00932CAC">
      <w:pPr>
        <w:spacing w:after="120"/>
        <w:rPr>
          <w:b/>
          <w:sz w:val="24"/>
          <w:lang w:val="en-US" w:bidi="en-US"/>
        </w:rPr>
      </w:pPr>
      <w:r w:rsidRPr="00932CAC">
        <w:rPr>
          <w:b/>
          <w:sz w:val="24"/>
          <w:lang w:val="en-US" w:bidi="en-US"/>
        </w:rPr>
        <w:t>Other external sources</w:t>
      </w:r>
    </w:p>
    <w:p w:rsidR="00932CAC" w:rsidRDefault="00932CAC" w:rsidP="00932CAC">
      <w:pPr>
        <w:spacing w:after="120"/>
        <w:rPr>
          <w:sz w:val="24"/>
          <w:lang w:val="en-US" w:bidi="en-US"/>
        </w:rPr>
      </w:pPr>
      <w:r>
        <w:rPr>
          <w:sz w:val="24"/>
          <w:lang w:val="en-US" w:bidi="en-US"/>
        </w:rPr>
        <w:t>Additional information can be found in professional journals and articles, newsletters originating from the WHS authorities, Industry and Trade unions, other organisations involved in work health and safety.</w:t>
      </w:r>
    </w:p>
    <w:p w:rsidR="00932CAC" w:rsidRDefault="00C429DB" w:rsidP="00EC106B">
      <w:pPr>
        <w:pStyle w:val="ListParagraph"/>
        <w:numPr>
          <w:ilvl w:val="0"/>
          <w:numId w:val="34"/>
        </w:numPr>
        <w:spacing w:after="120"/>
        <w:rPr>
          <w:sz w:val="24"/>
          <w:lang w:val="en-US" w:bidi="en-US"/>
        </w:rPr>
      </w:pPr>
      <w:hyperlink r:id="rId25" w:history="1">
        <w:r w:rsidR="00EC106B" w:rsidRPr="001A0BA5">
          <w:rPr>
            <w:rStyle w:val="Hyperlink"/>
            <w:sz w:val="24"/>
            <w:lang w:val="en-US" w:bidi="en-US"/>
          </w:rPr>
          <w:t>www.oshrep.org.au</w:t>
        </w:r>
      </w:hyperlink>
    </w:p>
    <w:p w:rsidR="00EC106B" w:rsidRDefault="00EC106B" w:rsidP="00EC106B">
      <w:pPr>
        <w:pStyle w:val="ListParagraph"/>
        <w:numPr>
          <w:ilvl w:val="1"/>
          <w:numId w:val="34"/>
        </w:numPr>
        <w:spacing w:after="120"/>
        <w:rPr>
          <w:sz w:val="24"/>
          <w:lang w:val="en-US" w:bidi="en-US"/>
        </w:rPr>
      </w:pPr>
      <w:r>
        <w:rPr>
          <w:sz w:val="24"/>
          <w:lang w:val="en-US" w:bidi="en-US"/>
        </w:rPr>
        <w:t>Online resource for Safety and Health Representatives. Provides information, advice and a variety of useful tools and resources.</w:t>
      </w:r>
    </w:p>
    <w:p w:rsidR="00EC106B" w:rsidRDefault="00C429DB" w:rsidP="00EC106B">
      <w:pPr>
        <w:pStyle w:val="ListParagraph"/>
        <w:numPr>
          <w:ilvl w:val="0"/>
          <w:numId w:val="34"/>
        </w:numPr>
        <w:spacing w:after="120"/>
        <w:rPr>
          <w:sz w:val="24"/>
          <w:lang w:val="en-US" w:bidi="en-US"/>
        </w:rPr>
      </w:pPr>
      <w:hyperlink r:id="rId26" w:history="1">
        <w:r w:rsidR="00EC106B" w:rsidRPr="001A0BA5">
          <w:rPr>
            <w:rStyle w:val="Hyperlink"/>
            <w:sz w:val="24"/>
            <w:lang w:val="en-US" w:bidi="en-US"/>
          </w:rPr>
          <w:t>www.workplaceosh.com.au</w:t>
        </w:r>
      </w:hyperlink>
    </w:p>
    <w:p w:rsidR="00EC106B" w:rsidRDefault="00EC106B" w:rsidP="00EC106B">
      <w:pPr>
        <w:pStyle w:val="ListParagraph"/>
        <w:numPr>
          <w:ilvl w:val="1"/>
          <w:numId w:val="34"/>
        </w:numPr>
        <w:spacing w:after="120"/>
        <w:rPr>
          <w:sz w:val="24"/>
          <w:lang w:val="en-US" w:bidi="en-US"/>
        </w:rPr>
      </w:pPr>
      <w:r>
        <w:rPr>
          <w:sz w:val="24"/>
          <w:lang w:val="en-US" w:bidi="en-US"/>
        </w:rPr>
        <w:t>Online resource for Australia business owners. Provides WHS managers and other professionals with the latest news, tools and expert guidance regarding whs matters.</w:t>
      </w:r>
    </w:p>
    <w:p w:rsidR="00DE6A18" w:rsidRDefault="00C429DB" w:rsidP="00EC106B">
      <w:pPr>
        <w:pStyle w:val="ListParagraph"/>
        <w:numPr>
          <w:ilvl w:val="0"/>
          <w:numId w:val="34"/>
        </w:numPr>
        <w:spacing w:after="120"/>
        <w:rPr>
          <w:sz w:val="24"/>
          <w:lang w:val="en-US" w:bidi="en-US"/>
        </w:rPr>
      </w:pPr>
      <w:hyperlink r:id="rId27" w:history="1">
        <w:r w:rsidR="00EC106B" w:rsidRPr="001A0BA5">
          <w:rPr>
            <w:rStyle w:val="Hyperlink"/>
            <w:sz w:val="24"/>
            <w:lang w:val="en-US" w:bidi="en-US"/>
          </w:rPr>
          <w:t>www.smartmove.safetyline.wa.gov.au</w:t>
        </w:r>
      </w:hyperlink>
      <w:r w:rsidR="00EC106B">
        <w:rPr>
          <w:sz w:val="24"/>
          <w:lang w:val="en-US" w:bidi="en-US"/>
        </w:rPr>
        <w:t xml:space="preserve"> </w:t>
      </w:r>
    </w:p>
    <w:p w:rsidR="00EC106B" w:rsidRDefault="00EC106B" w:rsidP="00EC106B">
      <w:pPr>
        <w:pStyle w:val="ListParagraph"/>
        <w:numPr>
          <w:ilvl w:val="1"/>
          <w:numId w:val="34"/>
        </w:numPr>
        <w:spacing w:after="120"/>
        <w:rPr>
          <w:sz w:val="24"/>
          <w:lang w:val="en-US" w:bidi="en-US"/>
        </w:rPr>
      </w:pPr>
      <w:r>
        <w:rPr>
          <w:sz w:val="24"/>
          <w:lang w:val="en-US" w:bidi="en-US"/>
        </w:rPr>
        <w:t xml:space="preserve">Online resource for senior high school students and young professionals entering the workforce. </w:t>
      </w:r>
      <w:r w:rsidR="00137051">
        <w:rPr>
          <w:sz w:val="24"/>
          <w:lang w:val="en-US" w:bidi="en-US"/>
        </w:rPr>
        <w:t>Provides educational resources and other useful information regarding work health and safety.</w:t>
      </w:r>
    </w:p>
    <w:p w:rsidR="00631E51" w:rsidRPr="00EC106B" w:rsidRDefault="00631E51" w:rsidP="00631E51">
      <w:pPr>
        <w:pStyle w:val="ListParagraph"/>
        <w:spacing w:after="120"/>
        <w:ind w:left="1440"/>
        <w:rPr>
          <w:sz w:val="24"/>
          <w:lang w:val="en-US" w:bidi="en-US"/>
        </w:rPr>
      </w:pPr>
    </w:p>
    <w:p w:rsidR="00932CAC" w:rsidRDefault="00932CAC" w:rsidP="00932CAC">
      <w:pPr>
        <w:pStyle w:val="Heading3"/>
      </w:pPr>
      <w:bookmarkStart w:id="11" w:name="_Toc536621247"/>
      <w:r>
        <w:t>INTERNAL SOURCES</w:t>
      </w:r>
      <w:bookmarkEnd w:id="11"/>
    </w:p>
    <w:p w:rsidR="00DE6A18" w:rsidRPr="00932CAC" w:rsidRDefault="00932CAC">
      <w:pPr>
        <w:rPr>
          <w:sz w:val="24"/>
          <w:lang w:val="en-US" w:bidi="en-US"/>
        </w:rPr>
      </w:pPr>
      <w:r w:rsidRPr="00932CAC">
        <w:rPr>
          <w:sz w:val="24"/>
          <w:lang w:val="en-US" w:bidi="en-US"/>
        </w:rPr>
        <w:t xml:space="preserve">WHS information inside of the organisation can generally be found from </w:t>
      </w:r>
      <w:r>
        <w:rPr>
          <w:sz w:val="24"/>
          <w:lang w:val="en-US" w:bidi="en-US"/>
        </w:rPr>
        <w:t xml:space="preserve">the </w:t>
      </w:r>
      <w:r w:rsidRPr="00932CAC">
        <w:rPr>
          <w:sz w:val="24"/>
          <w:lang w:val="en-US" w:bidi="en-US"/>
        </w:rPr>
        <w:t>documentation and from people.</w:t>
      </w:r>
    </w:p>
    <w:p w:rsidR="00932CAC" w:rsidRPr="00932CAC" w:rsidRDefault="00932CAC" w:rsidP="00401EA2">
      <w:pPr>
        <w:spacing w:after="0"/>
        <w:rPr>
          <w:sz w:val="24"/>
          <w:u w:val="single"/>
          <w:lang w:val="en-US" w:bidi="en-US"/>
        </w:rPr>
      </w:pPr>
      <w:r w:rsidRPr="00932CAC">
        <w:rPr>
          <w:sz w:val="24"/>
          <w:u w:val="single"/>
          <w:lang w:val="en-US" w:bidi="en-US"/>
        </w:rPr>
        <w:t>Documentation:</w:t>
      </w:r>
    </w:p>
    <w:p w:rsidR="00932CAC" w:rsidRDefault="00932CAC" w:rsidP="00932CAC">
      <w:pPr>
        <w:pStyle w:val="ListParagraph"/>
        <w:numPr>
          <w:ilvl w:val="0"/>
          <w:numId w:val="34"/>
        </w:numPr>
        <w:rPr>
          <w:sz w:val="24"/>
          <w:lang w:val="en-US" w:bidi="en-US"/>
        </w:rPr>
      </w:pPr>
      <w:r>
        <w:rPr>
          <w:sz w:val="24"/>
          <w:lang w:val="en-US" w:bidi="en-US"/>
        </w:rPr>
        <w:t>WHS policy and safety procedures</w:t>
      </w:r>
    </w:p>
    <w:p w:rsidR="00932CAC" w:rsidRDefault="00932CAC" w:rsidP="00932CAC">
      <w:pPr>
        <w:pStyle w:val="ListParagraph"/>
        <w:numPr>
          <w:ilvl w:val="0"/>
          <w:numId w:val="34"/>
        </w:numPr>
        <w:rPr>
          <w:sz w:val="24"/>
          <w:lang w:val="en-US" w:bidi="en-US"/>
        </w:rPr>
      </w:pPr>
      <w:r>
        <w:rPr>
          <w:sz w:val="24"/>
          <w:lang w:val="en-US" w:bidi="en-US"/>
        </w:rPr>
        <w:t>Guidance materials and manuals</w:t>
      </w:r>
    </w:p>
    <w:p w:rsidR="00932CAC" w:rsidRDefault="00932CAC" w:rsidP="00932CAC">
      <w:pPr>
        <w:pStyle w:val="ListParagraph"/>
        <w:numPr>
          <w:ilvl w:val="0"/>
          <w:numId w:val="34"/>
        </w:numPr>
        <w:rPr>
          <w:sz w:val="24"/>
          <w:lang w:val="en-US" w:bidi="en-US"/>
        </w:rPr>
      </w:pPr>
      <w:r>
        <w:rPr>
          <w:sz w:val="24"/>
          <w:lang w:val="en-US" w:bidi="en-US"/>
        </w:rPr>
        <w:t>Instructions</w:t>
      </w:r>
    </w:p>
    <w:p w:rsidR="00932CAC" w:rsidRDefault="00932CAC" w:rsidP="00932CAC">
      <w:pPr>
        <w:pStyle w:val="ListParagraph"/>
        <w:numPr>
          <w:ilvl w:val="0"/>
          <w:numId w:val="34"/>
        </w:numPr>
        <w:rPr>
          <w:sz w:val="24"/>
          <w:lang w:val="en-US" w:bidi="en-US"/>
        </w:rPr>
      </w:pPr>
      <w:r>
        <w:rPr>
          <w:sz w:val="24"/>
          <w:lang w:val="en-US" w:bidi="en-US"/>
        </w:rPr>
        <w:t>Incident, accident, hazard reports</w:t>
      </w:r>
    </w:p>
    <w:p w:rsidR="00932CAC" w:rsidRDefault="00932CAC" w:rsidP="00932CAC">
      <w:pPr>
        <w:pStyle w:val="ListParagraph"/>
        <w:numPr>
          <w:ilvl w:val="0"/>
          <w:numId w:val="34"/>
        </w:numPr>
        <w:rPr>
          <w:sz w:val="24"/>
          <w:lang w:val="en-US" w:bidi="en-US"/>
        </w:rPr>
      </w:pPr>
      <w:r>
        <w:rPr>
          <w:sz w:val="24"/>
          <w:lang w:val="en-US" w:bidi="en-US"/>
        </w:rPr>
        <w:t>WHS newsletters</w:t>
      </w:r>
    </w:p>
    <w:p w:rsidR="00932CAC" w:rsidRPr="00932CAC" w:rsidRDefault="00932CAC" w:rsidP="00401EA2">
      <w:pPr>
        <w:spacing w:after="0"/>
        <w:rPr>
          <w:sz w:val="24"/>
          <w:u w:val="single"/>
          <w:lang w:val="en-US" w:bidi="en-US"/>
        </w:rPr>
      </w:pPr>
      <w:r w:rsidRPr="00932CAC">
        <w:rPr>
          <w:sz w:val="24"/>
          <w:u w:val="single"/>
          <w:lang w:val="en-US" w:bidi="en-US"/>
        </w:rPr>
        <w:t>People:</w:t>
      </w:r>
    </w:p>
    <w:p w:rsidR="00932CAC" w:rsidRDefault="00932CAC" w:rsidP="00932CAC">
      <w:pPr>
        <w:pStyle w:val="ListParagraph"/>
        <w:numPr>
          <w:ilvl w:val="0"/>
          <w:numId w:val="38"/>
        </w:numPr>
        <w:rPr>
          <w:sz w:val="24"/>
          <w:lang w:val="en-US" w:bidi="en-US"/>
        </w:rPr>
      </w:pPr>
      <w:r w:rsidRPr="00932CAC">
        <w:rPr>
          <w:sz w:val="24"/>
          <w:lang w:val="en-US" w:bidi="en-US"/>
        </w:rPr>
        <w:t>Safety and Health Representatives</w:t>
      </w:r>
    </w:p>
    <w:p w:rsidR="00932CAC" w:rsidRDefault="00932CAC" w:rsidP="00932CAC">
      <w:pPr>
        <w:pStyle w:val="ListParagraph"/>
        <w:numPr>
          <w:ilvl w:val="0"/>
          <w:numId w:val="38"/>
        </w:numPr>
        <w:rPr>
          <w:sz w:val="24"/>
          <w:lang w:val="en-US" w:bidi="en-US"/>
        </w:rPr>
      </w:pPr>
      <w:r>
        <w:rPr>
          <w:sz w:val="24"/>
          <w:lang w:val="en-US" w:bidi="en-US"/>
        </w:rPr>
        <w:t>Members of a Safety and Health Committee</w:t>
      </w:r>
    </w:p>
    <w:p w:rsidR="00932CAC" w:rsidRDefault="00932CAC" w:rsidP="00932CAC">
      <w:pPr>
        <w:pStyle w:val="ListParagraph"/>
        <w:numPr>
          <w:ilvl w:val="0"/>
          <w:numId w:val="38"/>
        </w:numPr>
        <w:rPr>
          <w:sz w:val="24"/>
          <w:lang w:val="en-US" w:bidi="en-US"/>
        </w:rPr>
      </w:pPr>
      <w:r>
        <w:rPr>
          <w:sz w:val="24"/>
          <w:lang w:val="en-US" w:bidi="en-US"/>
        </w:rPr>
        <w:t>Organisations working in high risk environments would normally have a whole organisational department dedicated to managing work health and safety</w:t>
      </w:r>
    </w:p>
    <w:p w:rsidR="00932CAC" w:rsidRDefault="00932CAC" w:rsidP="00932CAC">
      <w:pPr>
        <w:pStyle w:val="ListParagraph"/>
        <w:numPr>
          <w:ilvl w:val="0"/>
          <w:numId w:val="38"/>
        </w:numPr>
        <w:rPr>
          <w:sz w:val="24"/>
          <w:lang w:val="en-US" w:bidi="en-US"/>
        </w:rPr>
      </w:pPr>
      <w:r>
        <w:rPr>
          <w:sz w:val="24"/>
          <w:lang w:val="en-US" w:bidi="en-US"/>
        </w:rPr>
        <w:t>Senior staff, managers and team leaders</w:t>
      </w:r>
    </w:p>
    <w:p w:rsidR="00EB5812" w:rsidRDefault="00EB5812" w:rsidP="00EB5812">
      <w:pPr>
        <w:pStyle w:val="Heading2"/>
      </w:pPr>
      <w:bookmarkStart w:id="12" w:name="_Toc536621248"/>
      <w:r>
        <w:lastRenderedPageBreak/>
        <w:t>ENSURING SAFE WORK PRACTICES</w:t>
      </w:r>
      <w:bookmarkEnd w:id="12"/>
    </w:p>
    <w:p w:rsidR="00EB5812" w:rsidRDefault="00EB5812" w:rsidP="00EB5812">
      <w:pPr>
        <w:rPr>
          <w:sz w:val="24"/>
          <w:lang w:val="en-US" w:bidi="en-US"/>
        </w:rPr>
      </w:pPr>
      <w:r>
        <w:rPr>
          <w:sz w:val="24"/>
          <w:lang w:val="en-US" w:bidi="en-US"/>
        </w:rPr>
        <w:t xml:space="preserve">Working in the office is much safer than working on a mining or a construction site, there are however still risks that need to be reviewed and addressed. Below </w:t>
      </w:r>
      <w:r w:rsidR="00B60083">
        <w:rPr>
          <w:sz w:val="24"/>
          <w:lang w:val="en-US" w:bidi="en-US"/>
        </w:rPr>
        <w:t>you can find a link to a document</w:t>
      </w:r>
      <w:r>
        <w:rPr>
          <w:sz w:val="24"/>
          <w:lang w:val="en-US" w:bidi="en-US"/>
        </w:rPr>
        <w:t xml:space="preserve"> that can help you with this process.</w:t>
      </w:r>
    </w:p>
    <w:p w:rsidR="00B60083" w:rsidRDefault="00C429DB" w:rsidP="00B60083">
      <w:pPr>
        <w:rPr>
          <w:sz w:val="24"/>
          <w:lang w:val="en-US" w:bidi="en-US"/>
        </w:rPr>
      </w:pPr>
      <w:hyperlink r:id="rId28" w:history="1">
        <w:r w:rsidR="00EB5812" w:rsidRPr="00B60083">
          <w:rPr>
            <w:rStyle w:val="Hyperlink"/>
            <w:sz w:val="24"/>
            <w:lang w:val="en-US" w:bidi="en-US"/>
          </w:rPr>
          <w:t>Guidance note for the prevention of</w:t>
        </w:r>
        <w:r w:rsidR="008A5708" w:rsidRPr="00B60083">
          <w:rPr>
            <w:rStyle w:val="Hyperlink"/>
            <w:sz w:val="24"/>
            <w:lang w:val="en-US" w:bidi="en-US"/>
          </w:rPr>
          <w:t xml:space="preserve"> Occupational Overuse Syndrome in keyboard employment</w:t>
        </w:r>
      </w:hyperlink>
    </w:p>
    <w:p w:rsidR="008A5708" w:rsidRDefault="008A5708" w:rsidP="00B60083">
      <w:pPr>
        <w:rPr>
          <w:sz w:val="24"/>
          <w:lang w:val="en-US" w:bidi="en-US"/>
        </w:rPr>
      </w:pPr>
      <w:r w:rsidRPr="00B60083">
        <w:rPr>
          <w:sz w:val="24"/>
          <w:lang w:val="en-US" w:bidi="en-US"/>
        </w:rPr>
        <w:t>This document discusses the prevention strategies and provides guidelines to minimise the risk of the Occupational Overuse Syndrome occurring in workers involved in sedentary work at a desk.</w:t>
      </w:r>
    </w:p>
    <w:p w:rsidR="00B60083" w:rsidRPr="00B60083" w:rsidRDefault="00B60083" w:rsidP="00B60083">
      <w:pPr>
        <w:rPr>
          <w:sz w:val="24"/>
          <w:lang w:val="en-US" w:bidi="en-US"/>
        </w:rPr>
      </w:pPr>
    </w:p>
    <w:p w:rsidR="008A5708" w:rsidRDefault="008A5708" w:rsidP="008A5708">
      <w:pPr>
        <w:pStyle w:val="Heading3"/>
      </w:pPr>
      <w:r>
        <w:t>ACTIVITY</w:t>
      </w:r>
    </w:p>
    <w:p w:rsidR="008A5708" w:rsidRDefault="008A5708" w:rsidP="008A5708">
      <w:pPr>
        <w:pStyle w:val="ListParagraph"/>
        <w:numPr>
          <w:ilvl w:val="0"/>
          <w:numId w:val="40"/>
        </w:numPr>
        <w:rPr>
          <w:lang w:val="en-US" w:bidi="en-US"/>
        </w:rPr>
      </w:pPr>
      <w:r>
        <w:rPr>
          <w:lang w:val="en-US" w:bidi="en-US"/>
        </w:rPr>
        <w:t>Read the Guidelines</w:t>
      </w:r>
      <w:r w:rsidR="00B60083">
        <w:rPr>
          <w:lang w:val="en-US" w:bidi="en-US"/>
        </w:rPr>
        <w:t xml:space="preserve"> and discuss the following</w:t>
      </w:r>
    </w:p>
    <w:p w:rsidR="008A5708" w:rsidRDefault="008A5708" w:rsidP="008A5708">
      <w:pPr>
        <w:pStyle w:val="ListParagraph"/>
        <w:numPr>
          <w:ilvl w:val="1"/>
          <w:numId w:val="40"/>
        </w:numPr>
        <w:rPr>
          <w:lang w:val="en-US" w:bidi="en-US"/>
        </w:rPr>
      </w:pPr>
      <w:r>
        <w:rPr>
          <w:lang w:val="en-US" w:bidi="en-US"/>
        </w:rPr>
        <w:t>What is an Occupational Overuse Syndrome (also known as Repetitive Strain Injury - RSI)</w:t>
      </w:r>
      <w:r w:rsidR="00B60083">
        <w:rPr>
          <w:lang w:val="en-US" w:bidi="en-US"/>
        </w:rPr>
        <w:t>?</w:t>
      </w:r>
    </w:p>
    <w:p w:rsidR="008A5708" w:rsidRDefault="00B60083" w:rsidP="008A5708">
      <w:pPr>
        <w:pStyle w:val="ListParagraph"/>
        <w:numPr>
          <w:ilvl w:val="1"/>
          <w:numId w:val="40"/>
        </w:numPr>
        <w:rPr>
          <w:lang w:val="en-US" w:bidi="en-US"/>
        </w:rPr>
      </w:pPr>
      <w:r>
        <w:rPr>
          <w:lang w:val="en-US" w:bidi="en-US"/>
        </w:rPr>
        <w:t>What prevention strategies does this document recommend?</w:t>
      </w:r>
    </w:p>
    <w:p w:rsidR="00B60083" w:rsidRDefault="00B60083" w:rsidP="008A5708">
      <w:pPr>
        <w:pStyle w:val="ListParagraph"/>
        <w:numPr>
          <w:ilvl w:val="1"/>
          <w:numId w:val="40"/>
        </w:numPr>
        <w:rPr>
          <w:lang w:val="en-US" w:bidi="en-US"/>
        </w:rPr>
      </w:pPr>
      <w:r>
        <w:rPr>
          <w:lang w:val="en-US" w:bidi="en-US"/>
        </w:rPr>
        <w:t>Use the checklist included on the next page to inspect your workstation</w:t>
      </w:r>
    </w:p>
    <w:p w:rsidR="00B60083" w:rsidRDefault="00B60083" w:rsidP="008A5708">
      <w:pPr>
        <w:pStyle w:val="ListParagraph"/>
        <w:numPr>
          <w:ilvl w:val="1"/>
          <w:numId w:val="40"/>
        </w:numPr>
        <w:rPr>
          <w:lang w:val="en-US" w:bidi="en-US"/>
        </w:rPr>
      </w:pPr>
      <w:r>
        <w:rPr>
          <w:lang w:val="en-US" w:bidi="en-US"/>
        </w:rPr>
        <w:t>Make adjustments to your workstation or request assistance with your supervisor (lecturer) to resolve any practices that you found to be unsafe.</w:t>
      </w:r>
    </w:p>
    <w:p w:rsidR="00B60083" w:rsidRDefault="00B60083">
      <w:pPr>
        <w:rPr>
          <w:lang w:val="en-US" w:bidi="en-US"/>
        </w:rPr>
      </w:pPr>
      <w:r>
        <w:rPr>
          <w:lang w:val="en-US" w:bidi="en-US"/>
        </w:rPr>
        <w:br w:type="page"/>
      </w:r>
    </w:p>
    <w:p w:rsidR="00B60083" w:rsidRDefault="00B60083" w:rsidP="00B60083">
      <w:pPr>
        <w:pStyle w:val="Heading3"/>
      </w:pPr>
      <w:r>
        <w:lastRenderedPageBreak/>
        <w:t>WORKSTATION ASSESSMENT CHECKLIST</w:t>
      </w:r>
    </w:p>
    <w:tbl>
      <w:tblPr>
        <w:tblStyle w:val="GridTable5Dark-Accent6"/>
        <w:tblW w:w="0" w:type="auto"/>
        <w:tblLook w:val="0420" w:firstRow="1" w:lastRow="0" w:firstColumn="0" w:lastColumn="0" w:noHBand="0" w:noVBand="1"/>
      </w:tblPr>
      <w:tblGrid>
        <w:gridCol w:w="6204"/>
        <w:gridCol w:w="992"/>
        <w:gridCol w:w="992"/>
        <w:gridCol w:w="2468"/>
      </w:tblGrid>
      <w:tr w:rsidR="00B60083" w:rsidRPr="004F1832" w:rsidTr="00B60083">
        <w:trPr>
          <w:cnfStyle w:val="100000000000" w:firstRow="1" w:lastRow="0" w:firstColumn="0" w:lastColumn="0" w:oddVBand="0" w:evenVBand="0" w:oddHBand="0" w:evenHBand="0" w:firstRowFirstColumn="0" w:firstRowLastColumn="0" w:lastRowFirstColumn="0" w:lastRowLastColumn="0"/>
        </w:trPr>
        <w:tc>
          <w:tcPr>
            <w:tcW w:w="6204" w:type="dxa"/>
          </w:tcPr>
          <w:p w:rsidR="00B60083" w:rsidRPr="004F1832" w:rsidRDefault="00B60083" w:rsidP="00B60083">
            <w:pPr>
              <w:spacing w:before="60" w:after="60"/>
              <w:jc w:val="center"/>
              <w:rPr>
                <w:color w:val="auto"/>
                <w:sz w:val="20"/>
                <w:lang w:val="en-US" w:bidi="en-US"/>
              </w:rPr>
            </w:pPr>
            <w:r w:rsidRPr="004F1832">
              <w:rPr>
                <w:color w:val="auto"/>
                <w:sz w:val="20"/>
                <w:lang w:bidi="en-US"/>
              </w:rPr>
              <w:t>WORK ORGANISATION</w:t>
            </w:r>
            <w:r w:rsidR="004F1832" w:rsidRPr="004F1832">
              <w:rPr>
                <w:color w:val="auto"/>
                <w:sz w:val="20"/>
                <w:lang w:bidi="en-US"/>
              </w:rPr>
              <w:t xml:space="preserve"> AND ENVIRONMENT</w:t>
            </w:r>
          </w:p>
        </w:tc>
        <w:tc>
          <w:tcPr>
            <w:tcW w:w="992" w:type="dxa"/>
          </w:tcPr>
          <w:p w:rsidR="00B60083" w:rsidRPr="004F1832" w:rsidRDefault="00B60083" w:rsidP="00B60083">
            <w:pPr>
              <w:spacing w:before="60" w:after="60"/>
              <w:jc w:val="center"/>
              <w:rPr>
                <w:color w:val="auto"/>
                <w:sz w:val="20"/>
                <w:lang w:val="en-US" w:bidi="en-US"/>
              </w:rPr>
            </w:pPr>
            <w:r w:rsidRPr="004F1832">
              <w:rPr>
                <w:color w:val="auto"/>
                <w:sz w:val="20"/>
                <w:lang w:bidi="en-US"/>
              </w:rPr>
              <w:t>YES</w:t>
            </w:r>
          </w:p>
        </w:tc>
        <w:tc>
          <w:tcPr>
            <w:tcW w:w="992" w:type="dxa"/>
          </w:tcPr>
          <w:p w:rsidR="00B60083" w:rsidRPr="004F1832" w:rsidRDefault="00B60083" w:rsidP="00B60083">
            <w:pPr>
              <w:spacing w:before="60" w:after="60"/>
              <w:jc w:val="center"/>
              <w:rPr>
                <w:color w:val="auto"/>
                <w:sz w:val="20"/>
                <w:lang w:val="en-US" w:bidi="en-US"/>
              </w:rPr>
            </w:pPr>
            <w:r w:rsidRPr="004F1832">
              <w:rPr>
                <w:color w:val="auto"/>
                <w:sz w:val="20"/>
                <w:lang w:bidi="en-US"/>
              </w:rPr>
              <w:t>NO</w:t>
            </w:r>
          </w:p>
        </w:tc>
        <w:tc>
          <w:tcPr>
            <w:tcW w:w="2468" w:type="dxa"/>
          </w:tcPr>
          <w:p w:rsidR="00B60083" w:rsidRPr="004F1832" w:rsidRDefault="00B60083" w:rsidP="00B60083">
            <w:pPr>
              <w:spacing w:before="60" w:after="60"/>
              <w:jc w:val="center"/>
              <w:rPr>
                <w:color w:val="auto"/>
                <w:sz w:val="20"/>
                <w:lang w:val="en-US" w:bidi="en-US"/>
              </w:rPr>
            </w:pPr>
            <w:r w:rsidRPr="004F1832">
              <w:rPr>
                <w:color w:val="auto"/>
                <w:sz w:val="20"/>
                <w:lang w:bidi="en-US"/>
              </w:rPr>
              <w:t>COMMENTS</w:t>
            </w:r>
          </w:p>
        </w:tc>
      </w:tr>
      <w:tr w:rsidR="00B60083" w:rsidRPr="004F1832" w:rsidTr="00B60083">
        <w:trPr>
          <w:cnfStyle w:val="000000100000" w:firstRow="0" w:lastRow="0" w:firstColumn="0" w:lastColumn="0" w:oddVBand="0" w:evenVBand="0" w:oddHBand="1" w:evenHBand="0" w:firstRowFirstColumn="0" w:firstRowLastColumn="0" w:lastRowFirstColumn="0" w:lastRowLastColumn="0"/>
        </w:trPr>
        <w:tc>
          <w:tcPr>
            <w:tcW w:w="6204" w:type="dxa"/>
          </w:tcPr>
          <w:p w:rsidR="00B60083" w:rsidRPr="004F1832" w:rsidRDefault="00B60083" w:rsidP="00B60083">
            <w:pPr>
              <w:spacing w:before="60" w:after="60"/>
              <w:rPr>
                <w:sz w:val="20"/>
                <w:lang w:val="en-US" w:bidi="en-US"/>
              </w:rPr>
            </w:pPr>
            <w:r w:rsidRPr="004F1832">
              <w:rPr>
                <w:sz w:val="20"/>
                <w:lang w:val="en-US" w:bidi="en-US"/>
              </w:rPr>
              <w:t xml:space="preserve">Does the user have a variety of tasks? </w:t>
            </w:r>
          </w:p>
        </w:tc>
        <w:tc>
          <w:tcPr>
            <w:tcW w:w="992" w:type="dxa"/>
          </w:tcPr>
          <w:p w:rsidR="00B60083" w:rsidRPr="004F1832" w:rsidRDefault="00B60083" w:rsidP="00B60083">
            <w:pPr>
              <w:spacing w:before="60" w:after="60"/>
              <w:rPr>
                <w:sz w:val="20"/>
                <w:lang w:val="en-US" w:bidi="en-US"/>
              </w:rPr>
            </w:pPr>
          </w:p>
        </w:tc>
        <w:tc>
          <w:tcPr>
            <w:tcW w:w="992" w:type="dxa"/>
          </w:tcPr>
          <w:p w:rsidR="00B60083" w:rsidRPr="004F1832" w:rsidRDefault="00B60083" w:rsidP="00B60083">
            <w:pPr>
              <w:spacing w:before="60" w:after="60"/>
              <w:rPr>
                <w:sz w:val="20"/>
                <w:lang w:val="en-US" w:bidi="en-US"/>
              </w:rPr>
            </w:pPr>
          </w:p>
        </w:tc>
        <w:tc>
          <w:tcPr>
            <w:tcW w:w="2468" w:type="dxa"/>
          </w:tcPr>
          <w:p w:rsidR="00B60083" w:rsidRPr="004F1832" w:rsidRDefault="00B60083" w:rsidP="00B60083">
            <w:pPr>
              <w:spacing w:before="60" w:after="60"/>
              <w:rPr>
                <w:sz w:val="20"/>
                <w:lang w:val="en-US" w:bidi="en-US"/>
              </w:rPr>
            </w:pPr>
          </w:p>
        </w:tc>
      </w:tr>
      <w:tr w:rsidR="003F30FC" w:rsidRPr="004F1832" w:rsidTr="00B60083">
        <w:tc>
          <w:tcPr>
            <w:tcW w:w="6204" w:type="dxa"/>
          </w:tcPr>
          <w:p w:rsidR="003F30FC" w:rsidRPr="004F1832" w:rsidRDefault="003F30FC" w:rsidP="003F30FC">
            <w:pPr>
              <w:spacing w:before="60" w:after="60"/>
              <w:ind w:left="851"/>
              <w:rPr>
                <w:sz w:val="20"/>
                <w:lang w:val="en-US" w:bidi="en-US"/>
              </w:rPr>
            </w:pPr>
            <w:r w:rsidRPr="004F1832">
              <w:rPr>
                <w:sz w:val="20"/>
                <w:lang w:val="en-US" w:bidi="en-US"/>
              </w:rPr>
              <w:t>If YES, does the user have some control over the order in which they are done?</w:t>
            </w:r>
          </w:p>
        </w:tc>
        <w:tc>
          <w:tcPr>
            <w:tcW w:w="992" w:type="dxa"/>
          </w:tcPr>
          <w:p w:rsidR="003F30FC" w:rsidRPr="004F1832" w:rsidRDefault="003F30FC" w:rsidP="00B60083">
            <w:pPr>
              <w:spacing w:before="60" w:after="60"/>
              <w:rPr>
                <w:sz w:val="20"/>
                <w:lang w:val="en-US" w:bidi="en-US"/>
              </w:rPr>
            </w:pPr>
          </w:p>
        </w:tc>
        <w:tc>
          <w:tcPr>
            <w:tcW w:w="992" w:type="dxa"/>
          </w:tcPr>
          <w:p w:rsidR="003F30FC" w:rsidRPr="004F1832" w:rsidRDefault="003F30FC" w:rsidP="00B60083">
            <w:pPr>
              <w:spacing w:before="60" w:after="60"/>
              <w:rPr>
                <w:sz w:val="20"/>
                <w:lang w:val="en-US" w:bidi="en-US"/>
              </w:rPr>
            </w:pPr>
          </w:p>
        </w:tc>
        <w:tc>
          <w:tcPr>
            <w:tcW w:w="2468" w:type="dxa"/>
          </w:tcPr>
          <w:p w:rsidR="003F30FC" w:rsidRPr="004F1832" w:rsidRDefault="003F30FC" w:rsidP="00B60083">
            <w:pPr>
              <w:spacing w:before="60" w:after="60"/>
              <w:rPr>
                <w:sz w:val="20"/>
                <w:lang w:val="en-US" w:bidi="en-US"/>
              </w:rPr>
            </w:pPr>
          </w:p>
        </w:tc>
      </w:tr>
      <w:tr w:rsidR="00B60083" w:rsidRPr="004F1832" w:rsidTr="00B60083">
        <w:trPr>
          <w:cnfStyle w:val="000000100000" w:firstRow="0" w:lastRow="0" w:firstColumn="0" w:lastColumn="0" w:oddVBand="0" w:evenVBand="0" w:oddHBand="1" w:evenHBand="0" w:firstRowFirstColumn="0" w:firstRowLastColumn="0" w:lastRowFirstColumn="0" w:lastRowLastColumn="0"/>
        </w:trPr>
        <w:tc>
          <w:tcPr>
            <w:tcW w:w="6204" w:type="dxa"/>
          </w:tcPr>
          <w:p w:rsidR="00B60083" w:rsidRPr="004F1832" w:rsidRDefault="00B60083" w:rsidP="00B60083">
            <w:pPr>
              <w:spacing w:before="60" w:after="60"/>
              <w:rPr>
                <w:sz w:val="20"/>
                <w:lang w:val="en-US" w:bidi="en-US"/>
              </w:rPr>
            </w:pPr>
            <w:r w:rsidRPr="004F1832">
              <w:rPr>
                <w:sz w:val="20"/>
                <w:lang w:val="en-US" w:bidi="en-US"/>
              </w:rPr>
              <w:t>Is care taken to avoid placing the user under pressure to meet demanding work targets or deadlines?</w:t>
            </w:r>
          </w:p>
        </w:tc>
        <w:tc>
          <w:tcPr>
            <w:tcW w:w="992" w:type="dxa"/>
          </w:tcPr>
          <w:p w:rsidR="00B60083" w:rsidRPr="004F1832" w:rsidRDefault="00B60083" w:rsidP="00B60083">
            <w:pPr>
              <w:spacing w:before="60" w:after="60"/>
              <w:rPr>
                <w:sz w:val="20"/>
                <w:lang w:val="en-US" w:bidi="en-US"/>
              </w:rPr>
            </w:pPr>
          </w:p>
        </w:tc>
        <w:tc>
          <w:tcPr>
            <w:tcW w:w="992" w:type="dxa"/>
          </w:tcPr>
          <w:p w:rsidR="00B60083" w:rsidRPr="004F1832" w:rsidRDefault="00B60083" w:rsidP="00B60083">
            <w:pPr>
              <w:spacing w:before="60" w:after="60"/>
              <w:rPr>
                <w:sz w:val="20"/>
                <w:lang w:val="en-US" w:bidi="en-US"/>
              </w:rPr>
            </w:pPr>
          </w:p>
        </w:tc>
        <w:tc>
          <w:tcPr>
            <w:tcW w:w="2468" w:type="dxa"/>
          </w:tcPr>
          <w:p w:rsidR="00B60083" w:rsidRPr="004F1832" w:rsidRDefault="00B60083" w:rsidP="00B60083">
            <w:pPr>
              <w:spacing w:before="60" w:after="60"/>
              <w:rPr>
                <w:sz w:val="20"/>
                <w:lang w:val="en-US" w:bidi="en-US"/>
              </w:rPr>
            </w:pPr>
          </w:p>
        </w:tc>
      </w:tr>
      <w:tr w:rsidR="00B60083" w:rsidRPr="004F1832" w:rsidTr="00B60083">
        <w:tc>
          <w:tcPr>
            <w:tcW w:w="6204" w:type="dxa"/>
          </w:tcPr>
          <w:p w:rsidR="00B60083" w:rsidRPr="004F1832" w:rsidRDefault="00B60083" w:rsidP="00B60083">
            <w:pPr>
              <w:spacing w:before="60" w:after="60"/>
              <w:rPr>
                <w:sz w:val="20"/>
                <w:lang w:val="en-US" w:bidi="en-US"/>
              </w:rPr>
            </w:pPr>
            <w:r w:rsidRPr="004F1832">
              <w:rPr>
                <w:sz w:val="20"/>
                <w:lang w:val="en-US" w:bidi="en-US"/>
              </w:rPr>
              <w:t>Have work pauses been taken as appropriate?</w:t>
            </w:r>
          </w:p>
        </w:tc>
        <w:tc>
          <w:tcPr>
            <w:tcW w:w="992" w:type="dxa"/>
          </w:tcPr>
          <w:p w:rsidR="00B60083" w:rsidRPr="004F1832" w:rsidRDefault="00B60083" w:rsidP="00B60083">
            <w:pPr>
              <w:spacing w:before="60" w:after="60"/>
              <w:rPr>
                <w:sz w:val="20"/>
                <w:lang w:val="en-US" w:bidi="en-US"/>
              </w:rPr>
            </w:pPr>
          </w:p>
        </w:tc>
        <w:tc>
          <w:tcPr>
            <w:tcW w:w="992" w:type="dxa"/>
          </w:tcPr>
          <w:p w:rsidR="00B60083" w:rsidRPr="004F1832" w:rsidRDefault="00B60083" w:rsidP="00B60083">
            <w:pPr>
              <w:spacing w:before="60" w:after="60"/>
              <w:rPr>
                <w:sz w:val="20"/>
                <w:lang w:val="en-US" w:bidi="en-US"/>
              </w:rPr>
            </w:pPr>
          </w:p>
        </w:tc>
        <w:tc>
          <w:tcPr>
            <w:tcW w:w="2468" w:type="dxa"/>
          </w:tcPr>
          <w:p w:rsidR="00B60083" w:rsidRPr="004F1832" w:rsidRDefault="00B60083" w:rsidP="00B60083">
            <w:pPr>
              <w:spacing w:before="60" w:after="60"/>
              <w:rPr>
                <w:sz w:val="20"/>
                <w:lang w:val="en-US" w:bidi="en-US"/>
              </w:rPr>
            </w:pPr>
          </w:p>
        </w:tc>
      </w:tr>
      <w:tr w:rsidR="00B60083" w:rsidRPr="004F1832" w:rsidTr="00B60083">
        <w:trPr>
          <w:cnfStyle w:val="000000100000" w:firstRow="0" w:lastRow="0" w:firstColumn="0" w:lastColumn="0" w:oddVBand="0" w:evenVBand="0" w:oddHBand="1" w:evenHBand="0" w:firstRowFirstColumn="0" w:firstRowLastColumn="0" w:lastRowFirstColumn="0" w:lastRowLastColumn="0"/>
        </w:trPr>
        <w:tc>
          <w:tcPr>
            <w:tcW w:w="6204" w:type="dxa"/>
          </w:tcPr>
          <w:p w:rsidR="00B60083" w:rsidRPr="004F1832" w:rsidRDefault="00B60083" w:rsidP="00B60083">
            <w:pPr>
              <w:spacing w:before="60" w:after="60"/>
              <w:rPr>
                <w:sz w:val="20"/>
                <w:lang w:val="en-US" w:bidi="en-US"/>
              </w:rPr>
            </w:pPr>
            <w:r w:rsidRPr="004F1832">
              <w:rPr>
                <w:sz w:val="20"/>
                <w:lang w:val="en-US" w:bidi="en-US"/>
              </w:rPr>
              <w:t>Is the work area around the user safe and free of hazards/obstructions?</w:t>
            </w:r>
          </w:p>
        </w:tc>
        <w:tc>
          <w:tcPr>
            <w:tcW w:w="992" w:type="dxa"/>
          </w:tcPr>
          <w:p w:rsidR="00B60083" w:rsidRPr="004F1832" w:rsidRDefault="00B60083" w:rsidP="00B60083">
            <w:pPr>
              <w:spacing w:before="60" w:after="60"/>
              <w:rPr>
                <w:sz w:val="20"/>
                <w:lang w:val="en-US" w:bidi="en-US"/>
              </w:rPr>
            </w:pPr>
          </w:p>
        </w:tc>
        <w:tc>
          <w:tcPr>
            <w:tcW w:w="992" w:type="dxa"/>
          </w:tcPr>
          <w:p w:rsidR="00B60083" w:rsidRPr="004F1832" w:rsidRDefault="00B60083" w:rsidP="00B60083">
            <w:pPr>
              <w:spacing w:before="60" w:after="60"/>
              <w:rPr>
                <w:sz w:val="20"/>
                <w:lang w:val="en-US" w:bidi="en-US"/>
              </w:rPr>
            </w:pPr>
          </w:p>
        </w:tc>
        <w:tc>
          <w:tcPr>
            <w:tcW w:w="2468" w:type="dxa"/>
          </w:tcPr>
          <w:p w:rsidR="00B60083" w:rsidRPr="004F1832" w:rsidRDefault="00B60083" w:rsidP="00B60083">
            <w:pPr>
              <w:spacing w:before="60" w:after="60"/>
              <w:rPr>
                <w:sz w:val="20"/>
                <w:lang w:val="en-US" w:bidi="en-US"/>
              </w:rPr>
            </w:pPr>
          </w:p>
        </w:tc>
      </w:tr>
      <w:tr w:rsidR="004F1832" w:rsidRPr="004F1832" w:rsidTr="00B60083">
        <w:tc>
          <w:tcPr>
            <w:tcW w:w="6204" w:type="dxa"/>
          </w:tcPr>
          <w:p w:rsidR="004F1832" w:rsidRPr="004F1832" w:rsidRDefault="004F1832" w:rsidP="004F1832">
            <w:pPr>
              <w:spacing w:before="60" w:after="60"/>
              <w:rPr>
                <w:sz w:val="20"/>
                <w:lang w:val="en-US" w:bidi="en-US"/>
              </w:rPr>
            </w:pPr>
            <w:r w:rsidRPr="004F1832">
              <w:rPr>
                <w:sz w:val="20"/>
                <w:lang w:val="en-US" w:bidi="en-US"/>
              </w:rPr>
              <w:t>Does the user find the lighting satisfactory? (Ask about glare, reflection and the ability to read documents.)</w:t>
            </w:r>
          </w:p>
        </w:tc>
        <w:tc>
          <w:tcPr>
            <w:tcW w:w="992" w:type="dxa"/>
          </w:tcPr>
          <w:p w:rsidR="004F1832" w:rsidRPr="004F1832" w:rsidRDefault="004F1832" w:rsidP="00B60083">
            <w:pPr>
              <w:spacing w:before="60" w:after="60"/>
              <w:rPr>
                <w:sz w:val="20"/>
                <w:lang w:val="en-US" w:bidi="en-US"/>
              </w:rPr>
            </w:pPr>
          </w:p>
        </w:tc>
        <w:tc>
          <w:tcPr>
            <w:tcW w:w="992" w:type="dxa"/>
          </w:tcPr>
          <w:p w:rsidR="004F1832" w:rsidRPr="004F1832" w:rsidRDefault="004F1832" w:rsidP="00B60083">
            <w:pPr>
              <w:spacing w:before="60" w:after="60"/>
              <w:rPr>
                <w:sz w:val="20"/>
                <w:lang w:val="en-US" w:bidi="en-US"/>
              </w:rPr>
            </w:pPr>
          </w:p>
        </w:tc>
        <w:tc>
          <w:tcPr>
            <w:tcW w:w="2468" w:type="dxa"/>
          </w:tcPr>
          <w:p w:rsidR="004F1832" w:rsidRPr="004F1832" w:rsidRDefault="004F1832" w:rsidP="00B60083">
            <w:pPr>
              <w:spacing w:before="60" w:after="60"/>
              <w:rPr>
                <w:sz w:val="20"/>
                <w:lang w:val="en-US" w:bidi="en-US"/>
              </w:rPr>
            </w:pPr>
          </w:p>
        </w:tc>
      </w:tr>
      <w:tr w:rsidR="004F1832" w:rsidRPr="004F1832" w:rsidTr="00B60083">
        <w:trPr>
          <w:cnfStyle w:val="000000100000" w:firstRow="0" w:lastRow="0" w:firstColumn="0" w:lastColumn="0" w:oddVBand="0" w:evenVBand="0" w:oddHBand="1" w:evenHBand="0" w:firstRowFirstColumn="0" w:firstRowLastColumn="0" w:lastRowFirstColumn="0" w:lastRowLastColumn="0"/>
        </w:trPr>
        <w:tc>
          <w:tcPr>
            <w:tcW w:w="6204" w:type="dxa"/>
          </w:tcPr>
          <w:p w:rsidR="004F1832" w:rsidRPr="004F1832" w:rsidRDefault="004F1832" w:rsidP="004F1832">
            <w:pPr>
              <w:spacing w:before="60" w:after="60"/>
              <w:rPr>
                <w:sz w:val="20"/>
                <w:lang w:val="en-US" w:bidi="en-US"/>
              </w:rPr>
            </w:pPr>
            <w:r w:rsidRPr="004F1832">
              <w:rPr>
                <w:sz w:val="20"/>
                <w:lang w:val="en-US" w:bidi="en-US"/>
              </w:rPr>
              <w:t>Does the user find the noise level conducive to concentration?</w:t>
            </w:r>
          </w:p>
        </w:tc>
        <w:tc>
          <w:tcPr>
            <w:tcW w:w="992" w:type="dxa"/>
          </w:tcPr>
          <w:p w:rsidR="004F1832" w:rsidRPr="004F1832" w:rsidRDefault="004F1832" w:rsidP="00B60083">
            <w:pPr>
              <w:spacing w:before="60" w:after="60"/>
              <w:rPr>
                <w:sz w:val="20"/>
                <w:lang w:val="en-US" w:bidi="en-US"/>
              </w:rPr>
            </w:pPr>
          </w:p>
        </w:tc>
        <w:tc>
          <w:tcPr>
            <w:tcW w:w="992" w:type="dxa"/>
          </w:tcPr>
          <w:p w:rsidR="004F1832" w:rsidRPr="004F1832" w:rsidRDefault="004F1832" w:rsidP="00B60083">
            <w:pPr>
              <w:spacing w:before="60" w:after="60"/>
              <w:rPr>
                <w:sz w:val="20"/>
                <w:lang w:val="en-US" w:bidi="en-US"/>
              </w:rPr>
            </w:pPr>
          </w:p>
        </w:tc>
        <w:tc>
          <w:tcPr>
            <w:tcW w:w="2468" w:type="dxa"/>
          </w:tcPr>
          <w:p w:rsidR="004F1832" w:rsidRPr="004F1832" w:rsidRDefault="004F1832" w:rsidP="00B60083">
            <w:pPr>
              <w:spacing w:before="60" w:after="60"/>
              <w:rPr>
                <w:sz w:val="20"/>
                <w:lang w:val="en-US" w:bidi="en-US"/>
              </w:rPr>
            </w:pPr>
          </w:p>
        </w:tc>
      </w:tr>
      <w:tr w:rsidR="004F1832" w:rsidRPr="004F1832" w:rsidTr="00B60083">
        <w:tc>
          <w:tcPr>
            <w:tcW w:w="6204" w:type="dxa"/>
          </w:tcPr>
          <w:p w:rsidR="004F1832" w:rsidRPr="004F1832" w:rsidRDefault="004F1832" w:rsidP="004F1832">
            <w:pPr>
              <w:spacing w:before="60" w:after="60"/>
              <w:rPr>
                <w:sz w:val="20"/>
                <w:lang w:val="en-US" w:bidi="en-US"/>
              </w:rPr>
            </w:pPr>
            <w:r w:rsidRPr="004F1832">
              <w:rPr>
                <w:sz w:val="20"/>
                <w:lang w:val="en-US" w:bidi="en-US"/>
              </w:rPr>
              <w:t>Does the user find the temperature and airflow in the room comfortable?</w:t>
            </w:r>
          </w:p>
        </w:tc>
        <w:tc>
          <w:tcPr>
            <w:tcW w:w="992" w:type="dxa"/>
          </w:tcPr>
          <w:p w:rsidR="004F1832" w:rsidRPr="004F1832" w:rsidRDefault="004F1832" w:rsidP="00B60083">
            <w:pPr>
              <w:spacing w:before="60" w:after="60"/>
              <w:rPr>
                <w:sz w:val="20"/>
                <w:lang w:val="en-US" w:bidi="en-US"/>
              </w:rPr>
            </w:pPr>
          </w:p>
        </w:tc>
        <w:tc>
          <w:tcPr>
            <w:tcW w:w="992" w:type="dxa"/>
          </w:tcPr>
          <w:p w:rsidR="004F1832" w:rsidRPr="004F1832" w:rsidRDefault="004F1832" w:rsidP="00B60083">
            <w:pPr>
              <w:spacing w:before="60" w:after="60"/>
              <w:rPr>
                <w:sz w:val="20"/>
                <w:lang w:val="en-US" w:bidi="en-US"/>
              </w:rPr>
            </w:pPr>
          </w:p>
        </w:tc>
        <w:tc>
          <w:tcPr>
            <w:tcW w:w="2468" w:type="dxa"/>
          </w:tcPr>
          <w:p w:rsidR="004F1832" w:rsidRPr="004F1832" w:rsidRDefault="004F1832" w:rsidP="00B60083">
            <w:pPr>
              <w:spacing w:before="60" w:after="60"/>
              <w:rPr>
                <w:sz w:val="20"/>
                <w:lang w:val="en-US" w:bidi="en-US"/>
              </w:rPr>
            </w:pPr>
          </w:p>
        </w:tc>
      </w:tr>
    </w:tbl>
    <w:p w:rsidR="00B60083" w:rsidRPr="004F1832" w:rsidRDefault="00B60083" w:rsidP="003F30FC">
      <w:pPr>
        <w:spacing w:after="0"/>
        <w:rPr>
          <w:sz w:val="20"/>
          <w:lang w:val="en-US" w:bidi="en-US"/>
        </w:rPr>
      </w:pPr>
    </w:p>
    <w:tbl>
      <w:tblPr>
        <w:tblStyle w:val="GridTable5Dark-Accent6"/>
        <w:tblW w:w="0" w:type="auto"/>
        <w:tblLook w:val="0420" w:firstRow="1" w:lastRow="0" w:firstColumn="0" w:lastColumn="0" w:noHBand="0" w:noVBand="1"/>
      </w:tblPr>
      <w:tblGrid>
        <w:gridCol w:w="6204"/>
        <w:gridCol w:w="992"/>
        <w:gridCol w:w="992"/>
        <w:gridCol w:w="2468"/>
      </w:tblGrid>
      <w:tr w:rsidR="00B60083" w:rsidRPr="004F1832" w:rsidTr="00456083">
        <w:trPr>
          <w:cnfStyle w:val="100000000000" w:firstRow="1" w:lastRow="0" w:firstColumn="0" w:lastColumn="0" w:oddVBand="0" w:evenVBand="0" w:oddHBand="0" w:evenHBand="0" w:firstRowFirstColumn="0" w:firstRowLastColumn="0" w:lastRowFirstColumn="0" w:lastRowLastColumn="0"/>
        </w:trPr>
        <w:tc>
          <w:tcPr>
            <w:tcW w:w="6204" w:type="dxa"/>
          </w:tcPr>
          <w:p w:rsidR="00B60083" w:rsidRPr="004F1832" w:rsidRDefault="00B60083" w:rsidP="00456083">
            <w:pPr>
              <w:spacing w:before="60" w:after="60"/>
              <w:jc w:val="center"/>
              <w:rPr>
                <w:color w:val="auto"/>
                <w:sz w:val="20"/>
                <w:lang w:val="en-US" w:bidi="en-US"/>
              </w:rPr>
            </w:pPr>
            <w:r w:rsidRPr="004F1832">
              <w:rPr>
                <w:color w:val="auto"/>
                <w:sz w:val="20"/>
                <w:lang w:bidi="en-US"/>
              </w:rPr>
              <w:t>WORKSTATION ADJUSTMENT</w:t>
            </w:r>
          </w:p>
        </w:tc>
        <w:tc>
          <w:tcPr>
            <w:tcW w:w="992" w:type="dxa"/>
          </w:tcPr>
          <w:p w:rsidR="00B60083" w:rsidRPr="004F1832" w:rsidRDefault="00B60083" w:rsidP="00456083">
            <w:pPr>
              <w:spacing w:before="60" w:after="60"/>
              <w:jc w:val="center"/>
              <w:rPr>
                <w:color w:val="auto"/>
                <w:sz w:val="20"/>
                <w:lang w:val="en-US" w:bidi="en-US"/>
              </w:rPr>
            </w:pPr>
            <w:r w:rsidRPr="004F1832">
              <w:rPr>
                <w:color w:val="auto"/>
                <w:sz w:val="20"/>
                <w:lang w:bidi="en-US"/>
              </w:rPr>
              <w:t>YES</w:t>
            </w:r>
          </w:p>
        </w:tc>
        <w:tc>
          <w:tcPr>
            <w:tcW w:w="992" w:type="dxa"/>
          </w:tcPr>
          <w:p w:rsidR="00B60083" w:rsidRPr="004F1832" w:rsidRDefault="00B60083" w:rsidP="00456083">
            <w:pPr>
              <w:spacing w:before="60" w:after="60"/>
              <w:jc w:val="center"/>
              <w:rPr>
                <w:color w:val="auto"/>
                <w:sz w:val="20"/>
                <w:lang w:val="en-US" w:bidi="en-US"/>
              </w:rPr>
            </w:pPr>
            <w:r w:rsidRPr="004F1832">
              <w:rPr>
                <w:color w:val="auto"/>
                <w:sz w:val="20"/>
                <w:lang w:bidi="en-US"/>
              </w:rPr>
              <w:t>NO</w:t>
            </w:r>
          </w:p>
        </w:tc>
        <w:tc>
          <w:tcPr>
            <w:tcW w:w="2468" w:type="dxa"/>
          </w:tcPr>
          <w:p w:rsidR="00B60083" w:rsidRPr="004F1832" w:rsidRDefault="00B60083" w:rsidP="00456083">
            <w:pPr>
              <w:spacing w:before="60" w:after="60"/>
              <w:jc w:val="center"/>
              <w:rPr>
                <w:color w:val="auto"/>
                <w:sz w:val="20"/>
                <w:lang w:val="en-US" w:bidi="en-US"/>
              </w:rPr>
            </w:pPr>
            <w:r w:rsidRPr="004F1832">
              <w:rPr>
                <w:color w:val="auto"/>
                <w:sz w:val="20"/>
                <w:lang w:bidi="en-US"/>
              </w:rPr>
              <w:t>COMMENTS</w:t>
            </w:r>
          </w:p>
        </w:tc>
      </w:tr>
      <w:tr w:rsidR="00B60083" w:rsidRPr="004F1832" w:rsidTr="00456083">
        <w:trPr>
          <w:cnfStyle w:val="000000100000" w:firstRow="0" w:lastRow="0" w:firstColumn="0" w:lastColumn="0" w:oddVBand="0" w:evenVBand="0" w:oddHBand="1" w:evenHBand="0" w:firstRowFirstColumn="0" w:firstRowLastColumn="0" w:lastRowFirstColumn="0" w:lastRowLastColumn="0"/>
        </w:trPr>
        <w:tc>
          <w:tcPr>
            <w:tcW w:w="6204" w:type="dxa"/>
          </w:tcPr>
          <w:p w:rsidR="00B60083" w:rsidRPr="004F1832" w:rsidRDefault="003F30FC" w:rsidP="003F30FC">
            <w:pPr>
              <w:spacing w:before="60" w:after="60"/>
              <w:rPr>
                <w:sz w:val="20"/>
                <w:lang w:val="en-US" w:bidi="en-US"/>
              </w:rPr>
            </w:pPr>
            <w:r w:rsidRPr="004F1832">
              <w:rPr>
                <w:sz w:val="20"/>
                <w:lang w:val="en-US" w:bidi="en-US"/>
              </w:rPr>
              <w:t>Is the chair easily adjusted from a seated position?</w:t>
            </w:r>
          </w:p>
        </w:tc>
        <w:tc>
          <w:tcPr>
            <w:tcW w:w="992" w:type="dxa"/>
          </w:tcPr>
          <w:p w:rsidR="00B60083" w:rsidRPr="004F1832" w:rsidRDefault="00B60083" w:rsidP="00456083">
            <w:pPr>
              <w:spacing w:before="60" w:after="60"/>
              <w:rPr>
                <w:sz w:val="20"/>
                <w:lang w:val="en-US" w:bidi="en-US"/>
              </w:rPr>
            </w:pPr>
          </w:p>
        </w:tc>
        <w:tc>
          <w:tcPr>
            <w:tcW w:w="992" w:type="dxa"/>
          </w:tcPr>
          <w:p w:rsidR="00B60083" w:rsidRPr="004F1832" w:rsidRDefault="00B60083" w:rsidP="00456083">
            <w:pPr>
              <w:spacing w:before="60" w:after="60"/>
              <w:rPr>
                <w:sz w:val="20"/>
                <w:lang w:val="en-US" w:bidi="en-US"/>
              </w:rPr>
            </w:pPr>
          </w:p>
        </w:tc>
        <w:tc>
          <w:tcPr>
            <w:tcW w:w="2468" w:type="dxa"/>
          </w:tcPr>
          <w:p w:rsidR="00B60083" w:rsidRPr="004F1832" w:rsidRDefault="00B60083" w:rsidP="00456083">
            <w:pPr>
              <w:spacing w:before="60" w:after="60"/>
              <w:rPr>
                <w:sz w:val="20"/>
                <w:lang w:val="en-US" w:bidi="en-US"/>
              </w:rPr>
            </w:pPr>
          </w:p>
        </w:tc>
      </w:tr>
      <w:tr w:rsidR="00B60083" w:rsidRPr="004F1832" w:rsidTr="00456083">
        <w:tc>
          <w:tcPr>
            <w:tcW w:w="6204" w:type="dxa"/>
          </w:tcPr>
          <w:p w:rsidR="003F30FC" w:rsidRPr="004F1832" w:rsidRDefault="003F30FC" w:rsidP="003F30FC">
            <w:pPr>
              <w:spacing w:before="60" w:after="60"/>
              <w:rPr>
                <w:sz w:val="20"/>
                <w:lang w:val="en-US" w:bidi="en-US"/>
              </w:rPr>
            </w:pPr>
            <w:r w:rsidRPr="004F1832">
              <w:rPr>
                <w:sz w:val="20"/>
                <w:lang w:val="en-US" w:bidi="en-US"/>
              </w:rPr>
              <w:t>Can the user get close to the workstation without impediment?</w:t>
            </w:r>
          </w:p>
          <w:p w:rsidR="00B60083" w:rsidRPr="004F1832" w:rsidRDefault="003F30FC" w:rsidP="003F30FC">
            <w:pPr>
              <w:spacing w:before="60" w:after="60"/>
              <w:rPr>
                <w:i/>
                <w:sz w:val="20"/>
                <w:lang w:val="en-US" w:bidi="en-US"/>
              </w:rPr>
            </w:pPr>
            <w:r w:rsidRPr="004F1832">
              <w:rPr>
                <w:i/>
                <w:sz w:val="20"/>
                <w:lang w:val="en-US" w:bidi="en-US"/>
              </w:rPr>
              <w:t>(Check that the desktop is thin, chair arms are not in the way and there is clear leg room.)</w:t>
            </w:r>
          </w:p>
        </w:tc>
        <w:tc>
          <w:tcPr>
            <w:tcW w:w="992" w:type="dxa"/>
          </w:tcPr>
          <w:p w:rsidR="00B60083" w:rsidRPr="004F1832" w:rsidRDefault="00B60083" w:rsidP="00456083">
            <w:pPr>
              <w:spacing w:before="60" w:after="60"/>
              <w:rPr>
                <w:sz w:val="20"/>
                <w:lang w:val="en-US" w:bidi="en-US"/>
              </w:rPr>
            </w:pPr>
          </w:p>
        </w:tc>
        <w:tc>
          <w:tcPr>
            <w:tcW w:w="992" w:type="dxa"/>
          </w:tcPr>
          <w:p w:rsidR="00B60083" w:rsidRPr="004F1832" w:rsidRDefault="00B60083" w:rsidP="00456083">
            <w:pPr>
              <w:spacing w:before="60" w:after="60"/>
              <w:rPr>
                <w:sz w:val="20"/>
                <w:lang w:val="en-US" w:bidi="en-US"/>
              </w:rPr>
            </w:pPr>
          </w:p>
        </w:tc>
        <w:tc>
          <w:tcPr>
            <w:tcW w:w="2468" w:type="dxa"/>
          </w:tcPr>
          <w:p w:rsidR="00B60083" w:rsidRPr="004F1832" w:rsidRDefault="00B60083" w:rsidP="00456083">
            <w:pPr>
              <w:spacing w:before="60" w:after="60"/>
              <w:rPr>
                <w:sz w:val="20"/>
                <w:lang w:val="en-US" w:bidi="en-US"/>
              </w:rPr>
            </w:pPr>
          </w:p>
        </w:tc>
      </w:tr>
      <w:tr w:rsidR="00B60083" w:rsidRPr="004F1832" w:rsidTr="00456083">
        <w:trPr>
          <w:cnfStyle w:val="000000100000" w:firstRow="0" w:lastRow="0" w:firstColumn="0" w:lastColumn="0" w:oddVBand="0" w:evenVBand="0" w:oddHBand="1" w:evenHBand="0" w:firstRowFirstColumn="0" w:firstRowLastColumn="0" w:lastRowFirstColumn="0" w:lastRowLastColumn="0"/>
        </w:trPr>
        <w:tc>
          <w:tcPr>
            <w:tcW w:w="6204" w:type="dxa"/>
          </w:tcPr>
          <w:p w:rsidR="00B60083" w:rsidRPr="004F1832" w:rsidRDefault="003F30FC" w:rsidP="003F30FC">
            <w:pPr>
              <w:spacing w:before="60" w:after="60"/>
              <w:rPr>
                <w:sz w:val="20"/>
                <w:lang w:val="en-US" w:bidi="en-US"/>
              </w:rPr>
            </w:pPr>
            <w:r w:rsidRPr="004F1832">
              <w:rPr>
                <w:sz w:val="20"/>
                <w:lang w:val="en-US" w:bidi="en-US"/>
              </w:rPr>
              <w:t>Is the seat height adjustable?</w:t>
            </w:r>
          </w:p>
        </w:tc>
        <w:tc>
          <w:tcPr>
            <w:tcW w:w="992" w:type="dxa"/>
          </w:tcPr>
          <w:p w:rsidR="00B60083" w:rsidRPr="004F1832" w:rsidRDefault="00B60083" w:rsidP="00456083">
            <w:pPr>
              <w:spacing w:before="60" w:after="60"/>
              <w:rPr>
                <w:sz w:val="20"/>
                <w:lang w:val="en-US" w:bidi="en-US"/>
              </w:rPr>
            </w:pPr>
          </w:p>
        </w:tc>
        <w:tc>
          <w:tcPr>
            <w:tcW w:w="992" w:type="dxa"/>
          </w:tcPr>
          <w:p w:rsidR="00B60083" w:rsidRPr="004F1832" w:rsidRDefault="00B60083" w:rsidP="00456083">
            <w:pPr>
              <w:spacing w:before="60" w:after="60"/>
              <w:rPr>
                <w:sz w:val="20"/>
                <w:lang w:val="en-US" w:bidi="en-US"/>
              </w:rPr>
            </w:pPr>
          </w:p>
        </w:tc>
        <w:tc>
          <w:tcPr>
            <w:tcW w:w="2468" w:type="dxa"/>
          </w:tcPr>
          <w:p w:rsidR="00B60083" w:rsidRPr="004F1832" w:rsidRDefault="00B60083" w:rsidP="00456083">
            <w:pPr>
              <w:spacing w:before="60" w:after="60"/>
              <w:rPr>
                <w:sz w:val="20"/>
                <w:lang w:val="en-US" w:bidi="en-US"/>
              </w:rPr>
            </w:pPr>
          </w:p>
        </w:tc>
      </w:tr>
      <w:tr w:rsidR="00B60083" w:rsidRPr="004F1832" w:rsidTr="00456083">
        <w:tc>
          <w:tcPr>
            <w:tcW w:w="6204" w:type="dxa"/>
          </w:tcPr>
          <w:p w:rsidR="00B60083" w:rsidRPr="004F1832" w:rsidRDefault="003F30FC" w:rsidP="00456083">
            <w:pPr>
              <w:spacing w:before="60" w:after="60"/>
              <w:rPr>
                <w:sz w:val="20"/>
                <w:lang w:val="en-US" w:bidi="en-US"/>
              </w:rPr>
            </w:pPr>
            <w:r w:rsidRPr="004F1832">
              <w:rPr>
                <w:sz w:val="20"/>
                <w:lang w:val="en-US" w:bidi="en-US"/>
              </w:rPr>
              <w:t>Is the backrest height adjustable?</w:t>
            </w:r>
          </w:p>
        </w:tc>
        <w:tc>
          <w:tcPr>
            <w:tcW w:w="992" w:type="dxa"/>
          </w:tcPr>
          <w:p w:rsidR="00B60083" w:rsidRPr="004F1832" w:rsidRDefault="00B60083" w:rsidP="00456083">
            <w:pPr>
              <w:spacing w:before="60" w:after="60"/>
              <w:rPr>
                <w:sz w:val="20"/>
                <w:lang w:val="en-US" w:bidi="en-US"/>
              </w:rPr>
            </w:pPr>
          </w:p>
        </w:tc>
        <w:tc>
          <w:tcPr>
            <w:tcW w:w="992" w:type="dxa"/>
          </w:tcPr>
          <w:p w:rsidR="00B60083" w:rsidRPr="004F1832" w:rsidRDefault="00B60083" w:rsidP="00456083">
            <w:pPr>
              <w:spacing w:before="60" w:after="60"/>
              <w:rPr>
                <w:sz w:val="20"/>
                <w:lang w:val="en-US" w:bidi="en-US"/>
              </w:rPr>
            </w:pPr>
          </w:p>
        </w:tc>
        <w:tc>
          <w:tcPr>
            <w:tcW w:w="2468" w:type="dxa"/>
          </w:tcPr>
          <w:p w:rsidR="00B60083" w:rsidRPr="004F1832" w:rsidRDefault="00B60083" w:rsidP="00456083">
            <w:pPr>
              <w:spacing w:before="60" w:after="60"/>
              <w:rPr>
                <w:sz w:val="20"/>
                <w:lang w:val="en-US" w:bidi="en-US"/>
              </w:rPr>
            </w:pPr>
          </w:p>
        </w:tc>
      </w:tr>
      <w:tr w:rsidR="003F30FC" w:rsidRPr="004F1832" w:rsidTr="00456083">
        <w:trPr>
          <w:cnfStyle w:val="000000100000" w:firstRow="0" w:lastRow="0" w:firstColumn="0" w:lastColumn="0" w:oddVBand="0" w:evenVBand="0" w:oddHBand="1" w:evenHBand="0" w:firstRowFirstColumn="0" w:firstRowLastColumn="0" w:lastRowFirstColumn="0" w:lastRowLastColumn="0"/>
        </w:trPr>
        <w:tc>
          <w:tcPr>
            <w:tcW w:w="6204" w:type="dxa"/>
          </w:tcPr>
          <w:p w:rsidR="003F30FC" w:rsidRPr="004F1832" w:rsidRDefault="003F30FC" w:rsidP="003F30FC">
            <w:pPr>
              <w:spacing w:before="60" w:after="60"/>
              <w:rPr>
                <w:sz w:val="20"/>
                <w:lang w:val="en-US" w:bidi="en-US"/>
              </w:rPr>
            </w:pPr>
            <w:r w:rsidRPr="004F1832">
              <w:rPr>
                <w:sz w:val="20"/>
                <w:lang w:val="en-US" w:bidi="en-US"/>
              </w:rPr>
              <w:t>Is the backrest angle adjustable?</w:t>
            </w:r>
          </w:p>
        </w:tc>
        <w:tc>
          <w:tcPr>
            <w:tcW w:w="992" w:type="dxa"/>
          </w:tcPr>
          <w:p w:rsidR="003F30FC" w:rsidRPr="004F1832" w:rsidRDefault="003F30FC" w:rsidP="00456083">
            <w:pPr>
              <w:spacing w:before="60" w:after="60"/>
              <w:rPr>
                <w:sz w:val="20"/>
                <w:lang w:val="en-US" w:bidi="en-US"/>
              </w:rPr>
            </w:pPr>
          </w:p>
        </w:tc>
        <w:tc>
          <w:tcPr>
            <w:tcW w:w="992" w:type="dxa"/>
          </w:tcPr>
          <w:p w:rsidR="003F30FC" w:rsidRPr="004F1832" w:rsidRDefault="003F30FC" w:rsidP="00456083">
            <w:pPr>
              <w:spacing w:before="60" w:after="60"/>
              <w:rPr>
                <w:sz w:val="20"/>
                <w:lang w:val="en-US" w:bidi="en-US"/>
              </w:rPr>
            </w:pPr>
          </w:p>
        </w:tc>
        <w:tc>
          <w:tcPr>
            <w:tcW w:w="2468" w:type="dxa"/>
          </w:tcPr>
          <w:p w:rsidR="003F30FC" w:rsidRPr="004F1832" w:rsidRDefault="003F30FC" w:rsidP="00456083">
            <w:pPr>
              <w:spacing w:before="60" w:after="60"/>
              <w:rPr>
                <w:sz w:val="20"/>
                <w:lang w:val="en-US" w:bidi="en-US"/>
              </w:rPr>
            </w:pPr>
          </w:p>
        </w:tc>
      </w:tr>
      <w:tr w:rsidR="003F30FC" w:rsidRPr="004F1832" w:rsidTr="00456083">
        <w:tc>
          <w:tcPr>
            <w:tcW w:w="6204" w:type="dxa"/>
          </w:tcPr>
          <w:p w:rsidR="003F30FC" w:rsidRPr="004F1832" w:rsidRDefault="003F30FC" w:rsidP="003F30FC">
            <w:pPr>
              <w:spacing w:before="60" w:after="60"/>
              <w:rPr>
                <w:sz w:val="20"/>
                <w:lang w:val="en-US" w:bidi="en-US"/>
              </w:rPr>
            </w:pPr>
            <w:r w:rsidRPr="004F1832">
              <w:rPr>
                <w:sz w:val="20"/>
                <w:lang w:val="en-US" w:bidi="en-US"/>
              </w:rPr>
              <w:t xml:space="preserve">Are the user’s forearms parallel with the floor or angled slightly downward? </w:t>
            </w:r>
            <w:r w:rsidRPr="004F1832">
              <w:rPr>
                <w:i/>
                <w:sz w:val="20"/>
                <w:lang w:val="en-US" w:bidi="en-US"/>
              </w:rPr>
              <w:t>(This can be achieved by lowering the desk to suit the user, or, with a fixed-height desk, raising the chair.)</w:t>
            </w:r>
          </w:p>
        </w:tc>
        <w:tc>
          <w:tcPr>
            <w:tcW w:w="992" w:type="dxa"/>
          </w:tcPr>
          <w:p w:rsidR="003F30FC" w:rsidRPr="004F1832" w:rsidRDefault="003F30FC" w:rsidP="00456083">
            <w:pPr>
              <w:spacing w:before="60" w:after="60"/>
              <w:rPr>
                <w:sz w:val="20"/>
                <w:lang w:val="en-US" w:bidi="en-US"/>
              </w:rPr>
            </w:pPr>
          </w:p>
        </w:tc>
        <w:tc>
          <w:tcPr>
            <w:tcW w:w="992" w:type="dxa"/>
          </w:tcPr>
          <w:p w:rsidR="003F30FC" w:rsidRPr="004F1832" w:rsidRDefault="003F30FC" w:rsidP="00456083">
            <w:pPr>
              <w:spacing w:before="60" w:after="60"/>
              <w:rPr>
                <w:sz w:val="20"/>
                <w:lang w:val="en-US" w:bidi="en-US"/>
              </w:rPr>
            </w:pPr>
          </w:p>
        </w:tc>
        <w:tc>
          <w:tcPr>
            <w:tcW w:w="2468" w:type="dxa"/>
          </w:tcPr>
          <w:p w:rsidR="003F30FC" w:rsidRPr="004F1832" w:rsidRDefault="003F30FC" w:rsidP="00456083">
            <w:pPr>
              <w:spacing w:before="60" w:after="60"/>
              <w:rPr>
                <w:sz w:val="20"/>
                <w:lang w:val="en-US" w:bidi="en-US"/>
              </w:rPr>
            </w:pPr>
          </w:p>
        </w:tc>
      </w:tr>
      <w:tr w:rsidR="003F30FC" w:rsidRPr="004F1832" w:rsidTr="00456083">
        <w:trPr>
          <w:cnfStyle w:val="000000100000" w:firstRow="0" w:lastRow="0" w:firstColumn="0" w:lastColumn="0" w:oddVBand="0" w:evenVBand="0" w:oddHBand="1" w:evenHBand="0" w:firstRowFirstColumn="0" w:firstRowLastColumn="0" w:lastRowFirstColumn="0" w:lastRowLastColumn="0"/>
        </w:trPr>
        <w:tc>
          <w:tcPr>
            <w:tcW w:w="6204" w:type="dxa"/>
          </w:tcPr>
          <w:p w:rsidR="003F30FC" w:rsidRPr="004F1832" w:rsidRDefault="003F30FC" w:rsidP="003F30FC">
            <w:pPr>
              <w:spacing w:before="60" w:after="60"/>
              <w:rPr>
                <w:sz w:val="20"/>
                <w:lang w:val="en-US" w:bidi="en-US"/>
              </w:rPr>
            </w:pPr>
            <w:r w:rsidRPr="004F1832">
              <w:rPr>
                <w:sz w:val="20"/>
                <w:lang w:val="en-US" w:bidi="en-US"/>
              </w:rPr>
              <w:t xml:space="preserve">Is the desk height appropriate for the user </w:t>
            </w:r>
            <w:r w:rsidRPr="004F1832">
              <w:rPr>
                <w:i/>
                <w:sz w:val="20"/>
                <w:lang w:val="en-US" w:bidi="en-US"/>
              </w:rPr>
              <w:t>(or If applicable)</w:t>
            </w:r>
            <w:r w:rsidRPr="004F1832">
              <w:rPr>
                <w:sz w:val="20"/>
                <w:lang w:val="en-US" w:bidi="en-US"/>
              </w:rPr>
              <w:t xml:space="preserve"> Is the desk height adjustable?</w:t>
            </w:r>
          </w:p>
        </w:tc>
        <w:tc>
          <w:tcPr>
            <w:tcW w:w="992" w:type="dxa"/>
          </w:tcPr>
          <w:p w:rsidR="003F30FC" w:rsidRPr="004F1832" w:rsidRDefault="003F30FC" w:rsidP="00456083">
            <w:pPr>
              <w:spacing w:before="60" w:after="60"/>
              <w:rPr>
                <w:sz w:val="20"/>
                <w:lang w:val="en-US" w:bidi="en-US"/>
              </w:rPr>
            </w:pPr>
          </w:p>
        </w:tc>
        <w:tc>
          <w:tcPr>
            <w:tcW w:w="992" w:type="dxa"/>
          </w:tcPr>
          <w:p w:rsidR="003F30FC" w:rsidRPr="004F1832" w:rsidRDefault="003F30FC" w:rsidP="00456083">
            <w:pPr>
              <w:spacing w:before="60" w:after="60"/>
              <w:rPr>
                <w:sz w:val="20"/>
                <w:lang w:val="en-US" w:bidi="en-US"/>
              </w:rPr>
            </w:pPr>
          </w:p>
        </w:tc>
        <w:tc>
          <w:tcPr>
            <w:tcW w:w="2468" w:type="dxa"/>
          </w:tcPr>
          <w:p w:rsidR="003F30FC" w:rsidRPr="004F1832" w:rsidRDefault="003F30FC" w:rsidP="00456083">
            <w:pPr>
              <w:spacing w:before="60" w:after="60"/>
              <w:rPr>
                <w:sz w:val="20"/>
                <w:lang w:val="en-US" w:bidi="en-US"/>
              </w:rPr>
            </w:pPr>
          </w:p>
        </w:tc>
      </w:tr>
      <w:tr w:rsidR="003F30FC" w:rsidRPr="004F1832" w:rsidTr="00456083">
        <w:tc>
          <w:tcPr>
            <w:tcW w:w="6204" w:type="dxa"/>
          </w:tcPr>
          <w:p w:rsidR="003F30FC" w:rsidRPr="004F1832" w:rsidRDefault="003F30FC" w:rsidP="003F30FC">
            <w:pPr>
              <w:spacing w:before="60" w:after="60"/>
              <w:ind w:left="851"/>
              <w:rPr>
                <w:sz w:val="20"/>
                <w:lang w:val="en-US" w:bidi="en-US"/>
              </w:rPr>
            </w:pPr>
            <w:r w:rsidRPr="004F1832">
              <w:rPr>
                <w:sz w:val="20"/>
                <w:lang w:val="en-US" w:bidi="en-US"/>
              </w:rPr>
              <w:t xml:space="preserve">If YES, is the adjustment easily operated? </w:t>
            </w:r>
          </w:p>
        </w:tc>
        <w:tc>
          <w:tcPr>
            <w:tcW w:w="992" w:type="dxa"/>
          </w:tcPr>
          <w:p w:rsidR="003F30FC" w:rsidRPr="004F1832" w:rsidRDefault="003F30FC" w:rsidP="00456083">
            <w:pPr>
              <w:spacing w:before="60" w:after="60"/>
              <w:rPr>
                <w:sz w:val="20"/>
                <w:lang w:val="en-US" w:bidi="en-US"/>
              </w:rPr>
            </w:pPr>
          </w:p>
        </w:tc>
        <w:tc>
          <w:tcPr>
            <w:tcW w:w="992" w:type="dxa"/>
          </w:tcPr>
          <w:p w:rsidR="003F30FC" w:rsidRPr="004F1832" w:rsidRDefault="003F30FC" w:rsidP="00456083">
            <w:pPr>
              <w:spacing w:before="60" w:after="60"/>
              <w:rPr>
                <w:sz w:val="20"/>
                <w:lang w:val="en-US" w:bidi="en-US"/>
              </w:rPr>
            </w:pPr>
          </w:p>
        </w:tc>
        <w:tc>
          <w:tcPr>
            <w:tcW w:w="2468" w:type="dxa"/>
          </w:tcPr>
          <w:p w:rsidR="003F30FC" w:rsidRPr="004F1832" w:rsidRDefault="003F30FC" w:rsidP="00456083">
            <w:pPr>
              <w:spacing w:before="60" w:after="60"/>
              <w:rPr>
                <w:sz w:val="20"/>
                <w:lang w:val="en-US" w:bidi="en-US"/>
              </w:rPr>
            </w:pPr>
          </w:p>
        </w:tc>
      </w:tr>
      <w:tr w:rsidR="003F30FC" w:rsidRPr="004F1832" w:rsidTr="00456083">
        <w:trPr>
          <w:cnfStyle w:val="000000100000" w:firstRow="0" w:lastRow="0" w:firstColumn="0" w:lastColumn="0" w:oddVBand="0" w:evenVBand="0" w:oddHBand="1" w:evenHBand="0" w:firstRowFirstColumn="0" w:firstRowLastColumn="0" w:lastRowFirstColumn="0" w:lastRowLastColumn="0"/>
        </w:trPr>
        <w:tc>
          <w:tcPr>
            <w:tcW w:w="6204" w:type="dxa"/>
          </w:tcPr>
          <w:p w:rsidR="003F30FC" w:rsidRPr="004F1832" w:rsidRDefault="003F30FC" w:rsidP="003F30FC">
            <w:pPr>
              <w:spacing w:before="60" w:after="60"/>
              <w:ind w:left="851"/>
              <w:rPr>
                <w:sz w:val="20"/>
                <w:lang w:val="en-US" w:bidi="en-US"/>
              </w:rPr>
            </w:pPr>
            <w:r w:rsidRPr="004F1832">
              <w:rPr>
                <w:sz w:val="20"/>
                <w:lang w:val="en-US" w:bidi="en-US"/>
              </w:rPr>
              <w:t>If NO, has the user been provided with a footrest?</w:t>
            </w:r>
          </w:p>
        </w:tc>
        <w:tc>
          <w:tcPr>
            <w:tcW w:w="992" w:type="dxa"/>
          </w:tcPr>
          <w:p w:rsidR="003F30FC" w:rsidRPr="004F1832" w:rsidRDefault="003F30FC" w:rsidP="00456083">
            <w:pPr>
              <w:spacing w:before="60" w:after="60"/>
              <w:rPr>
                <w:sz w:val="20"/>
                <w:lang w:val="en-US" w:bidi="en-US"/>
              </w:rPr>
            </w:pPr>
          </w:p>
        </w:tc>
        <w:tc>
          <w:tcPr>
            <w:tcW w:w="992" w:type="dxa"/>
          </w:tcPr>
          <w:p w:rsidR="003F30FC" w:rsidRPr="004F1832" w:rsidRDefault="003F30FC" w:rsidP="00456083">
            <w:pPr>
              <w:spacing w:before="60" w:after="60"/>
              <w:rPr>
                <w:sz w:val="20"/>
                <w:lang w:val="en-US" w:bidi="en-US"/>
              </w:rPr>
            </w:pPr>
          </w:p>
        </w:tc>
        <w:tc>
          <w:tcPr>
            <w:tcW w:w="2468" w:type="dxa"/>
          </w:tcPr>
          <w:p w:rsidR="003F30FC" w:rsidRPr="004F1832" w:rsidRDefault="003F30FC" w:rsidP="00456083">
            <w:pPr>
              <w:spacing w:before="60" w:after="60"/>
              <w:rPr>
                <w:sz w:val="20"/>
                <w:lang w:val="en-US" w:bidi="en-US"/>
              </w:rPr>
            </w:pPr>
          </w:p>
        </w:tc>
      </w:tr>
      <w:tr w:rsidR="003F30FC" w:rsidRPr="004F1832" w:rsidTr="00456083">
        <w:tc>
          <w:tcPr>
            <w:tcW w:w="6204" w:type="dxa"/>
          </w:tcPr>
          <w:p w:rsidR="003F30FC" w:rsidRPr="004F1832" w:rsidRDefault="003F30FC" w:rsidP="003F30FC">
            <w:pPr>
              <w:spacing w:before="60" w:after="60"/>
              <w:rPr>
                <w:sz w:val="20"/>
                <w:lang w:val="en-US" w:bidi="en-US"/>
              </w:rPr>
            </w:pPr>
            <w:r w:rsidRPr="004F1832">
              <w:rPr>
                <w:sz w:val="20"/>
                <w:lang w:val="en-US" w:bidi="en-US"/>
              </w:rPr>
              <w:t>Is the footrest large enough to support both feet and allow a change of position?</w:t>
            </w:r>
          </w:p>
        </w:tc>
        <w:tc>
          <w:tcPr>
            <w:tcW w:w="992" w:type="dxa"/>
          </w:tcPr>
          <w:p w:rsidR="003F30FC" w:rsidRPr="004F1832" w:rsidRDefault="003F30FC" w:rsidP="00456083">
            <w:pPr>
              <w:spacing w:before="60" w:after="60"/>
              <w:rPr>
                <w:sz w:val="20"/>
                <w:lang w:val="en-US" w:bidi="en-US"/>
              </w:rPr>
            </w:pPr>
          </w:p>
        </w:tc>
        <w:tc>
          <w:tcPr>
            <w:tcW w:w="992" w:type="dxa"/>
          </w:tcPr>
          <w:p w:rsidR="003F30FC" w:rsidRPr="004F1832" w:rsidRDefault="003F30FC" w:rsidP="00456083">
            <w:pPr>
              <w:spacing w:before="60" w:after="60"/>
              <w:rPr>
                <w:sz w:val="20"/>
                <w:lang w:val="en-US" w:bidi="en-US"/>
              </w:rPr>
            </w:pPr>
          </w:p>
        </w:tc>
        <w:tc>
          <w:tcPr>
            <w:tcW w:w="2468" w:type="dxa"/>
          </w:tcPr>
          <w:p w:rsidR="003F30FC" w:rsidRPr="004F1832" w:rsidRDefault="003F30FC" w:rsidP="00456083">
            <w:pPr>
              <w:spacing w:before="60" w:after="60"/>
              <w:rPr>
                <w:sz w:val="20"/>
                <w:lang w:val="en-US" w:bidi="en-US"/>
              </w:rPr>
            </w:pPr>
          </w:p>
        </w:tc>
      </w:tr>
    </w:tbl>
    <w:p w:rsidR="00B60083" w:rsidRPr="004F1832" w:rsidRDefault="00B60083" w:rsidP="003F30FC">
      <w:pPr>
        <w:spacing w:after="0"/>
        <w:rPr>
          <w:sz w:val="20"/>
          <w:lang w:val="en-US" w:bidi="en-US"/>
        </w:rPr>
      </w:pPr>
    </w:p>
    <w:tbl>
      <w:tblPr>
        <w:tblStyle w:val="GridTable5Dark-Accent6"/>
        <w:tblW w:w="0" w:type="auto"/>
        <w:tblLook w:val="0420" w:firstRow="1" w:lastRow="0" w:firstColumn="0" w:lastColumn="0" w:noHBand="0" w:noVBand="1"/>
      </w:tblPr>
      <w:tblGrid>
        <w:gridCol w:w="6204"/>
        <w:gridCol w:w="992"/>
        <w:gridCol w:w="992"/>
        <w:gridCol w:w="2468"/>
      </w:tblGrid>
      <w:tr w:rsidR="004F1832" w:rsidRPr="004F1832" w:rsidTr="00456083">
        <w:trPr>
          <w:cnfStyle w:val="100000000000" w:firstRow="1" w:lastRow="0" w:firstColumn="0" w:lastColumn="0" w:oddVBand="0" w:evenVBand="0" w:oddHBand="0" w:evenHBand="0" w:firstRowFirstColumn="0" w:firstRowLastColumn="0" w:lastRowFirstColumn="0" w:lastRowLastColumn="0"/>
        </w:trPr>
        <w:tc>
          <w:tcPr>
            <w:tcW w:w="6204" w:type="dxa"/>
          </w:tcPr>
          <w:p w:rsidR="004F1832" w:rsidRPr="004F1832" w:rsidRDefault="004F1832" w:rsidP="00456083">
            <w:pPr>
              <w:spacing w:before="60" w:after="60"/>
              <w:jc w:val="center"/>
              <w:rPr>
                <w:color w:val="auto"/>
                <w:sz w:val="20"/>
                <w:lang w:val="en-US" w:bidi="en-US"/>
              </w:rPr>
            </w:pPr>
            <w:r w:rsidRPr="004F1832">
              <w:rPr>
                <w:color w:val="auto"/>
                <w:sz w:val="20"/>
                <w:lang w:bidi="en-US"/>
              </w:rPr>
              <w:t>WORKSTATION LAYOUT</w:t>
            </w:r>
          </w:p>
        </w:tc>
        <w:tc>
          <w:tcPr>
            <w:tcW w:w="992" w:type="dxa"/>
          </w:tcPr>
          <w:p w:rsidR="004F1832" w:rsidRPr="004F1832" w:rsidRDefault="004F1832" w:rsidP="00456083">
            <w:pPr>
              <w:spacing w:before="60" w:after="60"/>
              <w:jc w:val="center"/>
              <w:rPr>
                <w:color w:val="auto"/>
                <w:sz w:val="20"/>
                <w:lang w:val="en-US" w:bidi="en-US"/>
              </w:rPr>
            </w:pPr>
            <w:r w:rsidRPr="004F1832">
              <w:rPr>
                <w:color w:val="auto"/>
                <w:sz w:val="20"/>
                <w:lang w:bidi="en-US"/>
              </w:rPr>
              <w:t>YES</w:t>
            </w:r>
          </w:p>
        </w:tc>
        <w:tc>
          <w:tcPr>
            <w:tcW w:w="992" w:type="dxa"/>
          </w:tcPr>
          <w:p w:rsidR="004F1832" w:rsidRPr="004F1832" w:rsidRDefault="004F1832" w:rsidP="00456083">
            <w:pPr>
              <w:spacing w:before="60" w:after="60"/>
              <w:jc w:val="center"/>
              <w:rPr>
                <w:color w:val="auto"/>
                <w:sz w:val="20"/>
                <w:lang w:val="en-US" w:bidi="en-US"/>
              </w:rPr>
            </w:pPr>
            <w:r w:rsidRPr="004F1832">
              <w:rPr>
                <w:color w:val="auto"/>
                <w:sz w:val="20"/>
                <w:lang w:bidi="en-US"/>
              </w:rPr>
              <w:t>NO</w:t>
            </w:r>
          </w:p>
        </w:tc>
        <w:tc>
          <w:tcPr>
            <w:tcW w:w="2468" w:type="dxa"/>
          </w:tcPr>
          <w:p w:rsidR="004F1832" w:rsidRPr="004F1832" w:rsidRDefault="004F1832" w:rsidP="00456083">
            <w:pPr>
              <w:spacing w:before="60" w:after="60"/>
              <w:jc w:val="center"/>
              <w:rPr>
                <w:color w:val="auto"/>
                <w:sz w:val="20"/>
                <w:lang w:val="en-US" w:bidi="en-US"/>
              </w:rPr>
            </w:pPr>
            <w:r w:rsidRPr="004F1832">
              <w:rPr>
                <w:color w:val="auto"/>
                <w:sz w:val="20"/>
                <w:lang w:bidi="en-US"/>
              </w:rPr>
              <w:t>COMMENTS</w:t>
            </w:r>
          </w:p>
        </w:tc>
      </w:tr>
      <w:tr w:rsidR="004F1832" w:rsidRPr="004F1832" w:rsidTr="00456083">
        <w:trPr>
          <w:cnfStyle w:val="000000100000" w:firstRow="0" w:lastRow="0" w:firstColumn="0" w:lastColumn="0" w:oddVBand="0" w:evenVBand="0" w:oddHBand="1" w:evenHBand="0" w:firstRowFirstColumn="0" w:firstRowLastColumn="0" w:lastRowFirstColumn="0" w:lastRowLastColumn="0"/>
        </w:trPr>
        <w:tc>
          <w:tcPr>
            <w:tcW w:w="6204" w:type="dxa"/>
          </w:tcPr>
          <w:p w:rsidR="004F1832" w:rsidRPr="004F1832" w:rsidRDefault="004F1832" w:rsidP="004F1832">
            <w:pPr>
              <w:spacing w:before="60" w:after="60"/>
              <w:rPr>
                <w:sz w:val="20"/>
                <w:lang w:val="en-US" w:bidi="en-US"/>
              </w:rPr>
            </w:pPr>
            <w:r w:rsidRPr="004F1832">
              <w:rPr>
                <w:sz w:val="20"/>
                <w:lang w:val="en-US" w:bidi="en-US"/>
              </w:rPr>
              <w:t>Is the keyboard detached from the screen to ensure a comfortable working position?</w:t>
            </w:r>
          </w:p>
        </w:tc>
        <w:tc>
          <w:tcPr>
            <w:tcW w:w="992" w:type="dxa"/>
          </w:tcPr>
          <w:p w:rsidR="004F1832" w:rsidRPr="004F1832" w:rsidRDefault="004F1832" w:rsidP="00456083">
            <w:pPr>
              <w:spacing w:before="60" w:after="60"/>
              <w:rPr>
                <w:sz w:val="20"/>
                <w:lang w:val="en-US" w:bidi="en-US"/>
              </w:rPr>
            </w:pPr>
          </w:p>
        </w:tc>
        <w:tc>
          <w:tcPr>
            <w:tcW w:w="992" w:type="dxa"/>
          </w:tcPr>
          <w:p w:rsidR="004F1832" w:rsidRPr="004F1832" w:rsidRDefault="004F1832" w:rsidP="00456083">
            <w:pPr>
              <w:spacing w:before="60" w:after="60"/>
              <w:rPr>
                <w:sz w:val="20"/>
                <w:lang w:val="en-US" w:bidi="en-US"/>
              </w:rPr>
            </w:pPr>
          </w:p>
        </w:tc>
        <w:tc>
          <w:tcPr>
            <w:tcW w:w="2468" w:type="dxa"/>
          </w:tcPr>
          <w:p w:rsidR="004F1832" w:rsidRPr="004F1832" w:rsidRDefault="004F1832" w:rsidP="00456083">
            <w:pPr>
              <w:spacing w:before="60" w:after="60"/>
              <w:rPr>
                <w:sz w:val="20"/>
                <w:lang w:val="en-US" w:bidi="en-US"/>
              </w:rPr>
            </w:pPr>
          </w:p>
        </w:tc>
      </w:tr>
      <w:tr w:rsidR="004F1832" w:rsidRPr="004F1832" w:rsidTr="00456083">
        <w:tc>
          <w:tcPr>
            <w:tcW w:w="6204" w:type="dxa"/>
          </w:tcPr>
          <w:p w:rsidR="004F1832" w:rsidRPr="004F1832" w:rsidRDefault="004F1832" w:rsidP="004F1832">
            <w:pPr>
              <w:spacing w:before="60" w:after="60"/>
              <w:rPr>
                <w:sz w:val="20"/>
              </w:rPr>
            </w:pPr>
            <w:r w:rsidRPr="004F1832">
              <w:rPr>
                <w:sz w:val="20"/>
              </w:rPr>
              <w:t>Is the keyboard thin enough for comfortable positioning of the arms?</w:t>
            </w:r>
          </w:p>
        </w:tc>
        <w:tc>
          <w:tcPr>
            <w:tcW w:w="992" w:type="dxa"/>
          </w:tcPr>
          <w:p w:rsidR="004F1832" w:rsidRPr="004F1832" w:rsidRDefault="004F1832" w:rsidP="00456083">
            <w:pPr>
              <w:spacing w:before="60" w:after="60"/>
              <w:rPr>
                <w:sz w:val="20"/>
                <w:lang w:val="en-US" w:bidi="en-US"/>
              </w:rPr>
            </w:pPr>
          </w:p>
        </w:tc>
        <w:tc>
          <w:tcPr>
            <w:tcW w:w="992" w:type="dxa"/>
          </w:tcPr>
          <w:p w:rsidR="004F1832" w:rsidRPr="004F1832" w:rsidRDefault="004F1832" w:rsidP="00456083">
            <w:pPr>
              <w:spacing w:before="60" w:after="60"/>
              <w:rPr>
                <w:sz w:val="20"/>
                <w:lang w:val="en-US" w:bidi="en-US"/>
              </w:rPr>
            </w:pPr>
          </w:p>
        </w:tc>
        <w:tc>
          <w:tcPr>
            <w:tcW w:w="2468" w:type="dxa"/>
          </w:tcPr>
          <w:p w:rsidR="004F1832" w:rsidRPr="004F1832" w:rsidRDefault="004F1832" w:rsidP="00456083">
            <w:pPr>
              <w:spacing w:before="60" w:after="60"/>
              <w:rPr>
                <w:sz w:val="20"/>
                <w:lang w:val="en-US" w:bidi="en-US"/>
              </w:rPr>
            </w:pPr>
          </w:p>
        </w:tc>
      </w:tr>
      <w:tr w:rsidR="004F1832" w:rsidRPr="004F1832" w:rsidTr="00456083">
        <w:trPr>
          <w:cnfStyle w:val="000000100000" w:firstRow="0" w:lastRow="0" w:firstColumn="0" w:lastColumn="0" w:oddVBand="0" w:evenVBand="0" w:oddHBand="1" w:evenHBand="0" w:firstRowFirstColumn="0" w:firstRowLastColumn="0" w:lastRowFirstColumn="0" w:lastRowLastColumn="0"/>
        </w:trPr>
        <w:tc>
          <w:tcPr>
            <w:tcW w:w="6204" w:type="dxa"/>
          </w:tcPr>
          <w:p w:rsidR="004F1832" w:rsidRPr="004F1832" w:rsidRDefault="004F1832" w:rsidP="004F1832">
            <w:pPr>
              <w:spacing w:before="60" w:after="60"/>
              <w:rPr>
                <w:sz w:val="20"/>
              </w:rPr>
            </w:pPr>
            <w:r w:rsidRPr="004F1832">
              <w:rPr>
                <w:sz w:val="20"/>
              </w:rPr>
              <w:t>Are all often-used items within easy reach? (They should be within normal arm reach with minimum trunk movement.)</w:t>
            </w:r>
          </w:p>
        </w:tc>
        <w:tc>
          <w:tcPr>
            <w:tcW w:w="992" w:type="dxa"/>
          </w:tcPr>
          <w:p w:rsidR="004F1832" w:rsidRPr="004F1832" w:rsidRDefault="004F1832" w:rsidP="00456083">
            <w:pPr>
              <w:spacing w:before="60" w:after="60"/>
              <w:rPr>
                <w:sz w:val="20"/>
                <w:lang w:val="en-US" w:bidi="en-US"/>
              </w:rPr>
            </w:pPr>
          </w:p>
        </w:tc>
        <w:tc>
          <w:tcPr>
            <w:tcW w:w="992" w:type="dxa"/>
          </w:tcPr>
          <w:p w:rsidR="004F1832" w:rsidRPr="004F1832" w:rsidRDefault="004F1832" w:rsidP="00456083">
            <w:pPr>
              <w:spacing w:before="60" w:after="60"/>
              <w:rPr>
                <w:sz w:val="20"/>
                <w:lang w:val="en-US" w:bidi="en-US"/>
              </w:rPr>
            </w:pPr>
          </w:p>
        </w:tc>
        <w:tc>
          <w:tcPr>
            <w:tcW w:w="2468" w:type="dxa"/>
          </w:tcPr>
          <w:p w:rsidR="004F1832" w:rsidRPr="004F1832" w:rsidRDefault="004F1832" w:rsidP="00456083">
            <w:pPr>
              <w:spacing w:before="60" w:after="60"/>
              <w:rPr>
                <w:sz w:val="20"/>
                <w:lang w:val="en-US" w:bidi="en-US"/>
              </w:rPr>
            </w:pPr>
          </w:p>
        </w:tc>
      </w:tr>
      <w:tr w:rsidR="004F1832" w:rsidRPr="004F1832" w:rsidTr="00456083">
        <w:tc>
          <w:tcPr>
            <w:tcW w:w="6204" w:type="dxa"/>
          </w:tcPr>
          <w:p w:rsidR="004F1832" w:rsidRPr="004F1832" w:rsidRDefault="004F1832" w:rsidP="004F1832">
            <w:pPr>
              <w:spacing w:before="60" w:after="60"/>
              <w:rPr>
                <w:sz w:val="20"/>
              </w:rPr>
            </w:pPr>
            <w:r w:rsidRPr="004F1832">
              <w:rPr>
                <w:sz w:val="20"/>
              </w:rPr>
              <w:t>Is the workstation designed to prevent undue twisting of the neck or trunk?</w:t>
            </w:r>
          </w:p>
        </w:tc>
        <w:tc>
          <w:tcPr>
            <w:tcW w:w="992" w:type="dxa"/>
          </w:tcPr>
          <w:p w:rsidR="004F1832" w:rsidRPr="004F1832" w:rsidRDefault="004F1832" w:rsidP="00456083">
            <w:pPr>
              <w:spacing w:before="60" w:after="60"/>
              <w:rPr>
                <w:sz w:val="20"/>
                <w:lang w:val="en-US" w:bidi="en-US"/>
              </w:rPr>
            </w:pPr>
          </w:p>
        </w:tc>
        <w:tc>
          <w:tcPr>
            <w:tcW w:w="992" w:type="dxa"/>
          </w:tcPr>
          <w:p w:rsidR="004F1832" w:rsidRPr="004F1832" w:rsidRDefault="004F1832" w:rsidP="00456083">
            <w:pPr>
              <w:spacing w:before="60" w:after="60"/>
              <w:rPr>
                <w:sz w:val="20"/>
                <w:lang w:val="en-US" w:bidi="en-US"/>
              </w:rPr>
            </w:pPr>
          </w:p>
        </w:tc>
        <w:tc>
          <w:tcPr>
            <w:tcW w:w="2468" w:type="dxa"/>
          </w:tcPr>
          <w:p w:rsidR="004F1832" w:rsidRPr="004F1832" w:rsidRDefault="004F1832" w:rsidP="00456083">
            <w:pPr>
              <w:spacing w:before="60" w:after="60"/>
              <w:rPr>
                <w:sz w:val="20"/>
                <w:lang w:val="en-US" w:bidi="en-US"/>
              </w:rPr>
            </w:pPr>
          </w:p>
        </w:tc>
      </w:tr>
    </w:tbl>
    <w:p w:rsidR="004F1832" w:rsidRPr="004F1832" w:rsidRDefault="004F1832" w:rsidP="003F30FC">
      <w:pPr>
        <w:spacing w:after="0"/>
        <w:rPr>
          <w:sz w:val="20"/>
          <w:lang w:val="en-US" w:bidi="en-US"/>
        </w:rPr>
      </w:pPr>
    </w:p>
    <w:tbl>
      <w:tblPr>
        <w:tblStyle w:val="GridTable5Dark-Accent6"/>
        <w:tblW w:w="0" w:type="auto"/>
        <w:tblLook w:val="0420" w:firstRow="1" w:lastRow="0" w:firstColumn="0" w:lastColumn="0" w:noHBand="0" w:noVBand="1"/>
      </w:tblPr>
      <w:tblGrid>
        <w:gridCol w:w="6204"/>
        <w:gridCol w:w="992"/>
        <w:gridCol w:w="992"/>
        <w:gridCol w:w="2468"/>
      </w:tblGrid>
      <w:tr w:rsidR="003F30FC" w:rsidRPr="004F1832" w:rsidTr="00456083">
        <w:trPr>
          <w:cnfStyle w:val="100000000000" w:firstRow="1" w:lastRow="0" w:firstColumn="0" w:lastColumn="0" w:oddVBand="0" w:evenVBand="0" w:oddHBand="0" w:evenHBand="0" w:firstRowFirstColumn="0" w:firstRowLastColumn="0" w:lastRowFirstColumn="0" w:lastRowLastColumn="0"/>
        </w:trPr>
        <w:tc>
          <w:tcPr>
            <w:tcW w:w="6204" w:type="dxa"/>
          </w:tcPr>
          <w:p w:rsidR="003F30FC" w:rsidRPr="004F1832" w:rsidRDefault="003F30FC" w:rsidP="00456083">
            <w:pPr>
              <w:spacing w:before="60" w:after="60"/>
              <w:jc w:val="center"/>
              <w:rPr>
                <w:color w:val="auto"/>
                <w:sz w:val="20"/>
                <w:lang w:val="en-US" w:bidi="en-US"/>
              </w:rPr>
            </w:pPr>
            <w:r w:rsidRPr="004F1832">
              <w:rPr>
                <w:color w:val="auto"/>
                <w:sz w:val="20"/>
                <w:lang w:bidi="en-US"/>
              </w:rPr>
              <w:lastRenderedPageBreak/>
              <w:t>SCREEN AND DOCUMENTS</w:t>
            </w:r>
          </w:p>
        </w:tc>
        <w:tc>
          <w:tcPr>
            <w:tcW w:w="992" w:type="dxa"/>
          </w:tcPr>
          <w:p w:rsidR="003F30FC" w:rsidRPr="004F1832" w:rsidRDefault="003F30FC" w:rsidP="00456083">
            <w:pPr>
              <w:spacing w:before="60" w:after="60"/>
              <w:jc w:val="center"/>
              <w:rPr>
                <w:color w:val="auto"/>
                <w:sz w:val="20"/>
                <w:lang w:val="en-US" w:bidi="en-US"/>
              </w:rPr>
            </w:pPr>
            <w:r w:rsidRPr="004F1832">
              <w:rPr>
                <w:color w:val="auto"/>
                <w:sz w:val="20"/>
                <w:lang w:bidi="en-US"/>
              </w:rPr>
              <w:t>YES</w:t>
            </w:r>
          </w:p>
        </w:tc>
        <w:tc>
          <w:tcPr>
            <w:tcW w:w="992" w:type="dxa"/>
          </w:tcPr>
          <w:p w:rsidR="003F30FC" w:rsidRPr="004F1832" w:rsidRDefault="003F30FC" w:rsidP="00456083">
            <w:pPr>
              <w:spacing w:before="60" w:after="60"/>
              <w:jc w:val="center"/>
              <w:rPr>
                <w:color w:val="auto"/>
                <w:sz w:val="20"/>
                <w:lang w:val="en-US" w:bidi="en-US"/>
              </w:rPr>
            </w:pPr>
            <w:r w:rsidRPr="004F1832">
              <w:rPr>
                <w:color w:val="auto"/>
                <w:sz w:val="20"/>
                <w:lang w:bidi="en-US"/>
              </w:rPr>
              <w:t>NO</w:t>
            </w:r>
          </w:p>
        </w:tc>
        <w:tc>
          <w:tcPr>
            <w:tcW w:w="2468" w:type="dxa"/>
          </w:tcPr>
          <w:p w:rsidR="003F30FC" w:rsidRPr="004F1832" w:rsidRDefault="003F30FC" w:rsidP="00456083">
            <w:pPr>
              <w:spacing w:before="60" w:after="60"/>
              <w:jc w:val="center"/>
              <w:rPr>
                <w:color w:val="auto"/>
                <w:sz w:val="20"/>
                <w:lang w:val="en-US" w:bidi="en-US"/>
              </w:rPr>
            </w:pPr>
            <w:r w:rsidRPr="004F1832">
              <w:rPr>
                <w:color w:val="auto"/>
                <w:sz w:val="20"/>
                <w:lang w:bidi="en-US"/>
              </w:rPr>
              <w:t>COMMENTS</w:t>
            </w:r>
          </w:p>
        </w:tc>
      </w:tr>
      <w:tr w:rsidR="003F30FC" w:rsidRPr="004F1832" w:rsidTr="00456083">
        <w:trPr>
          <w:cnfStyle w:val="000000100000" w:firstRow="0" w:lastRow="0" w:firstColumn="0" w:lastColumn="0" w:oddVBand="0" w:evenVBand="0" w:oddHBand="1" w:evenHBand="0" w:firstRowFirstColumn="0" w:firstRowLastColumn="0" w:lastRowFirstColumn="0" w:lastRowLastColumn="0"/>
        </w:trPr>
        <w:tc>
          <w:tcPr>
            <w:tcW w:w="6204" w:type="dxa"/>
          </w:tcPr>
          <w:p w:rsidR="003F30FC" w:rsidRPr="004F1832" w:rsidRDefault="003F30FC" w:rsidP="003F30FC">
            <w:pPr>
              <w:spacing w:before="60" w:after="60"/>
              <w:rPr>
                <w:sz w:val="20"/>
                <w:lang w:val="en-US" w:bidi="en-US"/>
              </w:rPr>
            </w:pPr>
            <w:r w:rsidRPr="004F1832">
              <w:rPr>
                <w:sz w:val="20"/>
                <w:lang w:val="en-US" w:bidi="en-US"/>
              </w:rPr>
              <w:t>Are all source documents legible?</w:t>
            </w:r>
          </w:p>
        </w:tc>
        <w:tc>
          <w:tcPr>
            <w:tcW w:w="992" w:type="dxa"/>
          </w:tcPr>
          <w:p w:rsidR="003F30FC" w:rsidRPr="004F1832" w:rsidRDefault="003F30FC" w:rsidP="00456083">
            <w:pPr>
              <w:spacing w:before="60" w:after="60"/>
              <w:rPr>
                <w:sz w:val="20"/>
                <w:lang w:val="en-US" w:bidi="en-US"/>
              </w:rPr>
            </w:pPr>
          </w:p>
        </w:tc>
        <w:tc>
          <w:tcPr>
            <w:tcW w:w="992" w:type="dxa"/>
          </w:tcPr>
          <w:p w:rsidR="003F30FC" w:rsidRPr="004F1832" w:rsidRDefault="003F30FC" w:rsidP="00456083">
            <w:pPr>
              <w:spacing w:before="60" w:after="60"/>
              <w:rPr>
                <w:sz w:val="20"/>
                <w:lang w:val="en-US" w:bidi="en-US"/>
              </w:rPr>
            </w:pPr>
          </w:p>
        </w:tc>
        <w:tc>
          <w:tcPr>
            <w:tcW w:w="2468" w:type="dxa"/>
          </w:tcPr>
          <w:p w:rsidR="003F30FC" w:rsidRPr="004F1832" w:rsidRDefault="003F30FC" w:rsidP="00456083">
            <w:pPr>
              <w:spacing w:before="60" w:after="60"/>
              <w:rPr>
                <w:sz w:val="20"/>
                <w:lang w:val="en-US" w:bidi="en-US"/>
              </w:rPr>
            </w:pPr>
          </w:p>
        </w:tc>
      </w:tr>
      <w:tr w:rsidR="003F30FC" w:rsidRPr="004F1832" w:rsidTr="00456083">
        <w:tc>
          <w:tcPr>
            <w:tcW w:w="6204" w:type="dxa"/>
          </w:tcPr>
          <w:p w:rsidR="003F30FC" w:rsidRPr="004F1832" w:rsidRDefault="003F30FC" w:rsidP="004F1832">
            <w:pPr>
              <w:spacing w:before="60" w:after="60"/>
              <w:rPr>
                <w:i/>
                <w:sz w:val="20"/>
                <w:lang w:val="en-US" w:bidi="en-US"/>
              </w:rPr>
            </w:pPr>
            <w:r w:rsidRPr="004F1832">
              <w:rPr>
                <w:sz w:val="20"/>
              </w:rPr>
              <w:t>Is a document holder provided</w:t>
            </w:r>
            <w:r w:rsidR="004F1832" w:rsidRPr="004F1832">
              <w:rPr>
                <w:sz w:val="20"/>
              </w:rPr>
              <w:t xml:space="preserve"> and does it support all source documents adequately</w:t>
            </w:r>
            <w:r w:rsidRPr="004F1832">
              <w:rPr>
                <w:sz w:val="20"/>
              </w:rPr>
              <w:t>?</w:t>
            </w:r>
            <w:r w:rsidR="004F1832" w:rsidRPr="004F1832">
              <w:rPr>
                <w:i/>
                <w:sz w:val="20"/>
                <w:lang w:val="en-US" w:bidi="en-US"/>
              </w:rPr>
              <w:t xml:space="preserve"> (if applicable)</w:t>
            </w:r>
          </w:p>
        </w:tc>
        <w:tc>
          <w:tcPr>
            <w:tcW w:w="992" w:type="dxa"/>
          </w:tcPr>
          <w:p w:rsidR="003F30FC" w:rsidRPr="004F1832" w:rsidRDefault="003F30FC" w:rsidP="00456083">
            <w:pPr>
              <w:spacing w:before="60" w:after="60"/>
              <w:rPr>
                <w:sz w:val="20"/>
                <w:lang w:val="en-US" w:bidi="en-US"/>
              </w:rPr>
            </w:pPr>
          </w:p>
        </w:tc>
        <w:tc>
          <w:tcPr>
            <w:tcW w:w="992" w:type="dxa"/>
          </w:tcPr>
          <w:p w:rsidR="003F30FC" w:rsidRPr="004F1832" w:rsidRDefault="003F30FC" w:rsidP="00456083">
            <w:pPr>
              <w:spacing w:before="60" w:after="60"/>
              <w:rPr>
                <w:sz w:val="20"/>
                <w:lang w:val="en-US" w:bidi="en-US"/>
              </w:rPr>
            </w:pPr>
          </w:p>
        </w:tc>
        <w:tc>
          <w:tcPr>
            <w:tcW w:w="2468" w:type="dxa"/>
          </w:tcPr>
          <w:p w:rsidR="003F30FC" w:rsidRPr="004F1832" w:rsidRDefault="003F30FC" w:rsidP="00456083">
            <w:pPr>
              <w:spacing w:before="60" w:after="60"/>
              <w:rPr>
                <w:sz w:val="20"/>
                <w:lang w:val="en-US" w:bidi="en-US"/>
              </w:rPr>
            </w:pPr>
          </w:p>
        </w:tc>
      </w:tr>
      <w:tr w:rsidR="003F30FC" w:rsidRPr="004F1832" w:rsidTr="00456083">
        <w:trPr>
          <w:cnfStyle w:val="000000100000" w:firstRow="0" w:lastRow="0" w:firstColumn="0" w:lastColumn="0" w:oddVBand="0" w:evenVBand="0" w:oddHBand="1" w:evenHBand="0" w:firstRowFirstColumn="0" w:firstRowLastColumn="0" w:lastRowFirstColumn="0" w:lastRowLastColumn="0"/>
        </w:trPr>
        <w:tc>
          <w:tcPr>
            <w:tcW w:w="6204" w:type="dxa"/>
          </w:tcPr>
          <w:p w:rsidR="003F30FC" w:rsidRPr="004F1832" w:rsidRDefault="004F1832" w:rsidP="004F1832">
            <w:pPr>
              <w:spacing w:before="60" w:after="60"/>
              <w:rPr>
                <w:sz w:val="20"/>
                <w:lang w:val="en-US" w:bidi="en-US"/>
              </w:rPr>
            </w:pPr>
            <w:r w:rsidRPr="004F1832">
              <w:rPr>
                <w:sz w:val="20"/>
                <w:lang w:val="en-US" w:bidi="en-US"/>
              </w:rPr>
              <w:t>When sitting upright and looking straight ahead, is the user looking at the top edge of the screen?</w:t>
            </w:r>
          </w:p>
        </w:tc>
        <w:tc>
          <w:tcPr>
            <w:tcW w:w="992" w:type="dxa"/>
          </w:tcPr>
          <w:p w:rsidR="003F30FC" w:rsidRPr="004F1832" w:rsidRDefault="003F30FC" w:rsidP="00456083">
            <w:pPr>
              <w:spacing w:before="60" w:after="60"/>
              <w:rPr>
                <w:sz w:val="20"/>
                <w:lang w:val="en-US" w:bidi="en-US"/>
              </w:rPr>
            </w:pPr>
          </w:p>
        </w:tc>
        <w:tc>
          <w:tcPr>
            <w:tcW w:w="992" w:type="dxa"/>
          </w:tcPr>
          <w:p w:rsidR="003F30FC" w:rsidRPr="004F1832" w:rsidRDefault="003F30FC" w:rsidP="00456083">
            <w:pPr>
              <w:spacing w:before="60" w:after="60"/>
              <w:rPr>
                <w:sz w:val="20"/>
                <w:lang w:val="en-US" w:bidi="en-US"/>
              </w:rPr>
            </w:pPr>
          </w:p>
        </w:tc>
        <w:tc>
          <w:tcPr>
            <w:tcW w:w="2468" w:type="dxa"/>
          </w:tcPr>
          <w:p w:rsidR="003F30FC" w:rsidRPr="004F1832" w:rsidRDefault="003F30FC" w:rsidP="00456083">
            <w:pPr>
              <w:spacing w:before="60" w:after="60"/>
              <w:rPr>
                <w:sz w:val="20"/>
                <w:lang w:val="en-US" w:bidi="en-US"/>
              </w:rPr>
            </w:pPr>
          </w:p>
        </w:tc>
      </w:tr>
      <w:tr w:rsidR="003F30FC" w:rsidRPr="004F1832" w:rsidTr="00456083">
        <w:tc>
          <w:tcPr>
            <w:tcW w:w="6204" w:type="dxa"/>
          </w:tcPr>
          <w:p w:rsidR="003F30FC" w:rsidRPr="004F1832" w:rsidRDefault="004F1832" w:rsidP="004F1832">
            <w:pPr>
              <w:spacing w:before="60" w:after="60"/>
              <w:rPr>
                <w:sz w:val="20"/>
                <w:lang w:val="en-US" w:bidi="en-US"/>
              </w:rPr>
            </w:pPr>
            <w:r w:rsidRPr="004F1832">
              <w:rPr>
                <w:sz w:val="20"/>
                <w:lang w:val="en-US" w:bidi="en-US"/>
              </w:rPr>
              <w:t>Is the screen at a comfortable reading distance?</w:t>
            </w:r>
          </w:p>
        </w:tc>
        <w:tc>
          <w:tcPr>
            <w:tcW w:w="992" w:type="dxa"/>
          </w:tcPr>
          <w:p w:rsidR="003F30FC" w:rsidRPr="004F1832" w:rsidRDefault="003F30FC" w:rsidP="00456083">
            <w:pPr>
              <w:spacing w:before="60" w:after="60"/>
              <w:rPr>
                <w:sz w:val="20"/>
                <w:lang w:val="en-US" w:bidi="en-US"/>
              </w:rPr>
            </w:pPr>
          </w:p>
        </w:tc>
        <w:tc>
          <w:tcPr>
            <w:tcW w:w="992" w:type="dxa"/>
          </w:tcPr>
          <w:p w:rsidR="003F30FC" w:rsidRPr="004F1832" w:rsidRDefault="003F30FC" w:rsidP="00456083">
            <w:pPr>
              <w:spacing w:before="60" w:after="60"/>
              <w:rPr>
                <w:sz w:val="20"/>
                <w:lang w:val="en-US" w:bidi="en-US"/>
              </w:rPr>
            </w:pPr>
          </w:p>
        </w:tc>
        <w:tc>
          <w:tcPr>
            <w:tcW w:w="2468" w:type="dxa"/>
          </w:tcPr>
          <w:p w:rsidR="003F30FC" w:rsidRPr="004F1832" w:rsidRDefault="003F30FC" w:rsidP="00456083">
            <w:pPr>
              <w:spacing w:before="60" w:after="60"/>
              <w:rPr>
                <w:sz w:val="20"/>
                <w:lang w:val="en-US" w:bidi="en-US"/>
              </w:rPr>
            </w:pPr>
          </w:p>
        </w:tc>
      </w:tr>
      <w:tr w:rsidR="003F30FC" w:rsidRPr="004F1832" w:rsidTr="00456083">
        <w:trPr>
          <w:cnfStyle w:val="000000100000" w:firstRow="0" w:lastRow="0" w:firstColumn="0" w:lastColumn="0" w:oddVBand="0" w:evenVBand="0" w:oddHBand="1" w:evenHBand="0" w:firstRowFirstColumn="0" w:firstRowLastColumn="0" w:lastRowFirstColumn="0" w:lastRowLastColumn="0"/>
        </w:trPr>
        <w:tc>
          <w:tcPr>
            <w:tcW w:w="6204" w:type="dxa"/>
          </w:tcPr>
          <w:p w:rsidR="003F30FC" w:rsidRPr="004F1832" w:rsidRDefault="004F1832" w:rsidP="004F1832">
            <w:pPr>
              <w:spacing w:before="60" w:after="60"/>
              <w:rPr>
                <w:sz w:val="20"/>
                <w:lang w:val="en-US" w:bidi="en-US"/>
              </w:rPr>
            </w:pPr>
            <w:r w:rsidRPr="004F1832">
              <w:rPr>
                <w:sz w:val="20"/>
                <w:lang w:val="en-US" w:bidi="en-US"/>
              </w:rPr>
              <w:t>Are all characters in the display easily legible and is the image stable?</w:t>
            </w:r>
          </w:p>
        </w:tc>
        <w:tc>
          <w:tcPr>
            <w:tcW w:w="992" w:type="dxa"/>
          </w:tcPr>
          <w:p w:rsidR="003F30FC" w:rsidRPr="004F1832" w:rsidRDefault="003F30FC" w:rsidP="00456083">
            <w:pPr>
              <w:spacing w:before="60" w:after="60"/>
              <w:rPr>
                <w:sz w:val="20"/>
                <w:lang w:val="en-US" w:bidi="en-US"/>
              </w:rPr>
            </w:pPr>
          </w:p>
        </w:tc>
        <w:tc>
          <w:tcPr>
            <w:tcW w:w="992" w:type="dxa"/>
          </w:tcPr>
          <w:p w:rsidR="003F30FC" w:rsidRPr="004F1832" w:rsidRDefault="003F30FC" w:rsidP="00456083">
            <w:pPr>
              <w:spacing w:before="60" w:after="60"/>
              <w:rPr>
                <w:sz w:val="20"/>
                <w:lang w:val="en-US" w:bidi="en-US"/>
              </w:rPr>
            </w:pPr>
          </w:p>
        </w:tc>
        <w:tc>
          <w:tcPr>
            <w:tcW w:w="2468" w:type="dxa"/>
          </w:tcPr>
          <w:p w:rsidR="003F30FC" w:rsidRPr="004F1832" w:rsidRDefault="003F30FC" w:rsidP="00456083">
            <w:pPr>
              <w:spacing w:before="60" w:after="60"/>
              <w:rPr>
                <w:sz w:val="20"/>
                <w:lang w:val="en-US" w:bidi="en-US"/>
              </w:rPr>
            </w:pPr>
          </w:p>
        </w:tc>
      </w:tr>
      <w:tr w:rsidR="003F30FC" w:rsidRPr="004F1832" w:rsidTr="00456083">
        <w:tc>
          <w:tcPr>
            <w:tcW w:w="6204" w:type="dxa"/>
          </w:tcPr>
          <w:p w:rsidR="003F30FC" w:rsidRPr="004F1832" w:rsidRDefault="004F1832" w:rsidP="004F1832">
            <w:pPr>
              <w:spacing w:before="60" w:after="60"/>
              <w:rPr>
                <w:sz w:val="20"/>
                <w:lang w:val="en-US" w:bidi="en-US"/>
              </w:rPr>
            </w:pPr>
            <w:r w:rsidRPr="004F1832">
              <w:rPr>
                <w:sz w:val="20"/>
                <w:lang w:val="en-US" w:bidi="en-US"/>
              </w:rPr>
              <w:t>Can the position and contrast of the screen be adjusted by the user?</w:t>
            </w:r>
          </w:p>
        </w:tc>
        <w:tc>
          <w:tcPr>
            <w:tcW w:w="992" w:type="dxa"/>
          </w:tcPr>
          <w:p w:rsidR="003F30FC" w:rsidRPr="004F1832" w:rsidRDefault="003F30FC" w:rsidP="00456083">
            <w:pPr>
              <w:spacing w:before="60" w:after="60"/>
              <w:rPr>
                <w:sz w:val="20"/>
                <w:lang w:val="en-US" w:bidi="en-US"/>
              </w:rPr>
            </w:pPr>
          </w:p>
        </w:tc>
        <w:tc>
          <w:tcPr>
            <w:tcW w:w="992" w:type="dxa"/>
          </w:tcPr>
          <w:p w:rsidR="003F30FC" w:rsidRPr="004F1832" w:rsidRDefault="003F30FC" w:rsidP="00456083">
            <w:pPr>
              <w:spacing w:before="60" w:after="60"/>
              <w:rPr>
                <w:sz w:val="20"/>
                <w:lang w:val="en-US" w:bidi="en-US"/>
              </w:rPr>
            </w:pPr>
          </w:p>
        </w:tc>
        <w:tc>
          <w:tcPr>
            <w:tcW w:w="2468" w:type="dxa"/>
          </w:tcPr>
          <w:p w:rsidR="003F30FC" w:rsidRPr="004F1832" w:rsidRDefault="003F30FC" w:rsidP="00456083">
            <w:pPr>
              <w:spacing w:before="60" w:after="60"/>
              <w:rPr>
                <w:sz w:val="20"/>
                <w:lang w:val="en-US" w:bidi="en-US"/>
              </w:rPr>
            </w:pPr>
          </w:p>
        </w:tc>
      </w:tr>
    </w:tbl>
    <w:p w:rsidR="008A5708" w:rsidRPr="008A5708" w:rsidRDefault="008A5708" w:rsidP="008A5708">
      <w:pPr>
        <w:rPr>
          <w:sz w:val="24"/>
          <w:lang w:val="en-US" w:bidi="en-US"/>
        </w:rPr>
      </w:pPr>
    </w:p>
    <w:sectPr w:rsidR="008A5708" w:rsidRPr="008A5708" w:rsidSect="00FD5318">
      <w:headerReference w:type="default" r:id="rId29"/>
      <w:footerReference w:type="default" r:id="rId30"/>
      <w:pgSz w:w="11906" w:h="16838"/>
      <w:pgMar w:top="1440" w:right="746" w:bottom="1418" w:left="72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9DB" w:rsidRDefault="00C429DB" w:rsidP="0079236B">
      <w:pPr>
        <w:spacing w:after="0" w:line="240" w:lineRule="auto"/>
      </w:pPr>
      <w:r>
        <w:separator/>
      </w:r>
    </w:p>
  </w:endnote>
  <w:endnote w:type="continuationSeparator" w:id="0">
    <w:p w:rsidR="00C429DB" w:rsidRDefault="00C429DB" w:rsidP="0079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89D" w:rsidRDefault="007C589D">
    <w:pPr>
      <w:pStyle w:val="Footer"/>
      <w:pBdr>
        <w:top w:val="single" w:sz="4" w:space="1" w:color="D9D9D9" w:themeColor="background1" w:themeShade="D9"/>
      </w:pBdr>
      <w:jc w:val="right"/>
    </w:pPr>
  </w:p>
  <w:p w:rsidR="007C589D" w:rsidRDefault="007C58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1857327"/>
      <w:docPartObj>
        <w:docPartGallery w:val="Page Numbers (Bottom of Page)"/>
        <w:docPartUnique/>
      </w:docPartObj>
    </w:sdtPr>
    <w:sdtEndPr>
      <w:rPr>
        <w:color w:val="808080" w:themeColor="background1" w:themeShade="80"/>
        <w:spacing w:val="60"/>
      </w:rPr>
    </w:sdtEndPr>
    <w:sdtContent>
      <w:p w:rsidR="007C589D" w:rsidRDefault="007C589D">
        <w:pPr>
          <w:pStyle w:val="Footer"/>
          <w:pBdr>
            <w:top w:val="single" w:sz="4" w:space="1" w:color="D9D9D9" w:themeColor="background1" w:themeShade="D9"/>
          </w:pBdr>
          <w:jc w:val="right"/>
        </w:pPr>
        <w:r>
          <w:fldChar w:fldCharType="begin"/>
        </w:r>
        <w:r>
          <w:instrText xml:space="preserve"> PAGE   \* MERGEFORMAT </w:instrText>
        </w:r>
        <w:r>
          <w:fldChar w:fldCharType="separate"/>
        </w:r>
        <w:r w:rsidR="002D20C1">
          <w:rPr>
            <w:noProof/>
          </w:rPr>
          <w:t>9</w:t>
        </w:r>
        <w:r>
          <w:rPr>
            <w:noProof/>
          </w:rPr>
          <w:fldChar w:fldCharType="end"/>
        </w:r>
        <w:r>
          <w:t xml:space="preserve"> | </w:t>
        </w:r>
        <w:r>
          <w:rPr>
            <w:color w:val="808080" w:themeColor="background1" w:themeShade="80"/>
            <w:spacing w:val="60"/>
          </w:rPr>
          <w:t>Page</w:t>
        </w:r>
      </w:p>
    </w:sdtContent>
  </w:sdt>
  <w:p w:rsidR="007C589D" w:rsidRDefault="007C58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9DB" w:rsidRDefault="00C429DB" w:rsidP="0079236B">
      <w:pPr>
        <w:spacing w:after="0" w:line="240" w:lineRule="auto"/>
      </w:pPr>
      <w:r>
        <w:separator/>
      </w:r>
    </w:p>
  </w:footnote>
  <w:footnote w:type="continuationSeparator" w:id="0">
    <w:p w:rsidR="00C429DB" w:rsidRDefault="00C429DB" w:rsidP="007923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638" w:type="dxa"/>
      <w:tblInd w:w="108" w:type="dxa"/>
      <w:tblLook w:val="04A0" w:firstRow="1" w:lastRow="0" w:firstColumn="1" w:lastColumn="0" w:noHBand="0" w:noVBand="1"/>
    </w:tblPr>
    <w:tblGrid>
      <w:gridCol w:w="3828"/>
      <w:gridCol w:w="1275"/>
      <w:gridCol w:w="5535"/>
    </w:tblGrid>
    <w:tr w:rsidR="00582178" w:rsidTr="00EB5812">
      <w:tc>
        <w:tcPr>
          <w:tcW w:w="3828" w:type="dxa"/>
          <w:tcBorders>
            <w:right w:val="single" w:sz="4" w:space="0" w:color="auto"/>
          </w:tcBorders>
        </w:tcPr>
        <w:p w:rsidR="00582178" w:rsidRDefault="00582178" w:rsidP="00582178">
          <w:pPr>
            <w:pStyle w:val="Header"/>
          </w:pPr>
          <w:r>
            <w:t>South Metropolitan TAFE</w:t>
          </w:r>
        </w:p>
      </w:tc>
      <w:tc>
        <w:tcPr>
          <w:tcW w:w="1275" w:type="dxa"/>
          <w:tcBorders>
            <w:left w:val="single" w:sz="4" w:space="0" w:color="auto"/>
          </w:tcBorders>
        </w:tcPr>
        <w:p w:rsidR="00582178" w:rsidRDefault="00582178" w:rsidP="00582178">
          <w:pPr>
            <w:pStyle w:val="Header"/>
            <w:jc w:val="right"/>
          </w:pPr>
          <w:r>
            <w:t>Version:</w:t>
          </w:r>
        </w:p>
      </w:tc>
      <w:tc>
        <w:tcPr>
          <w:tcW w:w="5535" w:type="dxa"/>
        </w:tcPr>
        <w:p w:rsidR="00582178" w:rsidRDefault="00C429DB" w:rsidP="00582178">
          <w:pPr>
            <w:pStyle w:val="Header"/>
            <w:jc w:val="center"/>
          </w:pPr>
          <w:r>
            <w:rPr>
              <w:noProof/>
            </w:rPr>
            <w:fldChar w:fldCharType="begin"/>
          </w:r>
          <w:r>
            <w:rPr>
              <w:rFonts w:cstheme="minorBidi"/>
              <w:noProof/>
              <w:lang w:val="en-AU"/>
            </w:rPr>
            <w:instrText xml:space="preserve"> FILENAME   \* MERGEFORMAT </w:instrText>
          </w:r>
          <w:r>
            <w:rPr>
              <w:rFonts w:cstheme="minorBidi"/>
              <w:noProof/>
              <w:lang w:val="en-AU"/>
            </w:rPr>
            <w:fldChar w:fldCharType="separate"/>
          </w:r>
          <w:r w:rsidR="00EB5812">
            <w:rPr>
              <w:noProof/>
            </w:rPr>
            <w:t>Following WHS guidelines_LearnersGuide_V1.0.docx</w:t>
          </w:r>
          <w:r>
            <w:rPr>
              <w:noProof/>
            </w:rPr>
            <w:fldChar w:fldCharType="end"/>
          </w:r>
        </w:p>
      </w:tc>
    </w:tr>
  </w:tbl>
  <w:p w:rsidR="00582178" w:rsidRDefault="005821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A7BAC"/>
    <w:multiLevelType w:val="hybridMultilevel"/>
    <w:tmpl w:val="6DE6679C"/>
    <w:lvl w:ilvl="0" w:tplc="218431C4">
      <w:numFmt w:val="bullet"/>
      <w:lvlText w:val=""/>
      <w:lvlJc w:val="left"/>
      <w:pPr>
        <w:ind w:left="720" w:hanging="360"/>
      </w:pPr>
      <w:rPr>
        <w:rFonts w:ascii="Symbol" w:eastAsiaTheme="minorHAnsi" w:hAnsi="Symbol"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B139FF"/>
    <w:multiLevelType w:val="hybridMultilevel"/>
    <w:tmpl w:val="91EA54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B548FE"/>
    <w:multiLevelType w:val="hybridMultilevel"/>
    <w:tmpl w:val="23D024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C85806"/>
    <w:multiLevelType w:val="hybridMultilevel"/>
    <w:tmpl w:val="4956B49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1FB7751"/>
    <w:multiLevelType w:val="hybridMultilevel"/>
    <w:tmpl w:val="450064A0"/>
    <w:lvl w:ilvl="0" w:tplc="218431C4">
      <w:numFmt w:val="bullet"/>
      <w:lvlText w:val=""/>
      <w:lvlJc w:val="left"/>
      <w:pPr>
        <w:ind w:left="720" w:hanging="360"/>
      </w:pPr>
      <w:rPr>
        <w:rFonts w:ascii="Symbol" w:eastAsiaTheme="minorHAnsi" w:hAnsi="Symbol" w:cs="Tahoma"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F54019"/>
    <w:multiLevelType w:val="hybridMultilevel"/>
    <w:tmpl w:val="CE44C4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A6260C1"/>
    <w:multiLevelType w:val="hybridMultilevel"/>
    <w:tmpl w:val="2A56832E"/>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1">
      <w:start w:val="1"/>
      <w:numFmt w:val="bullet"/>
      <w:lvlText w:val=""/>
      <w:lvlJc w:val="left"/>
      <w:pPr>
        <w:ind w:left="2160" w:hanging="180"/>
      </w:pPr>
      <w:rPr>
        <w:rFonts w:ascii="Symbol" w:hAnsi="Symbo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A770B71"/>
    <w:multiLevelType w:val="hybridMultilevel"/>
    <w:tmpl w:val="27262C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05C282C"/>
    <w:multiLevelType w:val="hybridMultilevel"/>
    <w:tmpl w:val="C6B4949C"/>
    <w:lvl w:ilvl="0" w:tplc="218431C4">
      <w:numFmt w:val="bullet"/>
      <w:lvlText w:val=""/>
      <w:lvlJc w:val="left"/>
      <w:pPr>
        <w:ind w:left="720" w:hanging="360"/>
      </w:pPr>
      <w:rPr>
        <w:rFonts w:ascii="Symbol" w:eastAsiaTheme="minorHAnsi" w:hAnsi="Symbol" w:cs="Tahoma"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20A0FA5"/>
    <w:multiLevelType w:val="hybridMultilevel"/>
    <w:tmpl w:val="0E74DAF4"/>
    <w:lvl w:ilvl="0" w:tplc="EB0604B0">
      <w:numFmt w:val="bullet"/>
      <w:lvlText w:val=""/>
      <w:lvlJc w:val="left"/>
      <w:pPr>
        <w:ind w:left="720" w:hanging="360"/>
      </w:pPr>
      <w:rPr>
        <w:rFonts w:ascii="Symbol" w:eastAsiaTheme="minorHAnsi" w:hAnsi="Symbol"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BC3470"/>
    <w:multiLevelType w:val="hybridMultilevel"/>
    <w:tmpl w:val="F84AD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4E02C8"/>
    <w:multiLevelType w:val="hybridMultilevel"/>
    <w:tmpl w:val="E1EA8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5072563"/>
    <w:multiLevelType w:val="hybridMultilevel"/>
    <w:tmpl w:val="21A4E33E"/>
    <w:lvl w:ilvl="0" w:tplc="218431C4">
      <w:numFmt w:val="bullet"/>
      <w:lvlText w:val=""/>
      <w:lvlJc w:val="left"/>
      <w:pPr>
        <w:ind w:left="720" w:hanging="360"/>
      </w:pPr>
      <w:rPr>
        <w:rFonts w:ascii="Symbol" w:eastAsiaTheme="minorHAnsi" w:hAnsi="Symbol"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7D67B8E"/>
    <w:multiLevelType w:val="hybridMultilevel"/>
    <w:tmpl w:val="A63E45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8336C33"/>
    <w:multiLevelType w:val="hybridMultilevel"/>
    <w:tmpl w:val="75F84E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D92043D"/>
    <w:multiLevelType w:val="hybridMultilevel"/>
    <w:tmpl w:val="17C0A368"/>
    <w:lvl w:ilvl="0" w:tplc="66D209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DA42F28"/>
    <w:multiLevelType w:val="hybridMultilevel"/>
    <w:tmpl w:val="C024C7BA"/>
    <w:lvl w:ilvl="0" w:tplc="0C09000F">
      <w:start w:val="1"/>
      <w:numFmt w:val="decimal"/>
      <w:lvlText w:val="%1."/>
      <w:lvlJc w:val="left"/>
      <w:pPr>
        <w:ind w:left="720" w:hanging="360"/>
      </w:pPr>
    </w:lvl>
    <w:lvl w:ilvl="1" w:tplc="0C09000F">
      <w:start w:val="1"/>
      <w:numFmt w:val="decimal"/>
      <w:lvlText w:val="%2."/>
      <w:lvlJc w:val="left"/>
      <w:pPr>
        <w:ind w:left="1440" w:hanging="360"/>
      </w:pPr>
      <w:rPr>
        <w:rFonts w:hint="default"/>
      </w:rPr>
    </w:lvl>
    <w:lvl w:ilvl="2" w:tplc="0C090001">
      <w:start w:val="1"/>
      <w:numFmt w:val="bullet"/>
      <w:lvlText w:val=""/>
      <w:lvlJc w:val="left"/>
      <w:pPr>
        <w:ind w:left="2160" w:hanging="180"/>
      </w:pPr>
      <w:rPr>
        <w:rFonts w:ascii="Symbol" w:hAnsi="Symbo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3020C2A"/>
    <w:multiLevelType w:val="hybridMultilevel"/>
    <w:tmpl w:val="82EACC98"/>
    <w:lvl w:ilvl="0" w:tplc="218431C4">
      <w:numFmt w:val="bullet"/>
      <w:lvlText w:val=""/>
      <w:lvlJc w:val="left"/>
      <w:pPr>
        <w:ind w:left="720" w:hanging="360"/>
      </w:pPr>
      <w:rPr>
        <w:rFonts w:ascii="Symbol" w:eastAsiaTheme="minorHAnsi" w:hAnsi="Symbol"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B195E3B"/>
    <w:multiLevelType w:val="hybridMultilevel"/>
    <w:tmpl w:val="62188A02"/>
    <w:lvl w:ilvl="0" w:tplc="F7784AB8">
      <w:numFmt w:val="bullet"/>
      <w:lvlText w:val=""/>
      <w:lvlJc w:val="left"/>
      <w:pPr>
        <w:ind w:left="720" w:hanging="360"/>
      </w:pPr>
      <w:rPr>
        <w:rFonts w:ascii="Symbol" w:eastAsiaTheme="minorHAnsi" w:hAnsi="Symbol" w:cstheme="minorBidi" w:hint="default"/>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EFB5EF1"/>
    <w:multiLevelType w:val="hybridMultilevel"/>
    <w:tmpl w:val="D7E2A6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FC1177C"/>
    <w:multiLevelType w:val="hybridMultilevel"/>
    <w:tmpl w:val="6FA0A7EC"/>
    <w:lvl w:ilvl="0" w:tplc="218431C4">
      <w:numFmt w:val="bullet"/>
      <w:lvlText w:val=""/>
      <w:lvlJc w:val="left"/>
      <w:pPr>
        <w:ind w:left="787" w:hanging="360"/>
      </w:pPr>
      <w:rPr>
        <w:rFonts w:ascii="Symbol" w:eastAsiaTheme="minorHAnsi" w:hAnsi="Symbol" w:cs="Tahoma" w:hint="default"/>
      </w:rPr>
    </w:lvl>
    <w:lvl w:ilvl="1" w:tplc="0C090003" w:tentative="1">
      <w:start w:val="1"/>
      <w:numFmt w:val="bullet"/>
      <w:lvlText w:val="o"/>
      <w:lvlJc w:val="left"/>
      <w:pPr>
        <w:ind w:left="1507" w:hanging="360"/>
      </w:pPr>
      <w:rPr>
        <w:rFonts w:ascii="Courier New" w:hAnsi="Courier New" w:cs="Courier New" w:hint="default"/>
      </w:rPr>
    </w:lvl>
    <w:lvl w:ilvl="2" w:tplc="0C090005" w:tentative="1">
      <w:start w:val="1"/>
      <w:numFmt w:val="bullet"/>
      <w:lvlText w:val=""/>
      <w:lvlJc w:val="left"/>
      <w:pPr>
        <w:ind w:left="2227" w:hanging="360"/>
      </w:pPr>
      <w:rPr>
        <w:rFonts w:ascii="Wingdings" w:hAnsi="Wingdings" w:hint="default"/>
      </w:rPr>
    </w:lvl>
    <w:lvl w:ilvl="3" w:tplc="0C090001" w:tentative="1">
      <w:start w:val="1"/>
      <w:numFmt w:val="bullet"/>
      <w:lvlText w:val=""/>
      <w:lvlJc w:val="left"/>
      <w:pPr>
        <w:ind w:left="2947" w:hanging="360"/>
      </w:pPr>
      <w:rPr>
        <w:rFonts w:ascii="Symbol" w:hAnsi="Symbol" w:hint="default"/>
      </w:rPr>
    </w:lvl>
    <w:lvl w:ilvl="4" w:tplc="0C090003" w:tentative="1">
      <w:start w:val="1"/>
      <w:numFmt w:val="bullet"/>
      <w:lvlText w:val="o"/>
      <w:lvlJc w:val="left"/>
      <w:pPr>
        <w:ind w:left="3667" w:hanging="360"/>
      </w:pPr>
      <w:rPr>
        <w:rFonts w:ascii="Courier New" w:hAnsi="Courier New" w:cs="Courier New" w:hint="default"/>
      </w:rPr>
    </w:lvl>
    <w:lvl w:ilvl="5" w:tplc="0C090005" w:tentative="1">
      <w:start w:val="1"/>
      <w:numFmt w:val="bullet"/>
      <w:lvlText w:val=""/>
      <w:lvlJc w:val="left"/>
      <w:pPr>
        <w:ind w:left="4387" w:hanging="360"/>
      </w:pPr>
      <w:rPr>
        <w:rFonts w:ascii="Wingdings" w:hAnsi="Wingdings" w:hint="default"/>
      </w:rPr>
    </w:lvl>
    <w:lvl w:ilvl="6" w:tplc="0C090001" w:tentative="1">
      <w:start w:val="1"/>
      <w:numFmt w:val="bullet"/>
      <w:lvlText w:val=""/>
      <w:lvlJc w:val="left"/>
      <w:pPr>
        <w:ind w:left="5107" w:hanging="360"/>
      </w:pPr>
      <w:rPr>
        <w:rFonts w:ascii="Symbol" w:hAnsi="Symbol" w:hint="default"/>
      </w:rPr>
    </w:lvl>
    <w:lvl w:ilvl="7" w:tplc="0C090003" w:tentative="1">
      <w:start w:val="1"/>
      <w:numFmt w:val="bullet"/>
      <w:lvlText w:val="o"/>
      <w:lvlJc w:val="left"/>
      <w:pPr>
        <w:ind w:left="5827" w:hanging="360"/>
      </w:pPr>
      <w:rPr>
        <w:rFonts w:ascii="Courier New" w:hAnsi="Courier New" w:cs="Courier New" w:hint="default"/>
      </w:rPr>
    </w:lvl>
    <w:lvl w:ilvl="8" w:tplc="0C090005" w:tentative="1">
      <w:start w:val="1"/>
      <w:numFmt w:val="bullet"/>
      <w:lvlText w:val=""/>
      <w:lvlJc w:val="left"/>
      <w:pPr>
        <w:ind w:left="6547" w:hanging="360"/>
      </w:pPr>
      <w:rPr>
        <w:rFonts w:ascii="Wingdings" w:hAnsi="Wingdings" w:hint="default"/>
      </w:rPr>
    </w:lvl>
  </w:abstractNum>
  <w:abstractNum w:abstractNumId="21" w15:restartNumberingAfterBreak="0">
    <w:nsid w:val="46FA3170"/>
    <w:multiLevelType w:val="hybridMultilevel"/>
    <w:tmpl w:val="ADB47B10"/>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1">
      <w:start w:val="1"/>
      <w:numFmt w:val="bullet"/>
      <w:lvlText w:val=""/>
      <w:lvlJc w:val="left"/>
      <w:pPr>
        <w:ind w:left="2160" w:hanging="180"/>
      </w:pPr>
      <w:rPr>
        <w:rFonts w:ascii="Symbol" w:hAnsi="Symbo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EDA51BB"/>
    <w:multiLevelType w:val="hybridMultilevel"/>
    <w:tmpl w:val="0026FE1A"/>
    <w:lvl w:ilvl="0" w:tplc="BF68A79A">
      <w:numFmt w:val="bullet"/>
      <w:lvlText w:val="?"/>
      <w:lvlJc w:val="left"/>
      <w:pPr>
        <w:ind w:left="720" w:hanging="360"/>
      </w:pPr>
      <w:rPr>
        <w:rFonts w:ascii="Tahoma" w:eastAsiaTheme="minorHAnsi" w:hAnsi="Tahoma" w:hint="default"/>
        <w:b/>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F925C4F"/>
    <w:multiLevelType w:val="hybridMultilevel"/>
    <w:tmpl w:val="21D653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A06668B"/>
    <w:multiLevelType w:val="hybridMultilevel"/>
    <w:tmpl w:val="60785758"/>
    <w:lvl w:ilvl="0" w:tplc="0C090001">
      <w:start w:val="1"/>
      <w:numFmt w:val="bullet"/>
      <w:lvlText w:val=""/>
      <w:lvlJc w:val="left"/>
      <w:pPr>
        <w:ind w:left="720" w:hanging="360"/>
      </w:pPr>
      <w:rPr>
        <w:rFonts w:ascii="Symbol" w:hAnsi="Symbol" w:hint="default"/>
      </w:rPr>
    </w:lvl>
    <w:lvl w:ilvl="1" w:tplc="CA6AFFCE">
      <w:start w:val="1"/>
      <w:numFmt w:val="bullet"/>
      <w:lvlText w:val="-"/>
      <w:lvlJc w:val="left"/>
      <w:pPr>
        <w:ind w:left="1440" w:hanging="360"/>
      </w:pPr>
      <w:rPr>
        <w:rFonts w:ascii="Tahoma" w:eastAsiaTheme="minorHAnsi" w:hAnsi="Tahoma" w:cs="Tahoma"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A257E79"/>
    <w:multiLevelType w:val="hybridMultilevel"/>
    <w:tmpl w:val="6354242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E2E5F7B"/>
    <w:multiLevelType w:val="hybridMultilevel"/>
    <w:tmpl w:val="795AEC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FAC26B4"/>
    <w:multiLevelType w:val="hybridMultilevel"/>
    <w:tmpl w:val="2FDC6AF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3185F00"/>
    <w:multiLevelType w:val="hybridMultilevel"/>
    <w:tmpl w:val="DF24E316"/>
    <w:lvl w:ilvl="0" w:tplc="281E73E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4FF5044"/>
    <w:multiLevelType w:val="hybridMultilevel"/>
    <w:tmpl w:val="4600F47C"/>
    <w:lvl w:ilvl="0" w:tplc="CA6AFFCE">
      <w:start w:val="1"/>
      <w:numFmt w:val="bullet"/>
      <w:lvlText w:val="-"/>
      <w:lvlJc w:val="left"/>
      <w:pPr>
        <w:ind w:left="1080" w:hanging="360"/>
      </w:pPr>
      <w:rPr>
        <w:rFonts w:ascii="Tahoma" w:eastAsiaTheme="minorHAnsi" w:hAnsi="Tahoma" w:cs="Tahoma"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0" w15:restartNumberingAfterBreak="0">
    <w:nsid w:val="6AB15546"/>
    <w:multiLevelType w:val="hybridMultilevel"/>
    <w:tmpl w:val="727C5D60"/>
    <w:lvl w:ilvl="0" w:tplc="EB9EA2EA">
      <w:start w:val="1"/>
      <w:numFmt w:val="lowerLetter"/>
      <w:lvlText w:val="(%1)"/>
      <w:lvlJc w:val="left"/>
      <w:pPr>
        <w:ind w:left="1110" w:hanging="39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6EDA6407"/>
    <w:multiLevelType w:val="hybridMultilevel"/>
    <w:tmpl w:val="B798E9CE"/>
    <w:lvl w:ilvl="0" w:tplc="19A6370E">
      <w:start w:val="1"/>
      <w:numFmt w:val="decimal"/>
      <w:lvlText w:val="%1."/>
      <w:lvlJc w:val="left"/>
      <w:pPr>
        <w:ind w:left="720" w:hanging="360"/>
      </w:pPr>
      <w:rPr>
        <w:rFonts w:hint="default"/>
        <w:b/>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0CE5E15"/>
    <w:multiLevelType w:val="hybridMultilevel"/>
    <w:tmpl w:val="D6FE4A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45000D5"/>
    <w:multiLevelType w:val="hybridMultilevel"/>
    <w:tmpl w:val="1D5834AE"/>
    <w:lvl w:ilvl="0" w:tplc="218431C4">
      <w:numFmt w:val="bullet"/>
      <w:lvlText w:val=""/>
      <w:lvlJc w:val="left"/>
      <w:pPr>
        <w:ind w:left="720" w:hanging="360"/>
      </w:pPr>
      <w:rPr>
        <w:rFonts w:ascii="Symbol" w:eastAsiaTheme="minorHAnsi" w:hAnsi="Symbol" w:cs="Tahoma"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4A76F64"/>
    <w:multiLevelType w:val="hybridMultilevel"/>
    <w:tmpl w:val="65085F9A"/>
    <w:lvl w:ilvl="0" w:tplc="43F443FC">
      <w:numFmt w:val="bullet"/>
      <w:lvlText w:val=""/>
      <w:lvlJc w:val="left"/>
      <w:pPr>
        <w:ind w:left="720" w:hanging="360"/>
      </w:pPr>
      <w:rPr>
        <w:rFonts w:ascii="Symbol" w:eastAsiaTheme="minorHAnsi" w:hAnsi="Symbol"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5A508FE"/>
    <w:multiLevelType w:val="hybridMultilevel"/>
    <w:tmpl w:val="30F6C9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7084108"/>
    <w:multiLevelType w:val="hybridMultilevel"/>
    <w:tmpl w:val="080C2990"/>
    <w:lvl w:ilvl="0" w:tplc="735E6292">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1">
      <w:start w:val="1"/>
      <w:numFmt w:val="bullet"/>
      <w:lvlText w:val=""/>
      <w:lvlJc w:val="left"/>
      <w:pPr>
        <w:ind w:left="2160" w:hanging="180"/>
      </w:pPr>
      <w:rPr>
        <w:rFonts w:ascii="Symbol" w:hAnsi="Symbo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9BA3254"/>
    <w:multiLevelType w:val="hybridMultilevel"/>
    <w:tmpl w:val="25EE84F2"/>
    <w:lvl w:ilvl="0" w:tplc="AEEC0B6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E183D2A"/>
    <w:multiLevelType w:val="hybridMultilevel"/>
    <w:tmpl w:val="7F125A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F9841CA"/>
    <w:multiLevelType w:val="hybridMultilevel"/>
    <w:tmpl w:val="599E7C7C"/>
    <w:lvl w:ilvl="0" w:tplc="20F8371E">
      <w:start w:val="1"/>
      <w:numFmt w:val="bullet"/>
      <w:lvlText w:val="•"/>
      <w:lvlJc w:val="left"/>
      <w:pPr>
        <w:tabs>
          <w:tab w:val="num" w:pos="720"/>
        </w:tabs>
        <w:ind w:left="720" w:hanging="360"/>
      </w:pPr>
      <w:rPr>
        <w:rFonts w:ascii="Arial" w:hAnsi="Arial" w:hint="default"/>
      </w:rPr>
    </w:lvl>
    <w:lvl w:ilvl="1" w:tplc="F8B01608" w:tentative="1">
      <w:start w:val="1"/>
      <w:numFmt w:val="bullet"/>
      <w:lvlText w:val="•"/>
      <w:lvlJc w:val="left"/>
      <w:pPr>
        <w:tabs>
          <w:tab w:val="num" w:pos="1440"/>
        </w:tabs>
        <w:ind w:left="1440" w:hanging="360"/>
      </w:pPr>
      <w:rPr>
        <w:rFonts w:ascii="Arial" w:hAnsi="Arial" w:hint="default"/>
      </w:rPr>
    </w:lvl>
    <w:lvl w:ilvl="2" w:tplc="A9361486" w:tentative="1">
      <w:start w:val="1"/>
      <w:numFmt w:val="bullet"/>
      <w:lvlText w:val="•"/>
      <w:lvlJc w:val="left"/>
      <w:pPr>
        <w:tabs>
          <w:tab w:val="num" w:pos="2160"/>
        </w:tabs>
        <w:ind w:left="2160" w:hanging="360"/>
      </w:pPr>
      <w:rPr>
        <w:rFonts w:ascii="Arial" w:hAnsi="Arial" w:hint="default"/>
      </w:rPr>
    </w:lvl>
    <w:lvl w:ilvl="3" w:tplc="A7F852FC" w:tentative="1">
      <w:start w:val="1"/>
      <w:numFmt w:val="bullet"/>
      <w:lvlText w:val="•"/>
      <w:lvlJc w:val="left"/>
      <w:pPr>
        <w:tabs>
          <w:tab w:val="num" w:pos="2880"/>
        </w:tabs>
        <w:ind w:left="2880" w:hanging="360"/>
      </w:pPr>
      <w:rPr>
        <w:rFonts w:ascii="Arial" w:hAnsi="Arial" w:hint="default"/>
      </w:rPr>
    </w:lvl>
    <w:lvl w:ilvl="4" w:tplc="1B062C96" w:tentative="1">
      <w:start w:val="1"/>
      <w:numFmt w:val="bullet"/>
      <w:lvlText w:val="•"/>
      <w:lvlJc w:val="left"/>
      <w:pPr>
        <w:tabs>
          <w:tab w:val="num" w:pos="3600"/>
        </w:tabs>
        <w:ind w:left="3600" w:hanging="360"/>
      </w:pPr>
      <w:rPr>
        <w:rFonts w:ascii="Arial" w:hAnsi="Arial" w:hint="default"/>
      </w:rPr>
    </w:lvl>
    <w:lvl w:ilvl="5" w:tplc="01EAB544" w:tentative="1">
      <w:start w:val="1"/>
      <w:numFmt w:val="bullet"/>
      <w:lvlText w:val="•"/>
      <w:lvlJc w:val="left"/>
      <w:pPr>
        <w:tabs>
          <w:tab w:val="num" w:pos="4320"/>
        </w:tabs>
        <w:ind w:left="4320" w:hanging="360"/>
      </w:pPr>
      <w:rPr>
        <w:rFonts w:ascii="Arial" w:hAnsi="Arial" w:hint="default"/>
      </w:rPr>
    </w:lvl>
    <w:lvl w:ilvl="6" w:tplc="6B7844DC" w:tentative="1">
      <w:start w:val="1"/>
      <w:numFmt w:val="bullet"/>
      <w:lvlText w:val="•"/>
      <w:lvlJc w:val="left"/>
      <w:pPr>
        <w:tabs>
          <w:tab w:val="num" w:pos="5040"/>
        </w:tabs>
        <w:ind w:left="5040" w:hanging="360"/>
      </w:pPr>
      <w:rPr>
        <w:rFonts w:ascii="Arial" w:hAnsi="Arial" w:hint="default"/>
      </w:rPr>
    </w:lvl>
    <w:lvl w:ilvl="7" w:tplc="13062CB2" w:tentative="1">
      <w:start w:val="1"/>
      <w:numFmt w:val="bullet"/>
      <w:lvlText w:val="•"/>
      <w:lvlJc w:val="left"/>
      <w:pPr>
        <w:tabs>
          <w:tab w:val="num" w:pos="5760"/>
        </w:tabs>
        <w:ind w:left="5760" w:hanging="360"/>
      </w:pPr>
      <w:rPr>
        <w:rFonts w:ascii="Arial" w:hAnsi="Arial" w:hint="default"/>
      </w:rPr>
    </w:lvl>
    <w:lvl w:ilvl="8" w:tplc="FAA66D74"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17"/>
  </w:num>
  <w:num w:numId="3">
    <w:abstractNumId w:val="4"/>
  </w:num>
  <w:num w:numId="4">
    <w:abstractNumId w:val="8"/>
  </w:num>
  <w:num w:numId="5">
    <w:abstractNumId w:val="20"/>
  </w:num>
  <w:num w:numId="6">
    <w:abstractNumId w:val="22"/>
  </w:num>
  <w:num w:numId="7">
    <w:abstractNumId w:val="33"/>
  </w:num>
  <w:num w:numId="8">
    <w:abstractNumId w:val="12"/>
  </w:num>
  <w:num w:numId="9">
    <w:abstractNumId w:val="0"/>
  </w:num>
  <w:num w:numId="10">
    <w:abstractNumId w:val="35"/>
  </w:num>
  <w:num w:numId="11">
    <w:abstractNumId w:val="34"/>
  </w:num>
  <w:num w:numId="12">
    <w:abstractNumId w:val="1"/>
  </w:num>
  <w:num w:numId="13">
    <w:abstractNumId w:val="38"/>
  </w:num>
  <w:num w:numId="14">
    <w:abstractNumId w:val="29"/>
  </w:num>
  <w:num w:numId="15">
    <w:abstractNumId w:val="25"/>
  </w:num>
  <w:num w:numId="16">
    <w:abstractNumId w:val="5"/>
  </w:num>
  <w:num w:numId="17">
    <w:abstractNumId w:val="2"/>
  </w:num>
  <w:num w:numId="18">
    <w:abstractNumId w:val="16"/>
  </w:num>
  <w:num w:numId="19">
    <w:abstractNumId w:val="31"/>
  </w:num>
  <w:num w:numId="20">
    <w:abstractNumId w:val="36"/>
  </w:num>
  <w:num w:numId="21">
    <w:abstractNumId w:val="21"/>
  </w:num>
  <w:num w:numId="22">
    <w:abstractNumId w:val="6"/>
  </w:num>
  <w:num w:numId="23">
    <w:abstractNumId w:val="19"/>
  </w:num>
  <w:num w:numId="24">
    <w:abstractNumId w:val="11"/>
  </w:num>
  <w:num w:numId="25">
    <w:abstractNumId w:val="7"/>
  </w:num>
  <w:num w:numId="26">
    <w:abstractNumId w:val="10"/>
  </w:num>
  <w:num w:numId="27">
    <w:abstractNumId w:val="37"/>
  </w:num>
  <w:num w:numId="28">
    <w:abstractNumId w:val="28"/>
  </w:num>
  <w:num w:numId="29">
    <w:abstractNumId w:val="15"/>
  </w:num>
  <w:num w:numId="30">
    <w:abstractNumId w:val="30"/>
  </w:num>
  <w:num w:numId="31">
    <w:abstractNumId w:val="26"/>
  </w:num>
  <w:num w:numId="32">
    <w:abstractNumId w:val="14"/>
  </w:num>
  <w:num w:numId="33">
    <w:abstractNumId w:val="32"/>
  </w:num>
  <w:num w:numId="34">
    <w:abstractNumId w:val="24"/>
  </w:num>
  <w:num w:numId="35">
    <w:abstractNumId w:val="39"/>
  </w:num>
  <w:num w:numId="36">
    <w:abstractNumId w:val="13"/>
  </w:num>
  <w:num w:numId="37">
    <w:abstractNumId w:val="18"/>
  </w:num>
  <w:num w:numId="38">
    <w:abstractNumId w:val="23"/>
  </w:num>
  <w:num w:numId="39">
    <w:abstractNumId w:val="3"/>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213"/>
    <w:rsid w:val="00002B87"/>
    <w:rsid w:val="00007ADA"/>
    <w:rsid w:val="0001317A"/>
    <w:rsid w:val="00023419"/>
    <w:rsid w:val="00025A66"/>
    <w:rsid w:val="00050D1C"/>
    <w:rsid w:val="00081DE2"/>
    <w:rsid w:val="000A36E4"/>
    <w:rsid w:val="000B4E5B"/>
    <w:rsid w:val="000C5B4C"/>
    <w:rsid w:val="000C7249"/>
    <w:rsid w:val="000D392F"/>
    <w:rsid w:val="000D6868"/>
    <w:rsid w:val="000E1DB9"/>
    <w:rsid w:val="000E43D3"/>
    <w:rsid w:val="000F10AC"/>
    <w:rsid w:val="000F2F22"/>
    <w:rsid w:val="0010547E"/>
    <w:rsid w:val="001178D7"/>
    <w:rsid w:val="00122D76"/>
    <w:rsid w:val="00124E0B"/>
    <w:rsid w:val="00125300"/>
    <w:rsid w:val="00130E11"/>
    <w:rsid w:val="001334BF"/>
    <w:rsid w:val="00137051"/>
    <w:rsid w:val="00165B49"/>
    <w:rsid w:val="00165E95"/>
    <w:rsid w:val="00170BAC"/>
    <w:rsid w:val="0019741D"/>
    <w:rsid w:val="001A3B21"/>
    <w:rsid w:val="001A401C"/>
    <w:rsid w:val="001A74F6"/>
    <w:rsid w:val="001B6C32"/>
    <w:rsid w:val="001C2557"/>
    <w:rsid w:val="001C6136"/>
    <w:rsid w:val="001D3AA8"/>
    <w:rsid w:val="001D4F02"/>
    <w:rsid w:val="001E5213"/>
    <w:rsid w:val="00201D25"/>
    <w:rsid w:val="00237EF2"/>
    <w:rsid w:val="00250630"/>
    <w:rsid w:val="002540A0"/>
    <w:rsid w:val="002620B0"/>
    <w:rsid w:val="00262428"/>
    <w:rsid w:val="002820F0"/>
    <w:rsid w:val="002844AF"/>
    <w:rsid w:val="00295C60"/>
    <w:rsid w:val="002A14CC"/>
    <w:rsid w:val="002A4C08"/>
    <w:rsid w:val="002A7784"/>
    <w:rsid w:val="002B1E88"/>
    <w:rsid w:val="002C72AB"/>
    <w:rsid w:val="002D20C1"/>
    <w:rsid w:val="0030387A"/>
    <w:rsid w:val="00325096"/>
    <w:rsid w:val="00336B5B"/>
    <w:rsid w:val="00372B17"/>
    <w:rsid w:val="00384B3B"/>
    <w:rsid w:val="00390343"/>
    <w:rsid w:val="003A27E3"/>
    <w:rsid w:val="003A4C28"/>
    <w:rsid w:val="003B2312"/>
    <w:rsid w:val="003C51D0"/>
    <w:rsid w:val="003D3E99"/>
    <w:rsid w:val="003D5A43"/>
    <w:rsid w:val="003D6126"/>
    <w:rsid w:val="003E01FD"/>
    <w:rsid w:val="003E3D2E"/>
    <w:rsid w:val="003E7541"/>
    <w:rsid w:val="003F0A0C"/>
    <w:rsid w:val="003F30FC"/>
    <w:rsid w:val="00401EA2"/>
    <w:rsid w:val="004467BD"/>
    <w:rsid w:val="00485E7E"/>
    <w:rsid w:val="004A0E6B"/>
    <w:rsid w:val="004A60A7"/>
    <w:rsid w:val="004C1C77"/>
    <w:rsid w:val="004C219F"/>
    <w:rsid w:val="004D1528"/>
    <w:rsid w:val="004F1832"/>
    <w:rsid w:val="004F449A"/>
    <w:rsid w:val="004F717E"/>
    <w:rsid w:val="005105D4"/>
    <w:rsid w:val="00520FAB"/>
    <w:rsid w:val="00521A18"/>
    <w:rsid w:val="00525A37"/>
    <w:rsid w:val="00525CFD"/>
    <w:rsid w:val="00532374"/>
    <w:rsid w:val="00537B45"/>
    <w:rsid w:val="00551D47"/>
    <w:rsid w:val="00564F05"/>
    <w:rsid w:val="00565E14"/>
    <w:rsid w:val="00582178"/>
    <w:rsid w:val="005930EB"/>
    <w:rsid w:val="005A1A68"/>
    <w:rsid w:val="005A63DB"/>
    <w:rsid w:val="005D27BB"/>
    <w:rsid w:val="00603A10"/>
    <w:rsid w:val="00631E51"/>
    <w:rsid w:val="00632C3C"/>
    <w:rsid w:val="00651090"/>
    <w:rsid w:val="006534DB"/>
    <w:rsid w:val="00661E9E"/>
    <w:rsid w:val="006634D0"/>
    <w:rsid w:val="00681E14"/>
    <w:rsid w:val="00684ADA"/>
    <w:rsid w:val="006964B2"/>
    <w:rsid w:val="006C000E"/>
    <w:rsid w:val="006C7EB7"/>
    <w:rsid w:val="006D15C6"/>
    <w:rsid w:val="006D1660"/>
    <w:rsid w:val="006D2671"/>
    <w:rsid w:val="006D5658"/>
    <w:rsid w:val="006D5DD8"/>
    <w:rsid w:val="006E62C2"/>
    <w:rsid w:val="00700998"/>
    <w:rsid w:val="007051F9"/>
    <w:rsid w:val="00740DED"/>
    <w:rsid w:val="00745306"/>
    <w:rsid w:val="00780DA3"/>
    <w:rsid w:val="00780E3A"/>
    <w:rsid w:val="00782665"/>
    <w:rsid w:val="0079236B"/>
    <w:rsid w:val="00793A36"/>
    <w:rsid w:val="007B164A"/>
    <w:rsid w:val="007C32CD"/>
    <w:rsid w:val="007C589D"/>
    <w:rsid w:val="007D1044"/>
    <w:rsid w:val="007E219E"/>
    <w:rsid w:val="007E6B53"/>
    <w:rsid w:val="007F4DB9"/>
    <w:rsid w:val="007F6FC1"/>
    <w:rsid w:val="00817A52"/>
    <w:rsid w:val="00820D30"/>
    <w:rsid w:val="00833E6F"/>
    <w:rsid w:val="0084677C"/>
    <w:rsid w:val="00852B81"/>
    <w:rsid w:val="00852DA4"/>
    <w:rsid w:val="00853DB8"/>
    <w:rsid w:val="0086093F"/>
    <w:rsid w:val="008716C4"/>
    <w:rsid w:val="00886BB8"/>
    <w:rsid w:val="00892A33"/>
    <w:rsid w:val="008A5708"/>
    <w:rsid w:val="008B715F"/>
    <w:rsid w:val="008D366B"/>
    <w:rsid w:val="008E23FE"/>
    <w:rsid w:val="008F2945"/>
    <w:rsid w:val="008F3BC3"/>
    <w:rsid w:val="009178E7"/>
    <w:rsid w:val="00932CAC"/>
    <w:rsid w:val="00945A55"/>
    <w:rsid w:val="009509CA"/>
    <w:rsid w:val="00951897"/>
    <w:rsid w:val="009618DB"/>
    <w:rsid w:val="00964A3B"/>
    <w:rsid w:val="00971C9D"/>
    <w:rsid w:val="00985B8F"/>
    <w:rsid w:val="00987EF2"/>
    <w:rsid w:val="00995943"/>
    <w:rsid w:val="009C34A8"/>
    <w:rsid w:val="009C45DA"/>
    <w:rsid w:val="009D3B7D"/>
    <w:rsid w:val="009E098F"/>
    <w:rsid w:val="009F14D1"/>
    <w:rsid w:val="009F2A87"/>
    <w:rsid w:val="00A03849"/>
    <w:rsid w:val="00A06ADA"/>
    <w:rsid w:val="00A112FE"/>
    <w:rsid w:val="00A162DC"/>
    <w:rsid w:val="00A2078D"/>
    <w:rsid w:val="00A35BB3"/>
    <w:rsid w:val="00A43BD6"/>
    <w:rsid w:val="00A468C1"/>
    <w:rsid w:val="00A702E3"/>
    <w:rsid w:val="00A94F9B"/>
    <w:rsid w:val="00AA5B9B"/>
    <w:rsid w:val="00AC1313"/>
    <w:rsid w:val="00AE3018"/>
    <w:rsid w:val="00AE3286"/>
    <w:rsid w:val="00AE542A"/>
    <w:rsid w:val="00AE6BF5"/>
    <w:rsid w:val="00B016A4"/>
    <w:rsid w:val="00B14BF6"/>
    <w:rsid w:val="00B17D7D"/>
    <w:rsid w:val="00B26BE9"/>
    <w:rsid w:val="00B337B6"/>
    <w:rsid w:val="00B340ED"/>
    <w:rsid w:val="00B5285B"/>
    <w:rsid w:val="00B60083"/>
    <w:rsid w:val="00B62B0C"/>
    <w:rsid w:val="00B70C94"/>
    <w:rsid w:val="00B827C9"/>
    <w:rsid w:val="00B847E6"/>
    <w:rsid w:val="00BA5B5B"/>
    <w:rsid w:val="00BA5C93"/>
    <w:rsid w:val="00BB6997"/>
    <w:rsid w:val="00BC430E"/>
    <w:rsid w:val="00BC490C"/>
    <w:rsid w:val="00BC6DC9"/>
    <w:rsid w:val="00BD1A2B"/>
    <w:rsid w:val="00BD23D1"/>
    <w:rsid w:val="00C0180C"/>
    <w:rsid w:val="00C20F82"/>
    <w:rsid w:val="00C33F41"/>
    <w:rsid w:val="00C3447B"/>
    <w:rsid w:val="00C429DB"/>
    <w:rsid w:val="00C42B03"/>
    <w:rsid w:val="00C50844"/>
    <w:rsid w:val="00C51D08"/>
    <w:rsid w:val="00C51FF7"/>
    <w:rsid w:val="00C54FA6"/>
    <w:rsid w:val="00C55B0B"/>
    <w:rsid w:val="00C91577"/>
    <w:rsid w:val="00C95695"/>
    <w:rsid w:val="00CA0F72"/>
    <w:rsid w:val="00CA59BE"/>
    <w:rsid w:val="00CA6391"/>
    <w:rsid w:val="00CA71D9"/>
    <w:rsid w:val="00CB081D"/>
    <w:rsid w:val="00CB6A65"/>
    <w:rsid w:val="00CC4AB0"/>
    <w:rsid w:val="00CF56E6"/>
    <w:rsid w:val="00CF5D6B"/>
    <w:rsid w:val="00D05900"/>
    <w:rsid w:val="00D179AF"/>
    <w:rsid w:val="00D41315"/>
    <w:rsid w:val="00D434CE"/>
    <w:rsid w:val="00D45F1E"/>
    <w:rsid w:val="00D751FE"/>
    <w:rsid w:val="00D820D4"/>
    <w:rsid w:val="00D83228"/>
    <w:rsid w:val="00D833D1"/>
    <w:rsid w:val="00DC558D"/>
    <w:rsid w:val="00DD00D2"/>
    <w:rsid w:val="00DD5EFA"/>
    <w:rsid w:val="00DE6A18"/>
    <w:rsid w:val="00DF2B9D"/>
    <w:rsid w:val="00DF6698"/>
    <w:rsid w:val="00E019D6"/>
    <w:rsid w:val="00E05248"/>
    <w:rsid w:val="00E534CC"/>
    <w:rsid w:val="00E61A2C"/>
    <w:rsid w:val="00E80474"/>
    <w:rsid w:val="00EA50F6"/>
    <w:rsid w:val="00EA5D2B"/>
    <w:rsid w:val="00EA646D"/>
    <w:rsid w:val="00EB5812"/>
    <w:rsid w:val="00EB59B4"/>
    <w:rsid w:val="00EB7C9A"/>
    <w:rsid w:val="00EC0E15"/>
    <w:rsid w:val="00EC106B"/>
    <w:rsid w:val="00EC26DA"/>
    <w:rsid w:val="00EC5294"/>
    <w:rsid w:val="00EC7DC3"/>
    <w:rsid w:val="00ED569A"/>
    <w:rsid w:val="00ED6E14"/>
    <w:rsid w:val="00EE26DF"/>
    <w:rsid w:val="00F00474"/>
    <w:rsid w:val="00F02A72"/>
    <w:rsid w:val="00F0558E"/>
    <w:rsid w:val="00F069C0"/>
    <w:rsid w:val="00F135C1"/>
    <w:rsid w:val="00F23B66"/>
    <w:rsid w:val="00F40BF9"/>
    <w:rsid w:val="00F44E91"/>
    <w:rsid w:val="00F50BA8"/>
    <w:rsid w:val="00F54435"/>
    <w:rsid w:val="00F66423"/>
    <w:rsid w:val="00F7406C"/>
    <w:rsid w:val="00F749CF"/>
    <w:rsid w:val="00FB209A"/>
    <w:rsid w:val="00FB7E6B"/>
    <w:rsid w:val="00FC48AC"/>
    <w:rsid w:val="00FC6B72"/>
    <w:rsid w:val="00FD5318"/>
    <w:rsid w:val="00FF4F50"/>
    <w:rsid w:val="00FF61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9AE034-8EF7-42D0-BB4C-AFC79CB4C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30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Style Heading 2"/>
    <w:basedOn w:val="Normal"/>
    <w:next w:val="Normal"/>
    <w:link w:val="Heading2Char"/>
    <w:uiPriority w:val="9"/>
    <w:unhideWhenUsed/>
    <w:qFormat/>
    <w:rsid w:val="00971C9D"/>
    <w:pPr>
      <w:keepNext/>
      <w:keepLines/>
      <w:pBdr>
        <w:top w:val="dotted" w:sz="4" w:space="1" w:color="943634" w:themeColor="accent2" w:themeShade="BF"/>
        <w:bottom w:val="dotted" w:sz="4" w:space="1" w:color="943634" w:themeColor="accent2" w:themeShade="BF"/>
      </w:pBdr>
      <w:spacing w:before="120" w:after="240" w:line="252" w:lineRule="auto"/>
      <w:jc w:val="center"/>
      <w:outlineLvl w:val="1"/>
    </w:pPr>
    <w:rPr>
      <w:rFonts w:eastAsiaTheme="majorEastAsia" w:cstheme="majorBidi"/>
      <w:b/>
      <w:bCs/>
      <w:caps/>
      <w:color w:val="403152" w:themeColor="accent4" w:themeShade="80"/>
      <w:spacing w:val="20"/>
      <w:sz w:val="24"/>
      <w:szCs w:val="26"/>
      <w:lang w:val="en-US" w:bidi="en-US"/>
    </w:rPr>
  </w:style>
  <w:style w:type="paragraph" w:styleId="Heading3">
    <w:name w:val="heading 3"/>
    <w:aliases w:val="Style Heading 3"/>
    <w:basedOn w:val="Normal"/>
    <w:next w:val="Normal"/>
    <w:link w:val="Heading3Char"/>
    <w:uiPriority w:val="9"/>
    <w:unhideWhenUsed/>
    <w:qFormat/>
    <w:rsid w:val="00C0180C"/>
    <w:pPr>
      <w:keepNext/>
      <w:keepLines/>
      <w:pBdr>
        <w:bottom w:val="dotted" w:sz="4" w:space="1" w:color="943634" w:themeColor="accent2" w:themeShade="BF"/>
      </w:pBdr>
      <w:spacing w:before="120" w:after="240" w:line="252" w:lineRule="auto"/>
      <w:jc w:val="center"/>
      <w:outlineLvl w:val="2"/>
    </w:pPr>
    <w:rPr>
      <w:rFonts w:eastAsiaTheme="majorEastAsia" w:cstheme="majorBidi"/>
      <w:b/>
      <w:bCs/>
      <w:caps/>
      <w:color w:val="403152" w:themeColor="accent4" w:themeShade="80"/>
      <w:spacing w:val="20"/>
      <w:szCs w:val="32"/>
      <w:lang w:val="en-US" w:bidi="en-US"/>
    </w:rPr>
  </w:style>
  <w:style w:type="paragraph" w:styleId="Heading4">
    <w:name w:val="heading 4"/>
    <w:aliases w:val="Style Heading 4"/>
    <w:basedOn w:val="Normal"/>
    <w:next w:val="Normal"/>
    <w:link w:val="Heading4Char"/>
    <w:uiPriority w:val="9"/>
    <w:unhideWhenUsed/>
    <w:qFormat/>
    <w:rsid w:val="00971C9D"/>
    <w:pPr>
      <w:keepNext/>
      <w:keepLines/>
      <w:pBdr>
        <w:top w:val="dotted" w:sz="4" w:space="1" w:color="943634" w:themeColor="accent2" w:themeShade="BF"/>
        <w:bottom w:val="dotted" w:sz="4" w:space="1" w:color="943634" w:themeColor="accent2" w:themeShade="BF"/>
      </w:pBdr>
      <w:spacing w:before="120" w:after="240" w:line="252" w:lineRule="auto"/>
      <w:jc w:val="center"/>
      <w:outlineLvl w:val="3"/>
    </w:pPr>
    <w:rPr>
      <w:rFonts w:eastAsiaTheme="majorEastAsia" w:cstheme="majorBidi"/>
      <w:b/>
      <w:bCs/>
      <w:iCs/>
      <w:caps/>
      <w:color w:val="403152" w:themeColor="accent4" w:themeShade="80"/>
      <w:spacing w:val="20"/>
      <w:sz w:val="24"/>
      <w:szCs w:val="3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0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Style Heading 2 Char"/>
    <w:basedOn w:val="DefaultParagraphFont"/>
    <w:link w:val="Heading2"/>
    <w:uiPriority w:val="9"/>
    <w:rsid w:val="00971C9D"/>
    <w:rPr>
      <w:rFonts w:eastAsiaTheme="majorEastAsia" w:cstheme="majorBidi"/>
      <w:b/>
      <w:bCs/>
      <w:caps/>
      <w:color w:val="403152" w:themeColor="accent4" w:themeShade="80"/>
      <w:spacing w:val="20"/>
      <w:sz w:val="24"/>
      <w:szCs w:val="26"/>
      <w:lang w:val="en-US" w:bidi="en-US"/>
    </w:rPr>
  </w:style>
  <w:style w:type="character" w:customStyle="1" w:styleId="Heading3Char">
    <w:name w:val="Heading 3 Char"/>
    <w:aliases w:val="Style Heading 3 Char"/>
    <w:basedOn w:val="DefaultParagraphFont"/>
    <w:link w:val="Heading3"/>
    <w:uiPriority w:val="9"/>
    <w:rsid w:val="00C0180C"/>
    <w:rPr>
      <w:rFonts w:eastAsiaTheme="majorEastAsia" w:cstheme="majorBidi"/>
      <w:b/>
      <w:bCs/>
      <w:caps/>
      <w:color w:val="403152" w:themeColor="accent4" w:themeShade="80"/>
      <w:spacing w:val="20"/>
      <w:szCs w:val="32"/>
      <w:lang w:val="en-US" w:bidi="en-US"/>
    </w:rPr>
  </w:style>
  <w:style w:type="character" w:customStyle="1" w:styleId="Heading4Char">
    <w:name w:val="Heading 4 Char"/>
    <w:aliases w:val="Style Heading 4 Char"/>
    <w:basedOn w:val="DefaultParagraphFont"/>
    <w:link w:val="Heading4"/>
    <w:uiPriority w:val="9"/>
    <w:rsid w:val="00971C9D"/>
    <w:rPr>
      <w:rFonts w:eastAsiaTheme="majorEastAsia" w:cstheme="majorBidi"/>
      <w:b/>
      <w:bCs/>
      <w:iCs/>
      <w:caps/>
      <w:color w:val="403152" w:themeColor="accent4" w:themeShade="80"/>
      <w:spacing w:val="20"/>
      <w:sz w:val="24"/>
      <w:szCs w:val="32"/>
      <w:lang w:val="en-US" w:bidi="en-US"/>
    </w:rPr>
  </w:style>
  <w:style w:type="paragraph" w:customStyle="1" w:styleId="StyleHeading1">
    <w:name w:val="Style Heading 1"/>
    <w:basedOn w:val="Heading1"/>
    <w:next w:val="Normal"/>
    <w:autoRedefine/>
    <w:qFormat/>
    <w:rsid w:val="00971C9D"/>
    <w:pPr>
      <w:keepNext w:val="0"/>
      <w:keepLines w:val="0"/>
      <w:pBdr>
        <w:top w:val="dotted" w:sz="4" w:space="1" w:color="943634" w:themeColor="accent2" w:themeShade="BF"/>
        <w:bottom w:val="dotted" w:sz="4" w:space="1" w:color="943634" w:themeColor="accent2" w:themeShade="BF"/>
      </w:pBdr>
      <w:spacing w:before="120" w:after="240" w:line="252" w:lineRule="auto"/>
      <w:jc w:val="center"/>
    </w:pPr>
    <w:rPr>
      <w:rFonts w:asciiTheme="minorHAnsi" w:eastAsia="Times New Roman" w:hAnsiTheme="minorHAnsi" w:cstheme="minorHAnsi"/>
      <w:bCs w:val="0"/>
      <w:caps/>
      <w:color w:val="403152" w:themeColor="accent4" w:themeShade="80"/>
      <w:spacing w:val="20"/>
      <w:sz w:val="24"/>
      <w:szCs w:val="24"/>
      <w:lang w:val="en-US" w:bidi="en-US"/>
    </w:rPr>
  </w:style>
  <w:style w:type="paragraph" w:styleId="Title">
    <w:name w:val="Title"/>
    <w:basedOn w:val="Normal"/>
    <w:next w:val="Normal"/>
    <w:link w:val="TitleChar"/>
    <w:uiPriority w:val="10"/>
    <w:qFormat/>
    <w:rsid w:val="00892A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892A33"/>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892A33"/>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892A33"/>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892A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A33"/>
    <w:rPr>
      <w:rFonts w:ascii="Tahoma" w:hAnsi="Tahoma" w:cs="Tahoma"/>
      <w:sz w:val="16"/>
      <w:szCs w:val="16"/>
    </w:rPr>
  </w:style>
  <w:style w:type="table" w:styleId="TableGrid">
    <w:name w:val="Table Grid"/>
    <w:basedOn w:val="TableNormal"/>
    <w:uiPriority w:val="1"/>
    <w:rsid w:val="000F2F22"/>
    <w:pPr>
      <w:spacing w:after="0" w:line="240" w:lineRule="auto"/>
    </w:pPr>
    <w:rPr>
      <w:rFonts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basedOn w:val="Normal"/>
    <w:link w:val="NoSpacingChar"/>
    <w:uiPriority w:val="1"/>
    <w:qFormat/>
    <w:rsid w:val="000F2F22"/>
    <w:pPr>
      <w:spacing w:after="0" w:line="240" w:lineRule="auto"/>
    </w:pPr>
    <w:rPr>
      <w:rFonts w:cs="Times New Roman"/>
      <w:color w:val="000000" w:themeColor="text1"/>
      <w:szCs w:val="20"/>
      <w:lang w:val="en-US" w:eastAsia="ja-JP"/>
    </w:rPr>
  </w:style>
  <w:style w:type="character" w:customStyle="1" w:styleId="NoSpacingChar">
    <w:name w:val="No Spacing Char"/>
    <w:basedOn w:val="DefaultParagraphFont"/>
    <w:link w:val="NoSpacing"/>
    <w:uiPriority w:val="1"/>
    <w:rsid w:val="000F2F22"/>
    <w:rPr>
      <w:rFonts w:cs="Times New Roman"/>
      <w:color w:val="000000" w:themeColor="text1"/>
      <w:szCs w:val="20"/>
      <w:lang w:val="en-US" w:eastAsia="ja-JP"/>
    </w:rPr>
  </w:style>
  <w:style w:type="paragraph" w:styleId="ListParagraph">
    <w:name w:val="List Paragraph"/>
    <w:basedOn w:val="Normal"/>
    <w:uiPriority w:val="34"/>
    <w:qFormat/>
    <w:rsid w:val="009618DB"/>
    <w:pPr>
      <w:ind w:left="720"/>
      <w:contextualSpacing/>
    </w:pPr>
  </w:style>
  <w:style w:type="character" w:styleId="Hyperlink">
    <w:name w:val="Hyperlink"/>
    <w:basedOn w:val="DefaultParagraphFont"/>
    <w:uiPriority w:val="99"/>
    <w:unhideWhenUsed/>
    <w:rsid w:val="00CA0F72"/>
    <w:rPr>
      <w:color w:val="0000FF" w:themeColor="hyperlink"/>
      <w:u w:val="single"/>
    </w:rPr>
  </w:style>
  <w:style w:type="character" w:styleId="FollowedHyperlink">
    <w:name w:val="FollowedHyperlink"/>
    <w:basedOn w:val="DefaultParagraphFont"/>
    <w:uiPriority w:val="99"/>
    <w:semiHidden/>
    <w:unhideWhenUsed/>
    <w:rsid w:val="00AE3286"/>
    <w:rPr>
      <w:color w:val="800080" w:themeColor="followedHyperlink"/>
      <w:u w:val="single"/>
    </w:rPr>
  </w:style>
  <w:style w:type="paragraph" w:styleId="TOCHeading">
    <w:name w:val="TOC Heading"/>
    <w:basedOn w:val="Heading1"/>
    <w:next w:val="Normal"/>
    <w:uiPriority w:val="39"/>
    <w:semiHidden/>
    <w:unhideWhenUsed/>
    <w:qFormat/>
    <w:rsid w:val="00537B45"/>
    <w:pPr>
      <w:outlineLvl w:val="9"/>
    </w:pPr>
    <w:rPr>
      <w:lang w:val="en-US" w:eastAsia="ja-JP"/>
    </w:rPr>
  </w:style>
  <w:style w:type="paragraph" w:styleId="TOC1">
    <w:name w:val="toc 1"/>
    <w:basedOn w:val="Normal"/>
    <w:next w:val="Normal"/>
    <w:autoRedefine/>
    <w:uiPriority w:val="39"/>
    <w:unhideWhenUsed/>
    <w:rsid w:val="00537B45"/>
    <w:pPr>
      <w:spacing w:after="100"/>
    </w:pPr>
  </w:style>
  <w:style w:type="paragraph" w:styleId="TOC3">
    <w:name w:val="toc 3"/>
    <w:basedOn w:val="Normal"/>
    <w:next w:val="Normal"/>
    <w:autoRedefine/>
    <w:uiPriority w:val="39"/>
    <w:unhideWhenUsed/>
    <w:rsid w:val="00537B45"/>
    <w:pPr>
      <w:spacing w:after="100"/>
      <w:ind w:left="440"/>
    </w:pPr>
  </w:style>
  <w:style w:type="paragraph" w:styleId="TOC2">
    <w:name w:val="toc 2"/>
    <w:basedOn w:val="Normal"/>
    <w:next w:val="Normal"/>
    <w:autoRedefine/>
    <w:uiPriority w:val="39"/>
    <w:unhideWhenUsed/>
    <w:rsid w:val="00537B45"/>
    <w:pPr>
      <w:spacing w:after="100"/>
      <w:ind w:left="220"/>
    </w:pPr>
  </w:style>
  <w:style w:type="paragraph" w:styleId="Header">
    <w:name w:val="header"/>
    <w:basedOn w:val="Normal"/>
    <w:link w:val="HeaderChar"/>
    <w:uiPriority w:val="99"/>
    <w:unhideWhenUsed/>
    <w:rsid w:val="007923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36B"/>
  </w:style>
  <w:style w:type="paragraph" w:styleId="Footer">
    <w:name w:val="footer"/>
    <w:basedOn w:val="Normal"/>
    <w:link w:val="FooterChar"/>
    <w:uiPriority w:val="99"/>
    <w:unhideWhenUsed/>
    <w:rsid w:val="007923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36B"/>
  </w:style>
  <w:style w:type="table" w:styleId="MediumGrid1-Accent1">
    <w:name w:val="Medium Grid 1 Accent 1"/>
    <w:basedOn w:val="TableNormal"/>
    <w:uiPriority w:val="67"/>
    <w:rsid w:val="00521A1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1">
    <w:name w:val="Light Grid Accent 1"/>
    <w:basedOn w:val="TableNormal"/>
    <w:uiPriority w:val="62"/>
    <w:rsid w:val="009509C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BD1A2B"/>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MediumGrid3-Accent4">
    <w:name w:val="Medium Grid 3 Accent 4"/>
    <w:basedOn w:val="TableNormal"/>
    <w:uiPriority w:val="69"/>
    <w:rsid w:val="00971C9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dTable5Dark-Accent6">
    <w:name w:val="Grid Table 5 Dark Accent 6"/>
    <w:basedOn w:val="TableNormal"/>
    <w:uiPriority w:val="50"/>
    <w:rsid w:val="00B600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974069">
      <w:bodyDiv w:val="1"/>
      <w:marLeft w:val="0"/>
      <w:marRight w:val="0"/>
      <w:marTop w:val="0"/>
      <w:marBottom w:val="0"/>
      <w:divBdr>
        <w:top w:val="none" w:sz="0" w:space="0" w:color="auto"/>
        <w:left w:val="none" w:sz="0" w:space="0" w:color="auto"/>
        <w:bottom w:val="none" w:sz="0" w:space="0" w:color="auto"/>
        <w:right w:val="none" w:sz="0" w:space="0" w:color="auto"/>
      </w:divBdr>
      <w:divsChild>
        <w:div w:id="708333163">
          <w:marLeft w:val="547"/>
          <w:marRight w:val="0"/>
          <w:marTop w:val="240"/>
          <w:marBottom w:val="0"/>
          <w:divBdr>
            <w:top w:val="none" w:sz="0" w:space="0" w:color="auto"/>
            <w:left w:val="none" w:sz="0" w:space="0" w:color="auto"/>
            <w:bottom w:val="none" w:sz="0" w:space="0" w:color="auto"/>
            <w:right w:val="none" w:sz="0" w:space="0" w:color="auto"/>
          </w:divBdr>
        </w:div>
      </w:divsChild>
    </w:div>
    <w:div w:id="358358529">
      <w:bodyDiv w:val="1"/>
      <w:marLeft w:val="0"/>
      <w:marRight w:val="0"/>
      <w:marTop w:val="0"/>
      <w:marBottom w:val="0"/>
      <w:divBdr>
        <w:top w:val="none" w:sz="0" w:space="0" w:color="auto"/>
        <w:left w:val="none" w:sz="0" w:space="0" w:color="auto"/>
        <w:bottom w:val="none" w:sz="0" w:space="0" w:color="auto"/>
        <w:right w:val="none" w:sz="0" w:space="0" w:color="auto"/>
      </w:divBdr>
      <w:divsChild>
        <w:div w:id="1772161194">
          <w:marLeft w:val="547"/>
          <w:marRight w:val="0"/>
          <w:marTop w:val="240"/>
          <w:marBottom w:val="0"/>
          <w:divBdr>
            <w:top w:val="none" w:sz="0" w:space="0" w:color="auto"/>
            <w:left w:val="none" w:sz="0" w:space="0" w:color="auto"/>
            <w:bottom w:val="none" w:sz="0" w:space="0" w:color="auto"/>
            <w:right w:val="none" w:sz="0" w:space="0" w:color="auto"/>
          </w:divBdr>
        </w:div>
        <w:div w:id="495152289">
          <w:marLeft w:val="1166"/>
          <w:marRight w:val="0"/>
          <w:marTop w:val="240"/>
          <w:marBottom w:val="0"/>
          <w:divBdr>
            <w:top w:val="none" w:sz="0" w:space="0" w:color="auto"/>
            <w:left w:val="none" w:sz="0" w:space="0" w:color="auto"/>
            <w:bottom w:val="none" w:sz="0" w:space="0" w:color="auto"/>
            <w:right w:val="none" w:sz="0" w:space="0" w:color="auto"/>
          </w:divBdr>
        </w:div>
        <w:div w:id="1819494987">
          <w:marLeft w:val="1166"/>
          <w:marRight w:val="0"/>
          <w:marTop w:val="240"/>
          <w:marBottom w:val="0"/>
          <w:divBdr>
            <w:top w:val="none" w:sz="0" w:space="0" w:color="auto"/>
            <w:left w:val="none" w:sz="0" w:space="0" w:color="auto"/>
            <w:bottom w:val="none" w:sz="0" w:space="0" w:color="auto"/>
            <w:right w:val="none" w:sz="0" w:space="0" w:color="auto"/>
          </w:divBdr>
        </w:div>
        <w:div w:id="1003319193">
          <w:marLeft w:val="547"/>
          <w:marRight w:val="0"/>
          <w:marTop w:val="240"/>
          <w:marBottom w:val="0"/>
          <w:divBdr>
            <w:top w:val="none" w:sz="0" w:space="0" w:color="auto"/>
            <w:left w:val="none" w:sz="0" w:space="0" w:color="auto"/>
            <w:bottom w:val="none" w:sz="0" w:space="0" w:color="auto"/>
            <w:right w:val="none" w:sz="0" w:space="0" w:color="auto"/>
          </w:divBdr>
        </w:div>
        <w:div w:id="206989640">
          <w:marLeft w:val="1166"/>
          <w:marRight w:val="0"/>
          <w:marTop w:val="240"/>
          <w:marBottom w:val="0"/>
          <w:divBdr>
            <w:top w:val="none" w:sz="0" w:space="0" w:color="auto"/>
            <w:left w:val="none" w:sz="0" w:space="0" w:color="auto"/>
            <w:bottom w:val="none" w:sz="0" w:space="0" w:color="auto"/>
            <w:right w:val="none" w:sz="0" w:space="0" w:color="auto"/>
          </w:divBdr>
        </w:div>
        <w:div w:id="588537109">
          <w:marLeft w:val="1166"/>
          <w:marRight w:val="0"/>
          <w:marTop w:val="240"/>
          <w:marBottom w:val="0"/>
          <w:divBdr>
            <w:top w:val="none" w:sz="0" w:space="0" w:color="auto"/>
            <w:left w:val="none" w:sz="0" w:space="0" w:color="auto"/>
            <w:bottom w:val="none" w:sz="0" w:space="0" w:color="auto"/>
            <w:right w:val="none" w:sz="0" w:space="0" w:color="auto"/>
          </w:divBdr>
        </w:div>
      </w:divsChild>
    </w:div>
    <w:div w:id="581255129">
      <w:bodyDiv w:val="1"/>
      <w:marLeft w:val="0"/>
      <w:marRight w:val="0"/>
      <w:marTop w:val="0"/>
      <w:marBottom w:val="0"/>
      <w:divBdr>
        <w:top w:val="none" w:sz="0" w:space="0" w:color="auto"/>
        <w:left w:val="none" w:sz="0" w:space="0" w:color="auto"/>
        <w:bottom w:val="none" w:sz="0" w:space="0" w:color="auto"/>
        <w:right w:val="none" w:sz="0" w:space="0" w:color="auto"/>
      </w:divBdr>
    </w:div>
    <w:div w:id="768934631">
      <w:bodyDiv w:val="1"/>
      <w:marLeft w:val="0"/>
      <w:marRight w:val="0"/>
      <w:marTop w:val="0"/>
      <w:marBottom w:val="0"/>
      <w:divBdr>
        <w:top w:val="none" w:sz="0" w:space="0" w:color="auto"/>
        <w:left w:val="none" w:sz="0" w:space="0" w:color="auto"/>
        <w:bottom w:val="none" w:sz="0" w:space="0" w:color="auto"/>
        <w:right w:val="none" w:sz="0" w:space="0" w:color="auto"/>
      </w:divBdr>
      <w:divsChild>
        <w:div w:id="1833526450">
          <w:marLeft w:val="274"/>
          <w:marRight w:val="0"/>
          <w:marTop w:val="240"/>
          <w:marBottom w:val="0"/>
          <w:divBdr>
            <w:top w:val="none" w:sz="0" w:space="0" w:color="auto"/>
            <w:left w:val="none" w:sz="0" w:space="0" w:color="auto"/>
            <w:bottom w:val="none" w:sz="0" w:space="0" w:color="auto"/>
            <w:right w:val="none" w:sz="0" w:space="0" w:color="auto"/>
          </w:divBdr>
        </w:div>
        <w:div w:id="44765121">
          <w:marLeft w:val="274"/>
          <w:marRight w:val="0"/>
          <w:marTop w:val="240"/>
          <w:marBottom w:val="0"/>
          <w:divBdr>
            <w:top w:val="none" w:sz="0" w:space="0" w:color="auto"/>
            <w:left w:val="none" w:sz="0" w:space="0" w:color="auto"/>
            <w:bottom w:val="none" w:sz="0" w:space="0" w:color="auto"/>
            <w:right w:val="none" w:sz="0" w:space="0" w:color="auto"/>
          </w:divBdr>
        </w:div>
        <w:div w:id="468397971">
          <w:marLeft w:val="274"/>
          <w:marRight w:val="0"/>
          <w:marTop w:val="240"/>
          <w:marBottom w:val="0"/>
          <w:divBdr>
            <w:top w:val="none" w:sz="0" w:space="0" w:color="auto"/>
            <w:left w:val="none" w:sz="0" w:space="0" w:color="auto"/>
            <w:bottom w:val="none" w:sz="0" w:space="0" w:color="auto"/>
            <w:right w:val="none" w:sz="0" w:space="0" w:color="auto"/>
          </w:divBdr>
        </w:div>
      </w:divsChild>
    </w:div>
    <w:div w:id="814417151">
      <w:bodyDiv w:val="1"/>
      <w:marLeft w:val="0"/>
      <w:marRight w:val="0"/>
      <w:marTop w:val="0"/>
      <w:marBottom w:val="0"/>
      <w:divBdr>
        <w:top w:val="none" w:sz="0" w:space="0" w:color="auto"/>
        <w:left w:val="none" w:sz="0" w:space="0" w:color="auto"/>
        <w:bottom w:val="none" w:sz="0" w:space="0" w:color="auto"/>
        <w:right w:val="none" w:sz="0" w:space="0" w:color="auto"/>
      </w:divBdr>
    </w:div>
    <w:div w:id="1001082153">
      <w:bodyDiv w:val="1"/>
      <w:marLeft w:val="0"/>
      <w:marRight w:val="0"/>
      <w:marTop w:val="0"/>
      <w:marBottom w:val="0"/>
      <w:divBdr>
        <w:top w:val="none" w:sz="0" w:space="0" w:color="auto"/>
        <w:left w:val="none" w:sz="0" w:space="0" w:color="auto"/>
        <w:bottom w:val="none" w:sz="0" w:space="0" w:color="auto"/>
        <w:right w:val="none" w:sz="0" w:space="0" w:color="auto"/>
      </w:divBdr>
    </w:div>
    <w:div w:id="1329866995">
      <w:bodyDiv w:val="1"/>
      <w:marLeft w:val="0"/>
      <w:marRight w:val="0"/>
      <w:marTop w:val="0"/>
      <w:marBottom w:val="0"/>
      <w:divBdr>
        <w:top w:val="none" w:sz="0" w:space="0" w:color="auto"/>
        <w:left w:val="none" w:sz="0" w:space="0" w:color="auto"/>
        <w:bottom w:val="none" w:sz="0" w:space="0" w:color="auto"/>
        <w:right w:val="none" w:sz="0" w:space="0" w:color="auto"/>
      </w:divBdr>
    </w:div>
    <w:div w:id="1626500630">
      <w:bodyDiv w:val="1"/>
      <w:marLeft w:val="0"/>
      <w:marRight w:val="0"/>
      <w:marTop w:val="0"/>
      <w:marBottom w:val="0"/>
      <w:divBdr>
        <w:top w:val="none" w:sz="0" w:space="0" w:color="auto"/>
        <w:left w:val="none" w:sz="0" w:space="0" w:color="auto"/>
        <w:bottom w:val="none" w:sz="0" w:space="0" w:color="auto"/>
        <w:right w:val="none" w:sz="0" w:space="0" w:color="auto"/>
      </w:divBdr>
      <w:divsChild>
        <w:div w:id="954214529">
          <w:marLeft w:val="1080"/>
          <w:marRight w:val="0"/>
          <w:marTop w:val="0"/>
          <w:marBottom w:val="0"/>
          <w:divBdr>
            <w:top w:val="none" w:sz="0" w:space="0" w:color="auto"/>
            <w:left w:val="none" w:sz="0" w:space="0" w:color="auto"/>
            <w:bottom w:val="none" w:sz="0" w:space="0" w:color="auto"/>
            <w:right w:val="none" w:sz="0" w:space="0" w:color="auto"/>
          </w:divBdr>
        </w:div>
      </w:divsChild>
    </w:div>
    <w:div w:id="2036611133">
      <w:bodyDiv w:val="1"/>
      <w:marLeft w:val="0"/>
      <w:marRight w:val="0"/>
      <w:marTop w:val="0"/>
      <w:marBottom w:val="0"/>
      <w:divBdr>
        <w:top w:val="none" w:sz="0" w:space="0" w:color="auto"/>
        <w:left w:val="none" w:sz="0" w:space="0" w:color="auto"/>
        <w:bottom w:val="none" w:sz="0" w:space="0" w:color="auto"/>
        <w:right w:val="none" w:sz="0" w:space="0" w:color="auto"/>
      </w:divBdr>
      <w:divsChild>
        <w:div w:id="1449205851">
          <w:marLeft w:val="1166"/>
          <w:marRight w:val="0"/>
          <w:marTop w:val="240"/>
          <w:marBottom w:val="0"/>
          <w:divBdr>
            <w:top w:val="none" w:sz="0" w:space="0" w:color="auto"/>
            <w:left w:val="none" w:sz="0" w:space="0" w:color="auto"/>
            <w:bottom w:val="none" w:sz="0" w:space="0" w:color="auto"/>
            <w:right w:val="none" w:sz="0" w:space="0" w:color="auto"/>
          </w:divBdr>
        </w:div>
        <w:div w:id="301664612">
          <w:marLeft w:val="1166"/>
          <w:marRight w:val="0"/>
          <w:marTop w:val="240"/>
          <w:marBottom w:val="0"/>
          <w:divBdr>
            <w:top w:val="none" w:sz="0" w:space="0" w:color="auto"/>
            <w:left w:val="none" w:sz="0" w:space="0" w:color="auto"/>
            <w:bottom w:val="none" w:sz="0" w:space="0" w:color="auto"/>
            <w:right w:val="none" w:sz="0" w:space="0" w:color="auto"/>
          </w:divBdr>
        </w:div>
        <w:div w:id="2047757430">
          <w:marLeft w:val="1166"/>
          <w:marRight w:val="0"/>
          <w:marTop w:val="240"/>
          <w:marBottom w:val="0"/>
          <w:divBdr>
            <w:top w:val="none" w:sz="0" w:space="0" w:color="auto"/>
            <w:left w:val="none" w:sz="0" w:space="0" w:color="auto"/>
            <w:bottom w:val="none" w:sz="0" w:space="0" w:color="auto"/>
            <w:right w:val="none" w:sz="0" w:space="0" w:color="auto"/>
          </w:divBdr>
        </w:div>
      </w:divsChild>
    </w:div>
    <w:div w:id="2052026558">
      <w:bodyDiv w:val="1"/>
      <w:marLeft w:val="0"/>
      <w:marRight w:val="0"/>
      <w:marTop w:val="0"/>
      <w:marBottom w:val="0"/>
      <w:divBdr>
        <w:top w:val="none" w:sz="0" w:space="0" w:color="auto"/>
        <w:left w:val="none" w:sz="0" w:space="0" w:color="auto"/>
        <w:bottom w:val="none" w:sz="0" w:space="0" w:color="auto"/>
        <w:right w:val="none" w:sz="0" w:space="0" w:color="auto"/>
      </w:divBdr>
      <w:divsChild>
        <w:div w:id="1212813429">
          <w:marLeft w:val="547"/>
          <w:marRight w:val="0"/>
          <w:marTop w:val="0"/>
          <w:marBottom w:val="0"/>
          <w:divBdr>
            <w:top w:val="none" w:sz="0" w:space="0" w:color="auto"/>
            <w:left w:val="none" w:sz="0" w:space="0" w:color="auto"/>
            <w:bottom w:val="none" w:sz="0" w:space="0" w:color="auto"/>
            <w:right w:val="none" w:sz="0" w:space="0" w:color="auto"/>
          </w:divBdr>
        </w:div>
        <w:div w:id="1527332415">
          <w:marLeft w:val="547"/>
          <w:marRight w:val="0"/>
          <w:marTop w:val="0"/>
          <w:marBottom w:val="0"/>
          <w:divBdr>
            <w:top w:val="none" w:sz="0" w:space="0" w:color="auto"/>
            <w:left w:val="none" w:sz="0" w:space="0" w:color="auto"/>
            <w:bottom w:val="none" w:sz="0" w:space="0" w:color="auto"/>
            <w:right w:val="none" w:sz="0" w:space="0" w:color="auto"/>
          </w:divBdr>
        </w:div>
        <w:div w:id="1407727962">
          <w:marLeft w:val="547"/>
          <w:marRight w:val="0"/>
          <w:marTop w:val="0"/>
          <w:marBottom w:val="0"/>
          <w:divBdr>
            <w:top w:val="none" w:sz="0" w:space="0" w:color="auto"/>
            <w:left w:val="none" w:sz="0" w:space="0" w:color="auto"/>
            <w:bottom w:val="none" w:sz="0" w:space="0" w:color="auto"/>
            <w:right w:val="none" w:sz="0" w:space="0" w:color="auto"/>
          </w:divBdr>
        </w:div>
        <w:div w:id="1402865924">
          <w:marLeft w:val="547"/>
          <w:marRight w:val="0"/>
          <w:marTop w:val="0"/>
          <w:marBottom w:val="0"/>
          <w:divBdr>
            <w:top w:val="none" w:sz="0" w:space="0" w:color="auto"/>
            <w:left w:val="none" w:sz="0" w:space="0" w:color="auto"/>
            <w:bottom w:val="none" w:sz="0" w:space="0" w:color="auto"/>
            <w:right w:val="none" w:sz="0" w:space="0" w:color="auto"/>
          </w:divBdr>
        </w:div>
        <w:div w:id="159084332">
          <w:marLeft w:val="547"/>
          <w:marRight w:val="0"/>
          <w:marTop w:val="0"/>
          <w:marBottom w:val="0"/>
          <w:divBdr>
            <w:top w:val="none" w:sz="0" w:space="0" w:color="auto"/>
            <w:left w:val="none" w:sz="0" w:space="0" w:color="auto"/>
            <w:bottom w:val="none" w:sz="0" w:space="0" w:color="auto"/>
            <w:right w:val="none" w:sz="0" w:space="0" w:color="auto"/>
          </w:divBdr>
        </w:div>
        <w:div w:id="234168298">
          <w:marLeft w:val="547"/>
          <w:marRight w:val="0"/>
          <w:marTop w:val="0"/>
          <w:marBottom w:val="0"/>
          <w:divBdr>
            <w:top w:val="none" w:sz="0" w:space="0" w:color="auto"/>
            <w:left w:val="none" w:sz="0" w:space="0" w:color="auto"/>
            <w:bottom w:val="none" w:sz="0" w:space="0" w:color="auto"/>
            <w:right w:val="none" w:sz="0" w:space="0" w:color="auto"/>
          </w:divBdr>
        </w:div>
        <w:div w:id="1018119942">
          <w:marLeft w:val="547"/>
          <w:marRight w:val="0"/>
          <w:marTop w:val="0"/>
          <w:marBottom w:val="0"/>
          <w:divBdr>
            <w:top w:val="none" w:sz="0" w:space="0" w:color="auto"/>
            <w:left w:val="none" w:sz="0" w:space="0" w:color="auto"/>
            <w:bottom w:val="none" w:sz="0" w:space="0" w:color="auto"/>
            <w:right w:val="none" w:sz="0" w:space="0" w:color="auto"/>
          </w:divBdr>
        </w:div>
        <w:div w:id="1661082680">
          <w:marLeft w:val="547"/>
          <w:marRight w:val="0"/>
          <w:marTop w:val="0"/>
          <w:marBottom w:val="0"/>
          <w:divBdr>
            <w:top w:val="none" w:sz="0" w:space="0" w:color="auto"/>
            <w:left w:val="none" w:sz="0" w:space="0" w:color="auto"/>
            <w:bottom w:val="none" w:sz="0" w:space="0" w:color="auto"/>
            <w:right w:val="none" w:sz="0" w:space="0" w:color="auto"/>
          </w:divBdr>
        </w:div>
        <w:div w:id="1121994351">
          <w:marLeft w:val="547"/>
          <w:marRight w:val="0"/>
          <w:marTop w:val="0"/>
          <w:marBottom w:val="0"/>
          <w:divBdr>
            <w:top w:val="none" w:sz="0" w:space="0" w:color="auto"/>
            <w:left w:val="none" w:sz="0" w:space="0" w:color="auto"/>
            <w:bottom w:val="none" w:sz="0" w:space="0" w:color="auto"/>
            <w:right w:val="none" w:sz="0" w:space="0" w:color="auto"/>
          </w:divBdr>
        </w:div>
        <w:div w:id="533544553">
          <w:marLeft w:val="547"/>
          <w:marRight w:val="0"/>
          <w:marTop w:val="0"/>
          <w:marBottom w:val="0"/>
          <w:divBdr>
            <w:top w:val="none" w:sz="0" w:space="0" w:color="auto"/>
            <w:left w:val="none" w:sz="0" w:space="0" w:color="auto"/>
            <w:bottom w:val="none" w:sz="0" w:space="0" w:color="auto"/>
            <w:right w:val="none" w:sz="0" w:space="0" w:color="auto"/>
          </w:divBdr>
        </w:div>
        <w:div w:id="506940891">
          <w:marLeft w:val="547"/>
          <w:marRight w:val="0"/>
          <w:marTop w:val="0"/>
          <w:marBottom w:val="0"/>
          <w:divBdr>
            <w:top w:val="none" w:sz="0" w:space="0" w:color="auto"/>
            <w:left w:val="none" w:sz="0" w:space="0" w:color="auto"/>
            <w:bottom w:val="none" w:sz="0" w:space="0" w:color="auto"/>
            <w:right w:val="none" w:sz="0" w:space="0" w:color="auto"/>
          </w:divBdr>
        </w:div>
        <w:div w:id="424153300">
          <w:marLeft w:val="547"/>
          <w:marRight w:val="0"/>
          <w:marTop w:val="0"/>
          <w:marBottom w:val="0"/>
          <w:divBdr>
            <w:top w:val="none" w:sz="0" w:space="0" w:color="auto"/>
            <w:left w:val="none" w:sz="0" w:space="0" w:color="auto"/>
            <w:bottom w:val="none" w:sz="0" w:space="0" w:color="auto"/>
            <w:right w:val="none" w:sz="0" w:space="0" w:color="auto"/>
          </w:divBdr>
        </w:div>
        <w:div w:id="1197621943">
          <w:marLeft w:val="547"/>
          <w:marRight w:val="0"/>
          <w:marTop w:val="0"/>
          <w:marBottom w:val="0"/>
          <w:divBdr>
            <w:top w:val="none" w:sz="0" w:space="0" w:color="auto"/>
            <w:left w:val="none" w:sz="0" w:space="0" w:color="auto"/>
            <w:bottom w:val="none" w:sz="0" w:space="0" w:color="auto"/>
            <w:right w:val="none" w:sz="0" w:space="0" w:color="auto"/>
          </w:divBdr>
        </w:div>
        <w:div w:id="120699240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afeworkaustralia.gov.au/full-circle-work-health-and-safety-evolution" TargetMode="External"/><Relationship Id="rId18" Type="http://schemas.openxmlformats.org/officeDocument/2006/relationships/hyperlink" Target="https://www.commerce.wa.gov.au/worksafe/about-occupational-safety-and-health-act-1984" TargetMode="External"/><Relationship Id="rId26" Type="http://schemas.openxmlformats.org/officeDocument/2006/relationships/hyperlink" Target="http://www.workplaceosh.com.au" TargetMode="External"/><Relationship Id="rId3" Type="http://schemas.openxmlformats.org/officeDocument/2006/relationships/numbering" Target="numbering.xml"/><Relationship Id="rId21" Type="http://schemas.openxmlformats.org/officeDocument/2006/relationships/hyperlink" Target="https://www.commerce.wa.gov.au/publications/work-health-and-safety-bill-2014" TargetMode="External"/><Relationship Id="rId7" Type="http://schemas.openxmlformats.org/officeDocument/2006/relationships/footnotes" Target="footnotes.xml"/><Relationship Id="rId12" Type="http://schemas.openxmlformats.org/officeDocument/2006/relationships/hyperlink" Target="https://www.safeworkaustralia.gov.au/book/costs-work-related-injuries-and-diseases-key-whs-statistics-australia-2018" TargetMode="External"/><Relationship Id="rId17" Type="http://schemas.openxmlformats.org/officeDocument/2006/relationships/hyperlink" Target="https://www.safeworkaustralia.gov.au/resources_publications/model-codes-of-practice" TargetMode="External"/><Relationship Id="rId25" Type="http://schemas.openxmlformats.org/officeDocument/2006/relationships/hyperlink" Target="http://www.oshrep.org.au" TargetMode="External"/><Relationship Id="rId2" Type="http://schemas.openxmlformats.org/officeDocument/2006/relationships/customXml" Target="../customXml/item2.xml"/><Relationship Id="rId16" Type="http://schemas.openxmlformats.org/officeDocument/2006/relationships/hyperlink" Target="https://www.legislation.gov.au/Details/F2011L02664" TargetMode="External"/><Relationship Id="rId20" Type="http://schemas.openxmlformats.org/officeDocument/2006/relationships/hyperlink" Target="http://www.commerce.wa.gov.au/worksafe/approved-codes-practice"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afeworkaustralia.gov.au/book/work-related-injury-and-disease-key-whs-statistics-australia-2018" TargetMode="External"/><Relationship Id="rId24" Type="http://schemas.openxmlformats.org/officeDocument/2006/relationships/hyperlink" Target="https://www.commerce.wa.gov.au/worksafe"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legislation.gov.au/Details/C2017C00305" TargetMode="External"/><Relationship Id="rId23" Type="http://schemas.openxmlformats.org/officeDocument/2006/relationships/hyperlink" Target="http://www.safeworkaustralia.gov.au" TargetMode="External"/><Relationship Id="rId28" Type="http://schemas.openxmlformats.org/officeDocument/2006/relationships/hyperlink" Target="https://www.safeworkaustralia.gov.au/system/files/documents/1702/guidancenote_preventionofoccupationaloverusesyndromeinkeyboardemployment_nohsc3005-1996_pdf.pdf" TargetMode="External"/><Relationship Id="rId10" Type="http://schemas.openxmlformats.org/officeDocument/2006/relationships/hyperlink" Target="https://www.safeworkaustralia.gov.au/book/work-related-injury-fatalities-key-whs-statistics-australia-2018" TargetMode="External"/><Relationship Id="rId19" Type="http://schemas.openxmlformats.org/officeDocument/2006/relationships/hyperlink" Target="https://www.commerce.wa.gov.au/worksafe/about-occupational-safety-and-health-regulations-1996"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yperlink" Target="http://www.worksafe.com.au" TargetMode="External"/><Relationship Id="rId27" Type="http://schemas.openxmlformats.org/officeDocument/2006/relationships/hyperlink" Target="http://www.smartmove.safetyline.wa.gov.au"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Determine and Confirm Client Business Requirements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b:Source>
    <b:Tag>Sut04</b:Tag>
    <b:SourceType>DocumentFromInternetSite</b:SourceType>
    <b:Guid>{187E7766-7A62-4CFB-9FFD-FA81C9A017C7}</b:Guid>
    <b:Title>GreenLEAP Strategic Institute</b:Title>
    <b:Year>2004</b:Year>
    <b:Author>
      <b:Author>
        <b:NameList>
          <b:Person>
            <b:Last>Sutton</b:Last>
            <b:First>Philip</b:First>
          </b:Person>
        </b:NameList>
      </b:Author>
    </b:Author>
    <b:InternetSiteTitle>Green Innovations Inc</b:InternetSiteTitle>
    <b:Month>04</b:Month>
    <b:Day>12</b:Day>
    <b:URL>http://www.green-innovations.asn.au/A-Perspective-on-Environmental-Sustainability.pdf</b:URL>
    <b:ProductionCompany>Green Innovations Inc</b:ProductionCompany>
    <b:Version>2.b</b:Version>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C9372B-A569-4131-AF64-E19EA3215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2250</Words>
  <Characters>12828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Polytechnic West</Company>
  <LinksUpToDate>false</LinksUpToDate>
  <CharactersWithSpaces>15048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Natalia</dc:creator>
  <cp:lastModifiedBy>Milan Topuzovic</cp:lastModifiedBy>
  <cp:revision>2</cp:revision>
  <cp:lastPrinted>2018-07-17T03:04:00Z</cp:lastPrinted>
  <dcterms:created xsi:type="dcterms:W3CDTF">2019-01-30T07:04:00Z</dcterms:created>
  <dcterms:modified xsi:type="dcterms:W3CDTF">2019-01-30T07:04:00Z</dcterms:modified>
</cp:coreProperties>
</file>