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B4D3F" w14:textId="7BEB779E" w:rsidR="00182892" w:rsidRDefault="00182892">
      <w:r>
        <w:t xml:space="preserve">Post </w:t>
      </w:r>
    </w:p>
    <w:p w14:paraId="68ED643D" w14:textId="77777777" w:rsidR="00182892" w:rsidRPr="00182892" w:rsidRDefault="00182892" w:rsidP="00182892">
      <w:r w:rsidRPr="00182892">
        <w:t xml:space="preserve">Who has heard of the term pocket watching? This past week I begun a project to analyze Tesla's historical stock performance using traditional time-series techniques, you know nothing crazy just to understand the company's trajectory. Then Tesla’s shareholders went and approved a potential trillion-dollar pay package for Elon Musk… and suddenly my analysis turned into financial espionage. </w:t>
      </w:r>
    </w:p>
    <w:p w14:paraId="7B428A23" w14:textId="1F63EEDB" w:rsidR="00182892" w:rsidRPr="00182892" w:rsidRDefault="00182892" w:rsidP="00182892">
      <w:r w:rsidRPr="00182892">
        <w:t>There are various stipulations with two important ones being that the pay package will be paid out over a 10-year period, and also tied to Tesla's stock price. It is while conducting this research that I ended up trying to get a prediction of when Musk will become the world's first trillionaire, and before I knew it, I was too deep in the rabbit hole. Which bring us back to the term pocket watching, for the uninitiated, it means obsessively tracking someone else's money</w:t>
      </w:r>
      <w:r>
        <w:t>, and that is what I ended up doing at the final stages of this project</w:t>
      </w:r>
      <w:r w:rsidRPr="00182892">
        <w:t xml:space="preserve">. </w:t>
      </w:r>
    </w:p>
    <w:p w14:paraId="0244B336" w14:textId="4F0345D1" w:rsidR="00182892" w:rsidRPr="00182892" w:rsidRDefault="00182892" w:rsidP="00182892">
      <w:r w:rsidRPr="00182892">
        <w:t xml:space="preserve">But let's be honest, as much as Musk's wealth has been historically tied to Tesla, his finances are impossible to ignore that man will put a spaceship on Mars tomorrow and that feat alone will propel him to the </w:t>
      </w:r>
      <w:r w:rsidRPr="00182892">
        <w:t>trillion-dollar</w:t>
      </w:r>
      <w:r w:rsidRPr="00182892">
        <w:t xml:space="preserve"> mark. Or he might decide to try a bag of shrooms on Joe Rogan, decide that "gravity is just a suggestion," and send Tesla's stock to the depths of the Mariana Trench. </w:t>
      </w:r>
    </w:p>
    <w:p w14:paraId="123FB245" w14:textId="77777777" w:rsidR="00182892" w:rsidRPr="00182892" w:rsidRDefault="00182892" w:rsidP="00182892">
      <w:r w:rsidRPr="00182892">
        <w:t xml:space="preserve">So yes — this analysis is speculative on Musk’s side and grounded on Tesla’s side. He’s not just the CEO of Tesla; he’s also running X, SpaceX, </w:t>
      </w:r>
      <w:proofErr w:type="spellStart"/>
      <w:r w:rsidRPr="00182892">
        <w:t>Neuralink</w:t>
      </w:r>
      <w:proofErr w:type="spellEnd"/>
      <w:r w:rsidRPr="00182892">
        <w:t xml:space="preserve">, The Boring Company, and </w:t>
      </w:r>
      <w:proofErr w:type="spellStart"/>
      <w:r w:rsidRPr="00182892">
        <w:t>xAI</w:t>
      </w:r>
      <w:proofErr w:type="spellEnd"/>
      <w:r w:rsidRPr="00182892">
        <w:t xml:space="preserve"> (Yes, I know — I’m glazing. Relax.).</w:t>
      </w:r>
    </w:p>
    <w:p w14:paraId="08B92F88" w14:textId="77777777" w:rsidR="00182892" w:rsidRPr="00182892" w:rsidRDefault="00182892" w:rsidP="00182892">
      <w:r w:rsidRPr="00182892">
        <w:t>Anyway — here’s what I actually uncovered, and how the entire project escalated from a simple stock analysis into a full-blown investigation into the future wealth of the planet’s most chaotic billionaire.</w:t>
      </w:r>
    </w:p>
    <w:p w14:paraId="56923A3D" w14:textId="77777777" w:rsidR="00182892" w:rsidRDefault="00182892"/>
    <w:p w14:paraId="7733DBB5" w14:textId="53CB5F93" w:rsidR="00182892" w:rsidRDefault="00182892">
      <w:r>
        <w:t>Article</w:t>
      </w:r>
    </w:p>
    <w:p w14:paraId="7482957F" w14:textId="27676AEC" w:rsidR="00182892" w:rsidRDefault="00182892">
      <w:r>
        <w:t xml:space="preserve">This project begun with a straightforward mission, to analyze Tesla’s historical stock performance using traditional time-series techniques. The </w:t>
      </w:r>
      <w:r w:rsidR="00DF09DA">
        <w:t xml:space="preserve">project went through the basic steps of any data analysis project, that refers to collecting stock price data, cleaning, exploring trends, Volatility, cycles, building forecasts, and visualizing long-term trajectory. </w:t>
      </w:r>
    </w:p>
    <w:p w14:paraId="7F3B7AD8" w14:textId="59BC1AB0" w:rsidR="00994C91" w:rsidRDefault="00DF09DA">
      <w:r>
        <w:t xml:space="preserve">It is along the project’s course that the spark hit, primarily during EDA, and that is, Tesla’s stock performance is inseparable from Elon Musk’s personal wealth trajectory. And then came the bigger insight: Elon’s historical compensation deal which will potentially place him past the $1 trillion net worth and is directly tied to Tesla’s long-term valuation. As a result, the project evolved from; a stock-focused analysis to a dual analysis of market performance and billionaire </w:t>
      </w:r>
      <w:r>
        <w:lastRenderedPageBreak/>
        <w:t>wealth creation.</w:t>
      </w:r>
      <w:r w:rsidR="00994C91">
        <w:t xml:space="preserve"> And then a much larger insight, Elon’s historical compensation deal that would place him past $1 trillion net worth and further tied to Tesla’s long-term valuation. These insights meant that the project evolved from a stock-focused analysis to a dual analysis of market performance and billionaire wealth creation. </w:t>
      </w:r>
    </w:p>
    <w:p w14:paraId="02371EFA" w14:textId="3BEDDCEE" w:rsidR="00994C91" w:rsidRDefault="00994C91">
      <w:r>
        <w:t xml:space="preserve">I could take you through the whole process, but I will spare you the nerd talk and go straight to the Musk findings and the Monte Carlo Simulations that I ended up creating. </w:t>
      </w:r>
      <w:r w:rsidR="00172FB7">
        <w:t xml:space="preserve">Now, what I learnt in the project is that Musk’s portfolio isn’t a single number, but a dynamic portfolio and to properly simulate that, I had to accurately forecast his wealth. </w:t>
      </w:r>
    </w:p>
    <w:p w14:paraId="79FA289C" w14:textId="2AFFD3DB" w:rsidR="00172FB7" w:rsidRDefault="00172FB7" w:rsidP="00172FB7">
      <w:pPr>
        <w:pStyle w:val="ListParagraph"/>
        <w:numPr>
          <w:ilvl w:val="0"/>
          <w:numId w:val="1"/>
        </w:numPr>
      </w:pPr>
      <w:r>
        <w:t xml:space="preserve">The Public Wealth (The Volatile Aspect): This factor relates to his stake in Tesla (TSLA) which requires real-time modelling since it changes on a daily basis with the stock market. </w:t>
      </w:r>
    </w:p>
    <w:p w14:paraId="511D8033" w14:textId="14DE2D27" w:rsidR="00172FB7" w:rsidRDefault="00172FB7" w:rsidP="00172FB7">
      <w:pPr>
        <w:pStyle w:val="ListParagraph"/>
        <w:numPr>
          <w:ilvl w:val="0"/>
          <w:numId w:val="1"/>
        </w:numPr>
      </w:pPr>
      <w:r>
        <w:t xml:space="preserve">His Private Assets (The Stabilizing Aspect): These factors include his ownership in rapidly appreciating private entities such as SpaceX, </w:t>
      </w:r>
      <w:proofErr w:type="spellStart"/>
      <w:r>
        <w:t>Neuralink</w:t>
      </w:r>
      <w:proofErr w:type="spellEnd"/>
      <w:r>
        <w:t xml:space="preserve">, and </w:t>
      </w:r>
      <w:proofErr w:type="spellStart"/>
      <w:r>
        <w:t>xAI</w:t>
      </w:r>
      <w:proofErr w:type="spellEnd"/>
      <w:r>
        <w:t>. Since these values are not public, we treated this component as a residual, projecting its growth based on historical funding rounds and industry benchmarks (a 20% annual growth).</w:t>
      </w:r>
    </w:p>
    <w:p w14:paraId="2AE167C3" w14:textId="4A0322C5" w:rsidR="00172FB7" w:rsidRDefault="00172FB7">
      <w:r>
        <w:t xml:space="preserve">The data revealed a crucial trend: While early wealth was almost entirely driven by Tesla, the “Other Wealth” component has massively grown and acted as a crucial, stable foundation against stock market volatility. </w:t>
      </w:r>
    </w:p>
    <w:p w14:paraId="0C9DEE4E" w14:textId="3BF085A3" w:rsidR="00172FB7" w:rsidRDefault="00172FB7">
      <w:r>
        <w:t xml:space="preserve">Our project invoked an ensemble forecasting algorithm </w:t>
      </w:r>
      <w:r w:rsidR="00357BCD">
        <w:t xml:space="preserve">to generate a robust stock price prediction for TSLA, and further blended three powerful techniques: </w:t>
      </w:r>
    </w:p>
    <w:p w14:paraId="5C558C75" w14:textId="31610753" w:rsidR="00357BCD" w:rsidRDefault="00480EB8" w:rsidP="00480EB8">
      <w:pPr>
        <w:pStyle w:val="ListParagraph"/>
        <w:numPr>
          <w:ilvl w:val="0"/>
          <w:numId w:val="2"/>
        </w:numPr>
      </w:pPr>
      <w:r>
        <w:t>Prophet (40% Weight): It was excellent for decomposing time-series data and capturing seasonality (such as Tesla’s end-of-quarter delivery spikes).</w:t>
      </w:r>
    </w:p>
    <w:p w14:paraId="536133A7" w14:textId="55486571" w:rsidR="00480EB8" w:rsidRDefault="00480EB8" w:rsidP="00480EB8">
      <w:pPr>
        <w:pStyle w:val="ListParagraph"/>
        <w:numPr>
          <w:ilvl w:val="0"/>
          <w:numId w:val="2"/>
        </w:numPr>
      </w:pPr>
      <w:proofErr w:type="spellStart"/>
      <w:r>
        <w:t>AutoArima</w:t>
      </w:r>
      <w:proofErr w:type="spellEnd"/>
      <w:r>
        <w:t xml:space="preserve"> (35% Weight): A statistical powerhouse that automatically pinpoints the optimal parameters to model momentum and short-term trends. </w:t>
      </w:r>
    </w:p>
    <w:p w14:paraId="27494CC6" w14:textId="5CB68964" w:rsidR="00480EB8" w:rsidRDefault="00480EB8" w:rsidP="00480EB8">
      <w:pPr>
        <w:pStyle w:val="ListParagraph"/>
        <w:numPr>
          <w:ilvl w:val="0"/>
          <w:numId w:val="2"/>
        </w:numPr>
      </w:pPr>
      <w:r>
        <w:t xml:space="preserve">ARIMA Baseline (25% Weight): A simpler, classic model that grounds the predictions and prevents the more aggressive models from over-extrapolating. </w:t>
      </w:r>
    </w:p>
    <w:p w14:paraId="218B5724" w14:textId="63DEC688" w:rsidR="00172FB7" w:rsidRDefault="00EE22B5">
      <w:r>
        <w:t xml:space="preserve">This weighted approach provided a balanced 5-year forecast for Tesla’s stock price, therefore minimizing the risk associated with relying on any single algorithmic assessment of the future. </w:t>
      </w:r>
    </w:p>
    <w:p w14:paraId="03F345AE" w14:textId="5661D81C" w:rsidR="00EE22B5" w:rsidRDefault="00EE22B5">
      <w:r w:rsidRPr="00EE22B5">
        <w:rPr>
          <w:b/>
          <w:bCs/>
        </w:rPr>
        <w:t>The Monte Carlo Multiverse Simulation</w:t>
      </w:r>
      <w:r>
        <w:t xml:space="preserve"> the crucible that refines the whole project, in this case we ended up simulating 10,000 futures subverting a situation where we end up with a single standard forecast with the included simulation factoring a spectrum of possibilities. I ran 10,000 unique simulations of the future, thereby factoring random volatility “shocks” (market crashes, product breakthroughs, regulatory changes, and many more) to the predicted stock price path. </w:t>
      </w:r>
    </w:p>
    <w:p w14:paraId="32E62F82" w14:textId="75DCDDC9" w:rsidR="00EE22B5" w:rsidRDefault="00EE22B5">
      <w:r>
        <w:t>The results</w:t>
      </w:r>
    </w:p>
    <w:p w14:paraId="5BE97017" w14:textId="6B9123B2" w:rsidR="00EE22B5" w:rsidRDefault="00EE22B5">
      <w:r>
        <w:lastRenderedPageBreak/>
        <w:t>The output is a “fan” of possible futures with a center line being the Base Case, while the upper and lower bounds showing the Bull and Bear scenarios.</w:t>
      </w:r>
    </w:p>
    <w:p w14:paraId="13EB38FC" w14:textId="0B175DEA" w:rsidR="00EE22B5" w:rsidRDefault="00EE22B5" w:rsidP="00EE22B5">
      <w:pPr>
        <w:pStyle w:val="ListParagraph"/>
        <w:numPr>
          <w:ilvl w:val="0"/>
          <w:numId w:val="3"/>
        </w:numPr>
      </w:pPr>
      <w:r>
        <w:t>The Horizontal Line at $1 trillion becomes the finish line.</w:t>
      </w:r>
    </w:p>
    <w:p w14:paraId="6BF70FAE" w14:textId="7B20F027" w:rsidR="00EE22B5" w:rsidRDefault="00EE22B5" w:rsidP="00EE22B5">
      <w:pPr>
        <w:pStyle w:val="ListParagraph"/>
        <w:numPr>
          <w:ilvl w:val="0"/>
          <w:numId w:val="3"/>
        </w:numPr>
      </w:pPr>
      <w:r>
        <w:t xml:space="preserve">By counting how many of the 10,000 simulations </w:t>
      </w:r>
      <w:r w:rsidR="00B17A5A">
        <w:t xml:space="preserve">cross the horizontal line within our forecast window, we arrive at a concrete probability. </w:t>
      </w:r>
    </w:p>
    <w:p w14:paraId="1378A4AB" w14:textId="3C7AF12A" w:rsidR="00357BCD" w:rsidRDefault="007E449E">
      <w:r>
        <w:t>The Final Projection: When Does $1T Arrive</w:t>
      </w:r>
    </w:p>
    <w:p w14:paraId="56003163" w14:textId="6CC88747" w:rsidR="007E449E" w:rsidRDefault="007E449E">
      <w:r>
        <w:t>Based on the model’s convergence of stock market projections, the stability of private asset growth, and accounting for a wide range of market shocks:</w:t>
      </w:r>
    </w:p>
    <w:tbl>
      <w:tblPr>
        <w:tblStyle w:val="TableGrid"/>
        <w:tblW w:w="0" w:type="auto"/>
        <w:tblLook w:val="04A0" w:firstRow="1" w:lastRow="0" w:firstColumn="1" w:lastColumn="0" w:noHBand="0" w:noVBand="1"/>
      </w:tblPr>
      <w:tblGrid>
        <w:gridCol w:w="3116"/>
        <w:gridCol w:w="3117"/>
        <w:gridCol w:w="3117"/>
      </w:tblGrid>
      <w:tr w:rsidR="007E449E" w14:paraId="009F1936" w14:textId="77777777" w:rsidTr="007E449E">
        <w:tc>
          <w:tcPr>
            <w:tcW w:w="3116" w:type="dxa"/>
          </w:tcPr>
          <w:p w14:paraId="409C0603" w14:textId="7FB1AD00" w:rsidR="007E449E" w:rsidRDefault="007E449E">
            <w:r>
              <w:t>Metric</w:t>
            </w:r>
          </w:p>
        </w:tc>
        <w:tc>
          <w:tcPr>
            <w:tcW w:w="3117" w:type="dxa"/>
          </w:tcPr>
          <w:p w14:paraId="3C9F772F" w14:textId="612CB9F8" w:rsidR="007E449E" w:rsidRDefault="007E449E">
            <w:r>
              <w:t>Result</w:t>
            </w:r>
          </w:p>
        </w:tc>
        <w:tc>
          <w:tcPr>
            <w:tcW w:w="3117" w:type="dxa"/>
          </w:tcPr>
          <w:p w14:paraId="4CAC1499" w14:textId="6E34E3B5" w:rsidR="007E449E" w:rsidRDefault="007E449E">
            <w:r>
              <w:t>Interpretation</w:t>
            </w:r>
          </w:p>
        </w:tc>
      </w:tr>
      <w:tr w:rsidR="007E449E" w14:paraId="289D6DB9" w14:textId="77777777" w:rsidTr="007E449E">
        <w:tc>
          <w:tcPr>
            <w:tcW w:w="3116" w:type="dxa"/>
          </w:tcPr>
          <w:p w14:paraId="7296E81C" w14:textId="70E2BACC" w:rsidR="007E449E" w:rsidRDefault="007E449E">
            <w:r>
              <w:t>Base Case Target Date</w:t>
            </w:r>
          </w:p>
        </w:tc>
        <w:tc>
          <w:tcPr>
            <w:tcW w:w="3117" w:type="dxa"/>
          </w:tcPr>
          <w:p w14:paraId="22535C8E" w14:textId="18948211" w:rsidR="007E449E" w:rsidRDefault="007E449E">
            <w:r>
              <w:t>July 2030</w:t>
            </w:r>
          </w:p>
        </w:tc>
        <w:tc>
          <w:tcPr>
            <w:tcW w:w="3117" w:type="dxa"/>
          </w:tcPr>
          <w:p w14:paraId="731285A1" w14:textId="1B30C380" w:rsidR="007E449E" w:rsidRDefault="007E449E">
            <w:r>
              <w:t>This is the most statistically likely date given the current trends and the expected volatility</w:t>
            </w:r>
          </w:p>
        </w:tc>
      </w:tr>
      <w:tr w:rsidR="007E449E" w14:paraId="6F88610C" w14:textId="77777777" w:rsidTr="007E449E">
        <w:tc>
          <w:tcPr>
            <w:tcW w:w="3116" w:type="dxa"/>
          </w:tcPr>
          <w:p w14:paraId="3A870BFA" w14:textId="3AF98FF8" w:rsidR="007E449E" w:rsidRDefault="007E449E">
            <w:r>
              <w:t>Probability of Success</w:t>
            </w:r>
          </w:p>
        </w:tc>
        <w:tc>
          <w:tcPr>
            <w:tcW w:w="3117" w:type="dxa"/>
          </w:tcPr>
          <w:p w14:paraId="69E35161" w14:textId="3CC96ACD" w:rsidR="007E449E" w:rsidRDefault="007E449E">
            <w:r>
              <w:t>84.5%</w:t>
            </w:r>
          </w:p>
        </w:tc>
        <w:tc>
          <w:tcPr>
            <w:tcW w:w="3117" w:type="dxa"/>
          </w:tcPr>
          <w:p w14:paraId="50B5F517" w14:textId="30703628" w:rsidR="007E449E" w:rsidRDefault="007E449E">
            <w:r>
              <w:t xml:space="preserve">The model suggests a high likelihood of crossing the $1 Trillion threshold within the next 5 years. </w:t>
            </w:r>
          </w:p>
        </w:tc>
      </w:tr>
    </w:tbl>
    <w:p w14:paraId="1F412A9E" w14:textId="16CE62C5" w:rsidR="007E449E" w:rsidRDefault="007E449E"/>
    <w:p w14:paraId="36EC240A" w14:textId="6F356F64" w:rsidR="007E449E" w:rsidRDefault="007E449E">
      <w:r>
        <w:t xml:space="preserve">The primary takeaway is that in this project, private asset valuation is the foundation of this wealth trajectory. Although Tesla provides the explosive growth potential, companies such as SpaceX offer the necessary ballast to withstand inevitable market downturns. At the same time, this was meant to be a fun project that I can use to see if I am able to utilize my acquired analytics skills. </w:t>
      </w:r>
    </w:p>
    <w:p w14:paraId="03D55AD7" w14:textId="77777777" w:rsidR="00EE22B5" w:rsidRDefault="00EE22B5"/>
    <w:p w14:paraId="4CD06215" w14:textId="77777777" w:rsidR="00B17A5A" w:rsidRDefault="00B17A5A"/>
    <w:sectPr w:rsidR="00B17A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41C7"/>
    <w:multiLevelType w:val="hybridMultilevel"/>
    <w:tmpl w:val="835CE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E24C4C"/>
    <w:multiLevelType w:val="hybridMultilevel"/>
    <w:tmpl w:val="76C83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D56892"/>
    <w:multiLevelType w:val="hybridMultilevel"/>
    <w:tmpl w:val="02666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0086623">
    <w:abstractNumId w:val="2"/>
  </w:num>
  <w:num w:numId="2" w16cid:durableId="175774064">
    <w:abstractNumId w:val="1"/>
  </w:num>
  <w:num w:numId="3" w16cid:durableId="700937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LAwN7QwMjMwMjAzszBU0lEKTi0uzszPAykwrAUASH4JrCwAAAA="/>
  </w:docVars>
  <w:rsids>
    <w:rsidRoot w:val="00182892"/>
    <w:rsid w:val="00172FB7"/>
    <w:rsid w:val="00182892"/>
    <w:rsid w:val="001A7D3A"/>
    <w:rsid w:val="00357BCD"/>
    <w:rsid w:val="00480EB8"/>
    <w:rsid w:val="00500B78"/>
    <w:rsid w:val="00532226"/>
    <w:rsid w:val="007E449E"/>
    <w:rsid w:val="00994C91"/>
    <w:rsid w:val="00B17A5A"/>
    <w:rsid w:val="00DF09DA"/>
    <w:rsid w:val="00E920E5"/>
    <w:rsid w:val="00EE2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7224A"/>
  <w15:chartTrackingRefBased/>
  <w15:docId w15:val="{A787096B-561D-43D5-9C02-9DCAAD7EE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8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28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28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28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28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2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8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28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28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28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28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2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892"/>
    <w:rPr>
      <w:rFonts w:eastAsiaTheme="majorEastAsia" w:cstheme="majorBidi"/>
      <w:color w:val="272727" w:themeColor="text1" w:themeTint="D8"/>
    </w:rPr>
  </w:style>
  <w:style w:type="paragraph" w:styleId="Title">
    <w:name w:val="Title"/>
    <w:basedOn w:val="Normal"/>
    <w:next w:val="Normal"/>
    <w:link w:val="TitleChar"/>
    <w:uiPriority w:val="10"/>
    <w:qFormat/>
    <w:rsid w:val="00182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892"/>
    <w:pPr>
      <w:spacing w:before="160"/>
      <w:jc w:val="center"/>
    </w:pPr>
    <w:rPr>
      <w:i/>
      <w:iCs/>
      <w:color w:val="404040" w:themeColor="text1" w:themeTint="BF"/>
    </w:rPr>
  </w:style>
  <w:style w:type="character" w:customStyle="1" w:styleId="QuoteChar">
    <w:name w:val="Quote Char"/>
    <w:basedOn w:val="DefaultParagraphFont"/>
    <w:link w:val="Quote"/>
    <w:uiPriority w:val="29"/>
    <w:rsid w:val="00182892"/>
    <w:rPr>
      <w:i/>
      <w:iCs/>
      <w:color w:val="404040" w:themeColor="text1" w:themeTint="BF"/>
    </w:rPr>
  </w:style>
  <w:style w:type="paragraph" w:styleId="ListParagraph">
    <w:name w:val="List Paragraph"/>
    <w:basedOn w:val="Normal"/>
    <w:uiPriority w:val="34"/>
    <w:qFormat/>
    <w:rsid w:val="00182892"/>
    <w:pPr>
      <w:ind w:left="720"/>
      <w:contextualSpacing/>
    </w:pPr>
  </w:style>
  <w:style w:type="character" w:styleId="IntenseEmphasis">
    <w:name w:val="Intense Emphasis"/>
    <w:basedOn w:val="DefaultParagraphFont"/>
    <w:uiPriority w:val="21"/>
    <w:qFormat/>
    <w:rsid w:val="00182892"/>
    <w:rPr>
      <w:i/>
      <w:iCs/>
      <w:color w:val="2F5496" w:themeColor="accent1" w:themeShade="BF"/>
    </w:rPr>
  </w:style>
  <w:style w:type="paragraph" w:styleId="IntenseQuote">
    <w:name w:val="Intense Quote"/>
    <w:basedOn w:val="Normal"/>
    <w:next w:val="Normal"/>
    <w:link w:val="IntenseQuoteChar"/>
    <w:uiPriority w:val="30"/>
    <w:qFormat/>
    <w:rsid w:val="001828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2892"/>
    <w:rPr>
      <w:i/>
      <w:iCs/>
      <w:color w:val="2F5496" w:themeColor="accent1" w:themeShade="BF"/>
    </w:rPr>
  </w:style>
  <w:style w:type="character" w:styleId="IntenseReference">
    <w:name w:val="Intense Reference"/>
    <w:basedOn w:val="DefaultParagraphFont"/>
    <w:uiPriority w:val="32"/>
    <w:qFormat/>
    <w:rsid w:val="00182892"/>
    <w:rPr>
      <w:b/>
      <w:bCs/>
      <w:smallCaps/>
      <w:color w:val="2F5496" w:themeColor="accent1" w:themeShade="BF"/>
      <w:spacing w:val="5"/>
    </w:rPr>
  </w:style>
  <w:style w:type="table" w:styleId="TableGrid">
    <w:name w:val="Table Grid"/>
    <w:basedOn w:val="TableNormal"/>
    <w:uiPriority w:val="39"/>
    <w:rsid w:val="007E4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1781</TotalTime>
  <Pages>3</Pages>
  <Words>978</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21</cp:revision>
  <dcterms:created xsi:type="dcterms:W3CDTF">2025-11-29T06:37:00Z</dcterms:created>
  <dcterms:modified xsi:type="dcterms:W3CDTF">2025-11-30T15:34:00Z</dcterms:modified>
</cp:coreProperties>
</file>