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50ACA" w14:textId="1F7F5B7E" w:rsidR="006D60D2" w:rsidRPr="00471772" w:rsidRDefault="006D60D2" w:rsidP="00471772">
      <w:pPr>
        <w:jc w:val="center"/>
        <w:rPr>
          <w:u w:val="single"/>
        </w:rPr>
      </w:pPr>
      <w:r w:rsidRPr="006D60D2">
        <w:rPr>
          <w:u w:val="single"/>
        </w:rPr>
        <w:t>Healthcare IT governance framework implementation</w:t>
      </w:r>
    </w:p>
    <w:p w14:paraId="4A1F593E" w14:textId="77777777" w:rsidR="006D60D2" w:rsidRDefault="006D60D2" w:rsidP="006D60D2">
      <w:pPr>
        <w:rPr>
          <w:color w:val="000000" w:themeColor="text1"/>
        </w:rPr>
      </w:pPr>
    </w:p>
    <w:p w14:paraId="1E27422C" w14:textId="131FCB8C" w:rsidR="006D60D2" w:rsidRDefault="006D60D2" w:rsidP="006D60D2">
      <w:pPr>
        <w:rPr>
          <w:color w:val="000000" w:themeColor="text1"/>
        </w:rPr>
      </w:pPr>
      <w:r>
        <w:rPr>
          <w:color w:val="000000" w:themeColor="text1"/>
        </w:rPr>
        <w:t>COBIT 2019, a comprehensive IT governance framework, is examined for its application in healthcare. The framework’s multi-dimensional approach bridges clinical and IT operations, enabling healthcare providers to balance value creation with risk management. A phased implementation approach is recommended for a hypothetical regional health system.</w:t>
      </w:r>
    </w:p>
    <w:p w14:paraId="69F2C77F" w14:textId="17DE253F" w:rsidR="006D60D2" w:rsidRDefault="006D60D2" w:rsidP="006D60D2">
      <w:pPr>
        <w:rPr>
          <w:color w:val="000000" w:themeColor="text1"/>
          <w:kern w:val="0"/>
          <w:lang w:val="en-US" w:eastAsia="en-US"/>
          <w14:ligatures w14:val="none"/>
        </w:rPr>
      </w:pPr>
    </w:p>
    <w:p w14:paraId="08F0D691" w14:textId="1A643DB0" w:rsidR="00471772" w:rsidRDefault="00471772" w:rsidP="006D60D2">
      <w:pPr>
        <w:rPr>
          <w:color w:val="000000" w:themeColor="text1"/>
        </w:rPr>
      </w:pPr>
      <w:r>
        <w:rPr>
          <w:color w:val="000000" w:themeColor="text1"/>
        </w:rPr>
        <w:t>Phase 1: Governance Alignment (Months 1-3)</w:t>
      </w:r>
    </w:p>
    <w:p w14:paraId="0389CCEA" w14:textId="5886DFCF" w:rsidR="00471772" w:rsidRDefault="00471772" w:rsidP="006D60D2">
      <w:pPr>
        <w:rPr>
          <w:color w:val="000000" w:themeColor="text1"/>
        </w:rPr>
      </w:pPr>
      <w:r>
        <w:rPr>
          <w:color w:val="000000" w:themeColor="text1"/>
        </w:rPr>
        <w:t>- Form an Enterprise Governance Council with key healthcare leaders.</w:t>
      </w:r>
    </w:p>
    <w:p w14:paraId="7380A137" w14:textId="28B5AC33" w:rsidR="00471772" w:rsidRDefault="00471772" w:rsidP="006D60D2">
      <w:pPr>
        <w:rPr>
          <w:color w:val="000000" w:themeColor="text1"/>
        </w:rPr>
      </w:pPr>
      <w:r>
        <w:rPr>
          <w:color w:val="000000" w:themeColor="text1"/>
        </w:rPr>
        <w:t>- Monthly meetings review IT initiatives through a clinical impact lens.</w:t>
      </w:r>
    </w:p>
    <w:p w14:paraId="63C75D83" w14:textId="725B5CDA" w:rsidR="00471772" w:rsidRDefault="00471772" w:rsidP="006D60D2">
      <w:pPr>
        <w:rPr>
          <w:color w:val="000000" w:themeColor="text1"/>
        </w:rPr>
      </w:pPr>
      <w:r>
        <w:rPr>
          <w:color w:val="000000" w:themeColor="text1"/>
        </w:rPr>
        <w:t>- Each IT project receives a ‘Clinical Impact Assessment’ scoring system measuring patient safety, workflow, data quality, and regulatory compliance.</w:t>
      </w:r>
    </w:p>
    <w:p w14:paraId="22BF5599" w14:textId="2143A3DA" w:rsidR="00471772" w:rsidRDefault="00471772" w:rsidP="006D60D2">
      <w:pPr>
        <w:rPr>
          <w:color w:val="000000" w:themeColor="text1"/>
        </w:rPr>
      </w:pPr>
      <w:r>
        <w:rPr>
          <w:color w:val="000000" w:themeColor="text1"/>
        </w:rPr>
        <w:t>- Shared accountability between clinical and IT leadership.</w:t>
      </w:r>
    </w:p>
    <w:p w14:paraId="65184A57" w14:textId="77777777" w:rsidR="00471772" w:rsidRDefault="00471772" w:rsidP="006D60D2">
      <w:pPr>
        <w:rPr>
          <w:color w:val="000000" w:themeColor="text1"/>
        </w:rPr>
      </w:pPr>
    </w:p>
    <w:p w14:paraId="5080F15C" w14:textId="6D07A1F2" w:rsidR="00471772" w:rsidRDefault="00471772" w:rsidP="006D60D2">
      <w:pPr>
        <w:rPr>
          <w:color w:val="000000" w:themeColor="text1"/>
        </w:rPr>
      </w:pPr>
      <w:r>
        <w:rPr>
          <w:color w:val="000000" w:themeColor="text1"/>
        </w:rPr>
        <w:t>Phase 2: Risks and Mitigation (Months 4-8)</w:t>
      </w:r>
    </w:p>
    <w:p w14:paraId="14BA1DF5" w14:textId="431C0EAE" w:rsidR="00471772" w:rsidRDefault="00471772" w:rsidP="006D60D2">
      <w:pPr>
        <w:rPr>
          <w:color w:val="000000" w:themeColor="text1"/>
        </w:rPr>
      </w:pPr>
      <w:r>
        <w:rPr>
          <w:color w:val="000000" w:themeColor="text1"/>
        </w:rPr>
        <w:t>- Implement healthcare-specific risk stratification for IT systems.</w:t>
      </w:r>
    </w:p>
    <w:p w14:paraId="1725ADC3" w14:textId="1B87CE9C" w:rsidR="00471772" w:rsidRDefault="00471772" w:rsidP="006D60D2">
      <w:pPr>
        <w:rPr>
          <w:color w:val="000000" w:themeColor="text1"/>
        </w:rPr>
      </w:pPr>
      <w:r>
        <w:rPr>
          <w:color w:val="000000" w:themeColor="text1"/>
        </w:rPr>
        <w:t>- Classify systems as Tier 1 (direct patient care, require 99.99% uptime and comprehensive disaster recovery), Tier 2 (clinical support, require 99.5% uptime), and Tier 3 (administrative, require 95% uptime).</w:t>
      </w:r>
    </w:p>
    <w:p w14:paraId="66A590E9" w14:textId="78B53752" w:rsidR="00471772" w:rsidRDefault="00471772" w:rsidP="006D60D2">
      <w:pPr>
        <w:rPr>
          <w:color w:val="000000" w:themeColor="text1"/>
        </w:rPr>
      </w:pPr>
      <w:r>
        <w:rPr>
          <w:color w:val="000000" w:themeColor="text1"/>
        </w:rPr>
        <w:t>- Develop risk response playbooks for each tier.</w:t>
      </w:r>
    </w:p>
    <w:p w14:paraId="4E8B8577" w14:textId="598C102E" w:rsidR="00471772" w:rsidRDefault="00471772" w:rsidP="006D60D2">
      <w:pPr>
        <w:rPr>
          <w:color w:val="000000" w:themeColor="text1"/>
        </w:rPr>
      </w:pPr>
      <w:r>
        <w:rPr>
          <w:color w:val="000000" w:themeColor="text1"/>
        </w:rPr>
        <w:t>- Tier 1 systems: Establish backup clinical workflows and conduct cybersecurity assessments targeting healthcare threats.</w:t>
      </w:r>
    </w:p>
    <w:p w14:paraId="055ED381" w14:textId="21E4A78C" w:rsidR="00471772" w:rsidRDefault="00471772" w:rsidP="006D60D2">
      <w:pPr>
        <w:rPr>
          <w:color w:val="000000" w:themeColor="text1"/>
        </w:rPr>
      </w:pPr>
      <w:r>
        <w:rPr>
          <w:color w:val="000000" w:themeColor="text1"/>
        </w:rPr>
        <w:t>- Implement HIPAA compliance monitoring through automated audit logs and quarterly privacy impact assessments.</w:t>
      </w:r>
    </w:p>
    <w:p w14:paraId="00236E8F" w14:textId="77777777" w:rsidR="00471772" w:rsidRDefault="00471772" w:rsidP="006D60D2">
      <w:pPr>
        <w:rPr>
          <w:color w:val="000000" w:themeColor="text1"/>
        </w:rPr>
      </w:pPr>
    </w:p>
    <w:p w14:paraId="5B9BF75A" w14:textId="096D0CAB" w:rsidR="00471772" w:rsidRDefault="00471772" w:rsidP="006D60D2">
      <w:pPr>
        <w:rPr>
          <w:color w:val="000000" w:themeColor="text1"/>
        </w:rPr>
      </w:pPr>
      <w:r>
        <w:rPr>
          <w:color w:val="000000" w:themeColor="text1"/>
        </w:rPr>
        <w:t>Expected outcome: Reduce incident response time from 8 hours to 2 hours and maintain HIPAA compliance documentation demonstrating proactive compliance.</w:t>
      </w:r>
    </w:p>
    <w:p w14:paraId="04BF938D" w14:textId="77777777" w:rsidR="00471772" w:rsidRDefault="00471772" w:rsidP="006D60D2">
      <w:pPr>
        <w:rPr>
          <w:color w:val="000000" w:themeColor="text1"/>
        </w:rPr>
      </w:pPr>
    </w:p>
    <w:p w14:paraId="53370F8F" w14:textId="445EC06B" w:rsidR="00471772" w:rsidRDefault="00471772" w:rsidP="006D60D2">
      <w:pPr>
        <w:rPr>
          <w:color w:val="000000" w:themeColor="text1"/>
        </w:rPr>
      </w:pPr>
      <w:r>
        <w:rPr>
          <w:color w:val="000000" w:themeColor="text1"/>
        </w:rPr>
        <w:t>Phase 3 - Map IT capabilities to clinical outcomes by improving EHR system availability and documenting KPIs. Implement IT service dashboards to translate technical metrics into clinical language, demonstrating IT value and strengthening organisational support.</w:t>
      </w:r>
    </w:p>
    <w:p w14:paraId="6ED0FCA4" w14:textId="77777777" w:rsidR="00471772" w:rsidRDefault="00471772" w:rsidP="006D60D2">
      <w:pPr>
        <w:rPr>
          <w:color w:val="000000" w:themeColor="text1"/>
        </w:rPr>
      </w:pPr>
    </w:p>
    <w:p w14:paraId="5C0FCA0A" w14:textId="64C6C9EE" w:rsidR="00471772" w:rsidRDefault="00471772" w:rsidP="006D60D2">
      <w:pPr>
        <w:rPr>
          <w:color w:val="000000" w:themeColor="text1"/>
        </w:rPr>
      </w:pPr>
      <w:r>
        <w:rPr>
          <w:color w:val="000000" w:themeColor="text1"/>
        </w:rPr>
        <w:t>Phase 4 - Resource Optimisation and Modernisation (Months 10-24): Optimise and modernise resources.</w:t>
      </w:r>
    </w:p>
    <w:p w14:paraId="0DA2E8C7" w14:textId="77777777" w:rsidR="00471772" w:rsidRDefault="00471772" w:rsidP="006D60D2">
      <w:pPr>
        <w:rPr>
          <w:color w:val="000000" w:themeColor="text1"/>
        </w:rPr>
      </w:pPr>
    </w:p>
    <w:p w14:paraId="5EE369B3" w14:textId="25264D76" w:rsidR="00471772" w:rsidRDefault="00471772" w:rsidP="006D60D2">
      <w:pPr>
        <w:rPr>
          <w:color w:val="000000" w:themeColor="text1"/>
        </w:rPr>
      </w:pPr>
      <w:r>
        <w:rPr>
          <w:color w:val="000000" w:themeColor="text1"/>
        </w:rPr>
        <w:t>Based on governance assessments, consolidate legacy systems. For this RHS, rationalise from 3 EHR platforms to 1 enterprise EHR (</w:t>
      </w:r>
      <w:proofErr w:type="gramStart"/>
      <w:r>
        <w:rPr>
          <w:color w:val="000000" w:themeColor="text1"/>
        </w:rPr>
        <w:t>a</w:t>
      </w:r>
      <w:proofErr w:type="gramEnd"/>
      <w:r>
        <w:rPr>
          <w:color w:val="000000" w:themeColor="text1"/>
        </w:rPr>
        <w:t xml:space="preserve"> 18-month project requiring strong governance). Implement a cloud-based interoperability platform to reduce point-to-point integrations from 47 to 12. Prioritise IT portfolio management projects with high clinical impact and feasibility using clinical value metrics. Pilot agile development for clinical workflow optimisation projects to reduce cycle time from 12 months to 6 weeks. Expected financial impact: $8-12 million over 3 years through reduced system maintenance costs, reduced integration infrastructure, and accelerated value realisation from new applications.</w:t>
      </w:r>
    </w:p>
    <w:p w14:paraId="2669437E" w14:textId="77777777" w:rsidR="00471772" w:rsidRDefault="00471772" w:rsidP="006D60D2">
      <w:pPr>
        <w:rPr>
          <w:color w:val="000000" w:themeColor="text1"/>
        </w:rPr>
      </w:pPr>
    </w:p>
    <w:p w14:paraId="6FF1F52C" w14:textId="13E7F9BF" w:rsidR="00471772" w:rsidRDefault="00471772" w:rsidP="006D60D2">
      <w:pPr>
        <w:rPr>
          <w:color w:val="000000" w:themeColor="text1"/>
        </w:rPr>
      </w:pPr>
      <w:r>
        <w:rPr>
          <w:color w:val="000000" w:themeColor="text1"/>
        </w:rPr>
        <w:t>Healthcare organisations face unique challenges in implementing COBIT governance due to the need for cultural shifts, complex workflows, and regulatory compliance. Resource constraints further complicate the process, as IT investments may compete with clinical system improvements.</w:t>
      </w:r>
    </w:p>
    <w:p w14:paraId="6F457EFF" w14:textId="77777777" w:rsidR="00471772" w:rsidRDefault="00471772" w:rsidP="006D60D2">
      <w:pPr>
        <w:rPr>
          <w:color w:val="000000" w:themeColor="text1"/>
        </w:rPr>
      </w:pPr>
    </w:p>
    <w:p w14:paraId="413491F6" w14:textId="77777777" w:rsidR="006D60D2" w:rsidRDefault="006D60D2" w:rsidP="006D60D2">
      <w:pPr>
        <w:rPr>
          <w:color w:val="000000" w:themeColor="text1"/>
        </w:rPr>
      </w:pPr>
    </w:p>
    <w:p w14:paraId="0E2830DA" w14:textId="4179A5B7" w:rsidR="006D60D2" w:rsidRDefault="006D60D2" w:rsidP="006D60D2">
      <w:pPr>
        <w:rPr>
          <w:color w:val="000000" w:themeColor="text1"/>
        </w:rPr>
      </w:pPr>
      <w:r>
        <w:rPr>
          <w:color w:val="000000" w:themeColor="text1"/>
        </w:rPr>
        <w:t xml:space="preserve"> Key Benefits:</w:t>
      </w:r>
    </w:p>
    <w:p w14:paraId="0B6EFB50" w14:textId="4201A7A9" w:rsidR="006D60D2" w:rsidRDefault="006D60D2" w:rsidP="006D60D2">
      <w:pPr>
        <w:rPr>
          <w:color w:val="000000" w:themeColor="text1"/>
        </w:rPr>
      </w:pPr>
      <w:r>
        <w:rPr>
          <w:color w:val="000000" w:themeColor="text1"/>
        </w:rPr>
        <w:t xml:space="preserve">• Enhanced patient safety through systematic </w:t>
      </w:r>
      <w:r w:rsidR="00471772">
        <w:rPr>
          <w:color w:val="000000" w:themeColor="text1"/>
        </w:rPr>
        <w:t>COBIT’s structured approach to IT risk management improves patient safety by reducing medication errors, diagnostic delays, and improving clinical decision support reliability.</w:t>
      </w:r>
    </w:p>
    <w:p w14:paraId="11558024" w14:textId="77777777" w:rsidR="006D60D2" w:rsidRDefault="006D60D2" w:rsidP="006D60D2">
      <w:pPr>
        <w:rPr>
          <w:color w:val="000000" w:themeColor="text1"/>
        </w:rPr>
      </w:pPr>
    </w:p>
    <w:p w14:paraId="62638C44" w14:textId="77434880" w:rsidR="006D60D2" w:rsidRDefault="006D60D2" w:rsidP="006D60D2">
      <w:pPr>
        <w:rPr>
          <w:color w:val="000000" w:themeColor="text1"/>
        </w:rPr>
      </w:pPr>
      <w:r>
        <w:rPr>
          <w:color w:val="000000" w:themeColor="text1"/>
        </w:rPr>
        <w:t xml:space="preserve">• Reduced cybersecurity risk and quantified compliance demonstration: </w:t>
      </w:r>
      <w:r w:rsidR="00471772">
        <w:rPr>
          <w:color w:val="000000" w:themeColor="text1"/>
        </w:rPr>
        <w:t>COBIT’s systematic security governance helps healthcare organisations implement layered controls, strengthen legal defences, and demonstrate compliance. It also aligns IT investments with organisational outcomes, enabling cost reductions and improved clinical outcomes.</w:t>
      </w:r>
    </w:p>
    <w:p w14:paraId="4D1283E2" w14:textId="77777777" w:rsidR="006D60D2" w:rsidRDefault="006D60D2" w:rsidP="006D60D2">
      <w:pPr>
        <w:rPr>
          <w:color w:val="000000" w:themeColor="text1"/>
        </w:rPr>
      </w:pPr>
    </w:p>
    <w:p w14:paraId="53995BFC" w14:textId="3D6AA857" w:rsidR="006D60D2" w:rsidRDefault="006D60D2" w:rsidP="006D60D2">
      <w:pPr>
        <w:rPr>
          <w:color w:val="000000" w:themeColor="text1"/>
        </w:rPr>
      </w:pPr>
      <w:r>
        <w:rPr>
          <w:color w:val="000000" w:themeColor="text1"/>
        </w:rPr>
        <w:t>•</w:t>
      </w:r>
      <w:r>
        <w:rPr>
          <w:color w:val="000000" w:themeColor="text1"/>
        </w:rPr>
        <w:tab/>
        <w:t>Improved organisational agility and clinical innovation acceleration</w:t>
      </w:r>
    </w:p>
    <w:p w14:paraId="19DDA783" w14:textId="602958AF" w:rsidR="006D60D2" w:rsidRDefault="00471772" w:rsidP="006D60D2">
      <w:pPr>
        <w:rPr>
          <w:color w:val="000000" w:themeColor="text1"/>
        </w:rPr>
      </w:pPr>
      <w:r>
        <w:rPr>
          <w:color w:val="000000" w:themeColor="text1"/>
        </w:rPr>
        <w:lastRenderedPageBreak/>
        <w:t>COBIT governance structures enable faster decision-making on clinical IT initiatives by establishing clear escalation paths and portfolio prioritisation frameworks. This competitive advantage is significant in high-stakes markets.</w:t>
      </w:r>
    </w:p>
    <w:p w14:paraId="186E23B6" w14:textId="77777777" w:rsidR="006D60D2" w:rsidRDefault="006D60D2" w:rsidP="006D60D2">
      <w:pPr>
        <w:rPr>
          <w:color w:val="000000" w:themeColor="text1"/>
        </w:rPr>
      </w:pPr>
    </w:p>
    <w:p w14:paraId="061464AF" w14:textId="57673D9A" w:rsidR="006D60D2" w:rsidRDefault="006D60D2" w:rsidP="006D60D2">
      <w:pPr>
        <w:rPr>
          <w:color w:val="000000" w:themeColor="text1"/>
        </w:rPr>
      </w:pPr>
      <w:r>
        <w:rPr>
          <w:color w:val="000000" w:themeColor="text1"/>
        </w:rPr>
        <w:t>•</w:t>
      </w:r>
      <w:r>
        <w:rPr>
          <w:color w:val="000000" w:themeColor="text1"/>
        </w:rPr>
        <w:tab/>
        <w:t>Risk resilience and organisational continuity</w:t>
      </w:r>
    </w:p>
    <w:p w14:paraId="29F9321D" w14:textId="46349C61" w:rsidR="006D60D2" w:rsidRDefault="00471772" w:rsidP="006D60D2">
      <w:pPr>
        <w:rPr>
          <w:color w:val="000000" w:themeColor="text1"/>
        </w:rPr>
      </w:pPr>
      <w:r>
        <w:rPr>
          <w:color w:val="000000" w:themeColor="text1"/>
        </w:rPr>
        <w:t>COBIT implementation strengthens organisational resilience in healthcare organisations. It enables faster recovery from incidents, better maintenance of critical operations, and rapid transition to telehealth during disruptions.</w:t>
      </w:r>
    </w:p>
    <w:p w14:paraId="1D2EB459" w14:textId="77777777" w:rsidR="006D60D2" w:rsidRPr="006D60D2" w:rsidRDefault="006D60D2" w:rsidP="006D60D2">
      <w:pPr>
        <w:rPr>
          <w:color w:val="000000" w:themeColor="text1"/>
        </w:rPr>
      </w:pPr>
    </w:p>
    <w:p w14:paraId="2AB8A1B2" w14:textId="77777777" w:rsidR="006D60D2" w:rsidRPr="006D60D2" w:rsidRDefault="006D60D2" w:rsidP="006D60D2">
      <w:pPr>
        <w:rPr>
          <w:color w:val="000000" w:themeColor="text1"/>
        </w:rPr>
      </w:pPr>
    </w:p>
    <w:p w14:paraId="0820060E" w14:textId="77777777" w:rsidR="006D60D2" w:rsidRPr="006D60D2" w:rsidRDefault="006D60D2" w:rsidP="006D60D2">
      <w:pPr>
        <w:pStyle w:val="Heading1"/>
        <w:rPr>
          <w:rFonts w:asciiTheme="minorHAnsi" w:hAnsiTheme="minorHAnsi"/>
          <w:color w:val="000000" w:themeColor="text1"/>
          <w:sz w:val="24"/>
          <w:szCs w:val="24"/>
        </w:rPr>
      </w:pPr>
      <w:r w:rsidRPr="006D60D2">
        <w:rPr>
          <w:rFonts w:asciiTheme="minorHAnsi" w:hAnsiTheme="minorHAnsi"/>
          <w:color w:val="000000" w:themeColor="text1"/>
          <w:sz w:val="24"/>
          <w:szCs w:val="24"/>
        </w:rPr>
        <w:t>Conclusion</w:t>
      </w:r>
    </w:p>
    <w:p w14:paraId="4F94F923" w14:textId="06C5F915" w:rsidR="006D60D2" w:rsidRPr="006D60D2" w:rsidRDefault="006D60D2" w:rsidP="006D60D2">
      <w:pPr>
        <w:rPr>
          <w:color w:val="000000" w:themeColor="text1"/>
        </w:rPr>
      </w:pPr>
      <w:r>
        <w:rPr>
          <w:color w:val="000000" w:themeColor="text1"/>
        </w:rPr>
        <w:t>COBIT 2019 provides healthcare organisations with a structured approach to IT governance, aligning with healthcare’s unique clinical-IT interdependencies. By establishing shared accountability for IT strategy and performance, healthcare organisations can transform IT into a strategic advantage.</w:t>
      </w:r>
    </w:p>
    <w:p w14:paraId="4A412287" w14:textId="768DAA18" w:rsidR="006D60D2" w:rsidRDefault="006D60D2" w:rsidP="006D60D2">
      <w:pPr>
        <w:rPr>
          <w:color w:val="000000" w:themeColor="text1"/>
        </w:rPr>
      </w:pPr>
    </w:p>
    <w:p w14:paraId="127538E9" w14:textId="10912E8C" w:rsidR="00223D73" w:rsidRDefault="00223D73" w:rsidP="006D60D2">
      <w:pPr>
        <w:rPr>
          <w:color w:val="000000" w:themeColor="text1"/>
        </w:rPr>
      </w:pPr>
      <w:r>
        <w:rPr>
          <w:color w:val="000000" w:themeColor="text1"/>
        </w:rPr>
        <w:t xml:space="preserve">ISACA. (No date) Effective IT governance at your Fingertips. Available at: </w:t>
      </w:r>
      <w:hyperlink r:id="rId5" w:history="1">
        <w:r w:rsidRPr="0093067B">
          <w:rPr>
            <w:rStyle w:val="Hyperlink"/>
          </w:rPr>
          <w:t>https://www.isaca.org/resources/cobit</w:t>
        </w:r>
      </w:hyperlink>
      <w:r>
        <w:rPr>
          <w:color w:val="000000" w:themeColor="text1"/>
        </w:rPr>
        <w:t xml:space="preserve"> (Accessed: 07/03/2026).</w:t>
      </w:r>
    </w:p>
    <w:p w14:paraId="7BC08A85" w14:textId="36D8ACCC" w:rsidR="00223D73" w:rsidRPr="006D60D2" w:rsidRDefault="00223D73" w:rsidP="006D60D2">
      <w:pPr>
        <w:rPr>
          <w:color w:val="000000" w:themeColor="text1"/>
        </w:rPr>
      </w:pPr>
      <w:r>
        <w:rPr>
          <w:color w:val="000000" w:themeColor="text1"/>
        </w:rPr>
        <w:t xml:space="preserve">Protecht. (2025) Understanding the COBIT frameworks: From COBIT 5 to COBIT 2029. Available at: </w:t>
      </w:r>
      <w:hyperlink r:id="rId6" w:history="1">
        <w:r w:rsidRPr="0093067B">
          <w:rPr>
            <w:rStyle w:val="Hyperlink"/>
          </w:rPr>
          <w:t>https://www.protechtgroup.com/en-gb/blog/understanding-cobit-5-framework</w:t>
        </w:r>
      </w:hyperlink>
      <w:r>
        <w:rPr>
          <w:color w:val="000000" w:themeColor="text1"/>
        </w:rPr>
        <w:t xml:space="preserve"> (Accessed: 07/03/2026)</w:t>
      </w:r>
    </w:p>
    <w:sectPr w:rsidR="00223D73" w:rsidRPr="006D60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9B626C0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8"/>
    <w:multiLevelType w:val="singleLevel"/>
    <w:tmpl w:val="65CCC696"/>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84E02214"/>
    <w:lvl w:ilvl="0">
      <w:start w:val="1"/>
      <w:numFmt w:val="bullet"/>
      <w:pStyle w:val="ListBullet"/>
      <w:lvlText w:val=""/>
      <w:lvlJc w:val="left"/>
      <w:pPr>
        <w:tabs>
          <w:tab w:val="num" w:pos="360"/>
        </w:tabs>
        <w:ind w:left="360" w:hanging="360"/>
      </w:pPr>
      <w:rPr>
        <w:rFonts w:ascii="Symbol" w:hAnsi="Symbol" w:hint="default"/>
      </w:rPr>
    </w:lvl>
  </w:abstractNum>
  <w:num w:numId="1" w16cid:durableId="1997606610">
    <w:abstractNumId w:val="2"/>
  </w:num>
  <w:num w:numId="2" w16cid:durableId="1618675445">
    <w:abstractNumId w:val="0"/>
  </w:num>
  <w:num w:numId="3" w16cid:durableId="6528770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0D2"/>
    <w:rsid w:val="00223D73"/>
    <w:rsid w:val="00471772"/>
    <w:rsid w:val="006D60D2"/>
    <w:rsid w:val="008B19DB"/>
    <w:rsid w:val="008C7F03"/>
    <w:rsid w:val="009476B1"/>
    <w:rsid w:val="009E2870"/>
    <w:rsid w:val="00D26134"/>
    <w:rsid w:val="00DE5589"/>
    <w:rsid w:val="00EF584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DF82B4D"/>
  <w15:chartTrackingRefBased/>
  <w15:docId w15:val="{664E5918-402F-C34E-93EA-65D9170E3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0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60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60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60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60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6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0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60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60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60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60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6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0D2"/>
    <w:rPr>
      <w:rFonts w:eastAsiaTheme="majorEastAsia" w:cstheme="majorBidi"/>
      <w:color w:val="272727" w:themeColor="text1" w:themeTint="D8"/>
    </w:rPr>
  </w:style>
  <w:style w:type="paragraph" w:styleId="Title">
    <w:name w:val="Title"/>
    <w:basedOn w:val="Normal"/>
    <w:next w:val="Normal"/>
    <w:link w:val="TitleChar"/>
    <w:uiPriority w:val="10"/>
    <w:qFormat/>
    <w:rsid w:val="006D6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0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0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0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0D2"/>
    <w:pPr>
      <w:spacing w:before="160"/>
      <w:jc w:val="center"/>
    </w:pPr>
    <w:rPr>
      <w:i/>
      <w:iCs/>
      <w:color w:val="404040" w:themeColor="text1" w:themeTint="BF"/>
    </w:rPr>
  </w:style>
  <w:style w:type="character" w:customStyle="1" w:styleId="QuoteChar">
    <w:name w:val="Quote Char"/>
    <w:basedOn w:val="DefaultParagraphFont"/>
    <w:link w:val="Quote"/>
    <w:uiPriority w:val="29"/>
    <w:rsid w:val="006D60D2"/>
    <w:rPr>
      <w:i/>
      <w:iCs/>
      <w:color w:val="404040" w:themeColor="text1" w:themeTint="BF"/>
    </w:rPr>
  </w:style>
  <w:style w:type="paragraph" w:styleId="ListParagraph">
    <w:name w:val="List Paragraph"/>
    <w:basedOn w:val="Normal"/>
    <w:uiPriority w:val="34"/>
    <w:qFormat/>
    <w:rsid w:val="006D60D2"/>
    <w:pPr>
      <w:ind w:left="720"/>
      <w:contextualSpacing/>
    </w:pPr>
  </w:style>
  <w:style w:type="character" w:styleId="IntenseEmphasis">
    <w:name w:val="Intense Emphasis"/>
    <w:basedOn w:val="DefaultParagraphFont"/>
    <w:uiPriority w:val="21"/>
    <w:qFormat/>
    <w:rsid w:val="006D60D2"/>
    <w:rPr>
      <w:i/>
      <w:iCs/>
      <w:color w:val="0F4761" w:themeColor="accent1" w:themeShade="BF"/>
    </w:rPr>
  </w:style>
  <w:style w:type="paragraph" w:styleId="IntenseQuote">
    <w:name w:val="Intense Quote"/>
    <w:basedOn w:val="Normal"/>
    <w:next w:val="Normal"/>
    <w:link w:val="IntenseQuoteChar"/>
    <w:uiPriority w:val="30"/>
    <w:qFormat/>
    <w:rsid w:val="006D6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0D2"/>
    <w:rPr>
      <w:i/>
      <w:iCs/>
      <w:color w:val="0F4761" w:themeColor="accent1" w:themeShade="BF"/>
    </w:rPr>
  </w:style>
  <w:style w:type="character" w:styleId="IntenseReference">
    <w:name w:val="Intense Reference"/>
    <w:basedOn w:val="DefaultParagraphFont"/>
    <w:uiPriority w:val="32"/>
    <w:qFormat/>
    <w:rsid w:val="006D60D2"/>
    <w:rPr>
      <w:b/>
      <w:bCs/>
      <w:smallCaps/>
      <w:color w:val="0F4761" w:themeColor="accent1" w:themeShade="BF"/>
      <w:spacing w:val="5"/>
    </w:rPr>
  </w:style>
  <w:style w:type="paragraph" w:styleId="ListBullet">
    <w:name w:val="List Bullet"/>
    <w:basedOn w:val="Normal"/>
    <w:uiPriority w:val="99"/>
    <w:unhideWhenUsed/>
    <w:rsid w:val="006D60D2"/>
    <w:pPr>
      <w:numPr>
        <w:numId w:val="1"/>
      </w:numPr>
      <w:tabs>
        <w:tab w:val="clear" w:pos="360"/>
      </w:tabs>
      <w:spacing w:after="200" w:line="276" w:lineRule="auto"/>
      <w:ind w:left="0" w:firstLine="0"/>
      <w:contextualSpacing/>
    </w:pPr>
    <w:rPr>
      <w:kern w:val="0"/>
      <w:sz w:val="22"/>
      <w:szCs w:val="22"/>
      <w:lang w:val="en-US" w:eastAsia="en-US"/>
      <w14:ligatures w14:val="none"/>
    </w:rPr>
  </w:style>
  <w:style w:type="paragraph" w:styleId="ListBullet2">
    <w:name w:val="List Bullet 2"/>
    <w:basedOn w:val="Normal"/>
    <w:uiPriority w:val="99"/>
    <w:unhideWhenUsed/>
    <w:rsid w:val="006D60D2"/>
    <w:pPr>
      <w:numPr>
        <w:numId w:val="2"/>
      </w:numPr>
      <w:tabs>
        <w:tab w:val="clear" w:pos="720"/>
      </w:tabs>
      <w:spacing w:after="200" w:line="276" w:lineRule="auto"/>
      <w:ind w:left="0" w:firstLine="0"/>
      <w:contextualSpacing/>
    </w:pPr>
    <w:rPr>
      <w:kern w:val="0"/>
      <w:sz w:val="22"/>
      <w:szCs w:val="22"/>
      <w:lang w:val="en-US" w:eastAsia="en-US"/>
      <w14:ligatures w14:val="none"/>
    </w:rPr>
  </w:style>
  <w:style w:type="paragraph" w:styleId="ListNumber">
    <w:name w:val="List Number"/>
    <w:basedOn w:val="Normal"/>
    <w:uiPriority w:val="99"/>
    <w:unhideWhenUsed/>
    <w:rsid w:val="006D60D2"/>
    <w:pPr>
      <w:numPr>
        <w:numId w:val="3"/>
      </w:numPr>
      <w:tabs>
        <w:tab w:val="clear" w:pos="360"/>
      </w:tabs>
      <w:spacing w:after="200" w:line="276" w:lineRule="auto"/>
      <w:ind w:left="0" w:firstLine="0"/>
      <w:contextualSpacing/>
    </w:pPr>
    <w:rPr>
      <w:kern w:val="0"/>
      <w:sz w:val="22"/>
      <w:szCs w:val="22"/>
      <w:lang w:val="en-US" w:eastAsia="en-US"/>
      <w14:ligatures w14:val="none"/>
    </w:rPr>
  </w:style>
  <w:style w:type="character" w:styleId="Hyperlink">
    <w:name w:val="Hyperlink"/>
    <w:basedOn w:val="DefaultParagraphFont"/>
    <w:uiPriority w:val="99"/>
    <w:unhideWhenUsed/>
    <w:rsid w:val="00223D73"/>
    <w:rPr>
      <w:color w:val="467886" w:themeColor="hyperlink"/>
      <w:u w:val="single"/>
    </w:rPr>
  </w:style>
  <w:style w:type="character" w:styleId="UnresolvedMention">
    <w:name w:val="Unresolved Mention"/>
    <w:basedOn w:val="DefaultParagraphFont"/>
    <w:uiPriority w:val="99"/>
    <w:semiHidden/>
    <w:unhideWhenUsed/>
    <w:rsid w:val="00223D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rotechtgroup.com/en-gb/blog/understanding-cobit-5-framework" TargetMode="External"/><Relationship Id="rId5" Type="http://schemas.openxmlformats.org/officeDocument/2006/relationships/hyperlink" Target="https://www.isaca.org/resources/cob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722</Words>
  <Characters>4117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Southwick (Student)</dc:creator>
  <cp:keywords/>
  <dc:description/>
  <cp:lastModifiedBy>Stanley Southwick (Student)</cp:lastModifiedBy>
  <cp:revision>1</cp:revision>
  <dcterms:created xsi:type="dcterms:W3CDTF">2026-03-07T15:04:00Z</dcterms:created>
  <dcterms:modified xsi:type="dcterms:W3CDTF">2026-03-07T15:43:00Z</dcterms:modified>
</cp:coreProperties>
</file>