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453C" w14:textId="7DB67A91" w:rsidR="007B5179" w:rsidRPr="007B5179" w:rsidRDefault="007B5179" w:rsidP="007B517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Netflix's IT Governance &amp; Risk Management</w:t>
      </w:r>
    </w:p>
    <w:p w14:paraId="2C38CCD7" w14:textId="77777777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Key Risk Identified: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Service disruption from distributed system failures across global CDN infrastructure.</w:t>
      </w:r>
    </w:p>
    <w:p w14:paraId="1A1716DF" w14:textId="77777777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Strategic Opportunity: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Implement ITIL-based incident management to convert frequent, minor outages into competitive advantages through resilience marketing and improved SLA credibility.</w:t>
      </w:r>
    </w:p>
    <w:p w14:paraId="02D5166C" w14:textId="77777777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Governance Framework: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Netflix employs a hybrid ITIL/DevOps model—ITIL's change advisory boards govern critical infrastructure changes, while DevOps practices enable rapid deployment. This balances control with innovation. Microservices architecture distributes risk; chaos engineering (Gremlin) proactively identifies failure points before they cascade.</w:t>
      </w:r>
    </w:p>
    <w:p w14:paraId="43C9E38F" w14:textId="3F330CA2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D</w:t>
      </w:r>
      <w:r>
        <w:rPr>
          <w:rFonts w:eastAsia="Times New Roman" w:cs="Times New Roman"/>
          <w:b/>
          <w:bCs/>
          <w:color w:val="000000"/>
          <w:kern w:val="0"/>
          <w14:ligatures w14:val="none"/>
        </w:rPr>
        <w:t>isaster recovery</w:t>
      </w: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Strategy: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Multi-region failover with automated recovery (&lt;5min RTO). Data replication across availability zones; stateless services enable horizontal scaling during incidents.</w:t>
      </w:r>
    </w:p>
    <w:p w14:paraId="332BB2E1" w14:textId="77777777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Compliance Considerations: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GDPR compliance for EU subscribers requires explicit data residency controls and audit trails. Privacy-by-design principles embedded in service architecture ensure ethical data handling alongside regulatory adherence.</w:t>
      </w:r>
    </w:p>
    <w:p w14:paraId="2E7A289F" w14:textId="77777777" w:rsid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B5179">
        <w:rPr>
          <w:rFonts w:eastAsia="Times New Roman" w:cs="Times New Roman"/>
          <w:b/>
          <w:bCs/>
          <w:color w:val="000000"/>
          <w:kern w:val="0"/>
          <w14:ligatures w14:val="none"/>
        </w:rPr>
        <w:t>Professional Implication:</w:t>
      </w:r>
      <w:r w:rsidRPr="007B5179">
        <w:rPr>
          <w:rFonts w:eastAsia="Times New Roman" w:cs="Times New Roman"/>
          <w:color w:val="000000"/>
          <w:kern w:val="0"/>
          <w14:ligatures w14:val="none"/>
        </w:rPr>
        <w:t> This demonstrates how governance isn't purely defensive—strategic risk management creates competitive advantage through reliability and customer trust.</w:t>
      </w:r>
    </w:p>
    <w:p w14:paraId="001EAA46" w14:textId="381ED424" w:rsidR="007B5179" w:rsidRPr="007B5179" w:rsidRDefault="007B5179" w:rsidP="007B5179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>
        <w:rPr>
          <w:rFonts w:eastAsia="Times New Roman" w:cs="Times New Roman"/>
          <w:color w:val="000000"/>
          <w:kern w:val="0"/>
          <w14:ligatures w14:val="none"/>
        </w:rPr>
        <w:t>Reference:</w:t>
      </w:r>
    </w:p>
    <w:p w14:paraId="0F8D53E6" w14:textId="61E2EC35" w:rsidR="009E2870" w:rsidRDefault="007B5179">
      <w:r>
        <w:t xml:space="preserve">Thompson, M. (2025) The 5 stages of the ITIL service lifecycle: An Overview. (Available at: </w:t>
      </w:r>
      <w:hyperlink r:id="rId4" w:history="1">
        <w:r w:rsidRPr="0093067B">
          <w:rPr>
            <w:rStyle w:val="Hyperlink"/>
          </w:rPr>
          <w:t>https://www.itil.org.uk/blog/itil-service-lifecycle</w:t>
        </w:r>
      </w:hyperlink>
      <w:r>
        <w:t xml:space="preserve">  (Accessed: 07/03/2026)</w:t>
      </w:r>
    </w:p>
    <w:sectPr w:rsidR="009E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79"/>
    <w:rsid w:val="007B5179"/>
    <w:rsid w:val="008B19DB"/>
    <w:rsid w:val="008C7F03"/>
    <w:rsid w:val="009476B1"/>
    <w:rsid w:val="009E2870"/>
    <w:rsid w:val="00D26134"/>
    <w:rsid w:val="00DE5589"/>
    <w:rsid w:val="00E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C756C"/>
  <w15:chartTrackingRefBased/>
  <w15:docId w15:val="{ADE40FBA-C339-3C41-8A48-6B300A8B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7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5179"/>
    <w:rPr>
      <w:b/>
      <w:bCs/>
    </w:rPr>
  </w:style>
  <w:style w:type="paragraph" w:customStyle="1" w:styleId="font-claude-response-body">
    <w:name w:val="font-claude-response-body"/>
    <w:basedOn w:val="Normal"/>
    <w:rsid w:val="007B5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B5179"/>
  </w:style>
  <w:style w:type="character" w:styleId="Hyperlink">
    <w:name w:val="Hyperlink"/>
    <w:basedOn w:val="DefaultParagraphFont"/>
    <w:uiPriority w:val="99"/>
    <w:unhideWhenUsed/>
    <w:rsid w:val="007B5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til.org.uk/blog/itil-service-lifecy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Southwick (Student)</dc:creator>
  <cp:keywords/>
  <dc:description/>
  <cp:lastModifiedBy>Stanley Southwick (Student)</cp:lastModifiedBy>
  <cp:revision>1</cp:revision>
  <dcterms:created xsi:type="dcterms:W3CDTF">2026-03-07T15:46:00Z</dcterms:created>
  <dcterms:modified xsi:type="dcterms:W3CDTF">2026-03-07T15:51:00Z</dcterms:modified>
</cp:coreProperties>
</file>