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footer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pPr>
      <w:r>
        <w:rPr>
          <w:rFonts w:ascii="Arial" w:hAnsi="Arial" w:eastAsia="Arial" w:cs="Arial"/>
          <w:color w:val="007B8A"/>
          <w:sz w:val="40"/>
          <w:szCs w:val="40"/>
          <w:b w:val="1"/>
          <w:bCs w:val="1"/>
        </w:rPr>
        <w:t xml:space="preserve">21st Century AV Ltd</w:t>
      </w:r>
    </w:p>
    <w:p>
      <w:pPr>
        <w:jc w:val="left"/>
        <w:pBdr>
          <w:bottom w:val="single" w:sz="12" w:color="007B8A"/>
        </w:pBdr>
      </w:pPr>
      <w:r>
        <w:rPr>
          <w:rFonts w:ascii="Arial" w:hAnsi="Arial" w:eastAsia="Arial" w:cs="Arial"/>
          <w:color w:val="333333"/>
          <w:sz w:val="32"/>
          <w:szCs w:val="32"/>
          <w:b w:val="1"/>
          <w:bCs w:val="1"/>
        </w:rPr>
        <w:t xml:space="preserve">Risk Assessment and Method Statement</w:t>
      </w:r>
    </w:p>
    <w:p/>
    <w:tbl>
      <w:tblGrid>
        <w:gridCol w:w="2800" w:type="dxa"/>
        <w:gridCol w:w="7066" w:type="dxa"/>
      </w:tblGrid>
      <w:tblPr>
        <w:tblW w:w="0" w:type="auto"/>
        <w:tblLayout w:type="autofit"/>
        <w:tblCellMar>
          <w:top w:w="60" w:type="dxa"/>
          <w:left w:w="80" w:type="dxa"/>
          <w:right w:w="8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tcW w:w="2800" w:type="dxa"/>
            <w:shd w:val="clear" w:fill="F0FBFC"/>
            <w:noWrap/>
          </w:tcPr>
          <w:p>
            <w:pPr/>
            <w:r>
              <w:rPr>
                <w:rFonts w:ascii="Arial" w:hAnsi="Arial" w:eastAsia="Arial" w:cs="Arial"/>
                <w:color w:val="333333"/>
                <w:sz w:val="18"/>
                <w:szCs w:val="18"/>
                <w:b w:val="1"/>
                <w:bCs w:val="1"/>
              </w:rPr>
              <w:t xml:space="preserve">Project Ref</w:t>
            </w:r>
          </w:p>
        </w:tc>
        <w:tc>
          <w:tcPr>
            <w:tcW w:w="7066" w:type="dxa"/>
            <w:shd w:val="clear" w:fill="FFFFFF"/>
            <w:noWrap/>
          </w:tcPr>
          <w:p>
            <w:pPr/>
            <w:r>
              <w:rPr>
                <w:rFonts w:ascii="Arial" w:hAnsi="Arial" w:eastAsia="Arial" w:cs="Arial"/>
                <w:color w:val="333333"/>
                <w:sz w:val="18"/>
                <w:szCs w:val="18"/>
              </w:rPr>
              <w:t xml:space="preserve">RAMS-CCH-001</w:t>
            </w:r>
          </w:p>
        </w:tc>
      </w:tr>
      <w:tr>
        <w:trPr/>
        <w:tc>
          <w:tcPr>
            <w:tcW w:w="2800" w:type="dxa"/>
            <w:shd w:val="clear" w:fill="F0FBFC"/>
            <w:noWrap/>
          </w:tcPr>
          <w:p>
            <w:pPr/>
            <w:r>
              <w:rPr>
                <w:rFonts w:ascii="Arial" w:hAnsi="Arial" w:eastAsia="Arial" w:cs="Arial"/>
                <w:color w:val="333333"/>
                <w:sz w:val="18"/>
                <w:szCs w:val="18"/>
                <w:b w:val="1"/>
                <w:bCs w:val="1"/>
              </w:rPr>
              <w:t xml:space="preserve">Project Name</w:t>
            </w:r>
          </w:p>
        </w:tc>
        <w:tc>
          <w:tcPr>
            <w:tcW w:w="7066" w:type="dxa"/>
            <w:shd w:val="clear" w:fill="FFFFFF"/>
            <w:noWrap/>
          </w:tcPr>
          <w:p>
            <w:pPr/>
            <w:r>
              <w:rPr>
                <w:rFonts w:ascii="Arial" w:hAnsi="Arial" w:eastAsia="Arial" w:cs="Arial"/>
                <w:color w:val="333333"/>
                <w:sz w:val="18"/>
                <w:szCs w:val="18"/>
              </w:rPr>
              <w:t xml:space="preserve">Full AV Installation – First Floor Training Room</w:t>
            </w:r>
          </w:p>
        </w:tc>
      </w:tr>
      <w:tr>
        <w:trPr/>
        <w:tc>
          <w:tcPr>
            <w:tcW w:w="2800" w:type="dxa"/>
            <w:shd w:val="clear" w:fill="F0FBFC"/>
            <w:noWrap/>
          </w:tcPr>
          <w:p>
            <w:pPr/>
            <w:r>
              <w:rPr>
                <w:rFonts w:ascii="Arial" w:hAnsi="Arial" w:eastAsia="Arial" w:cs="Arial"/>
                <w:color w:val="333333"/>
                <w:sz w:val="18"/>
                <w:szCs w:val="18"/>
                <w:b w:val="1"/>
                <w:bCs w:val="1"/>
              </w:rPr>
              <w:t xml:space="preserve">Client</w:t>
            </w:r>
          </w:p>
        </w:tc>
        <w:tc>
          <w:tcPr>
            <w:tcW w:w="7066" w:type="dxa"/>
            <w:shd w:val="clear" w:fill="FFFFFF"/>
            <w:noWrap/>
          </w:tcPr>
          <w:p>
            <w:pPr/>
            <w:r>
              <w:rPr>
                <w:rFonts w:ascii="Arial" w:hAnsi="Arial" w:eastAsia="Arial" w:cs="Arial"/>
                <w:color w:val="333333"/>
                <w:sz w:val="18"/>
                <w:szCs w:val="18"/>
              </w:rPr>
              <w:t xml:space="preserve">Cicor Hartlepool Ltd</w:t>
            </w:r>
          </w:p>
        </w:tc>
      </w:tr>
      <w:tr>
        <w:trPr/>
        <w:tc>
          <w:tcPr>
            <w:tcW w:w="2800" w:type="dxa"/>
            <w:shd w:val="clear" w:fill="F0FBFC"/>
            <w:noWrap/>
          </w:tcPr>
          <w:p>
            <w:pPr/>
            <w:r>
              <w:rPr>
                <w:rFonts w:ascii="Arial" w:hAnsi="Arial" w:eastAsia="Arial" w:cs="Arial"/>
                <w:color w:val="333333"/>
                <w:sz w:val="18"/>
                <w:szCs w:val="18"/>
                <w:b w:val="1"/>
                <w:bCs w:val="1"/>
              </w:rPr>
              <w:t xml:space="preserve">Site Address</w:t>
            </w:r>
          </w:p>
        </w:tc>
        <w:tc>
          <w:tcPr>
            <w:tcW w:w="7066" w:type="dxa"/>
            <w:shd w:val="clear" w:fill="FFFFFF"/>
            <w:noWrap/>
          </w:tcPr>
          <w:p>
            <w:pPr/>
            <w:r>
              <w:rPr>
                <w:rFonts w:ascii="Arial" w:hAnsi="Arial" w:eastAsia="Arial" w:cs="Arial"/>
                <w:color w:val="333333"/>
                <w:sz w:val="18"/>
                <w:szCs w:val="18"/>
              </w:rPr>
              <w:t xml:space="preserve">Tofts Farm Industrial Estate, Brenda Road, TS25 2BQ, Hartlepool, United Kingdom</w:t>
            </w:r>
          </w:p>
        </w:tc>
      </w:tr>
      <w:tr>
        <w:trPr/>
        <w:tc>
          <w:tcPr>
            <w:tcW w:w="2800" w:type="dxa"/>
            <w:shd w:val="clear" w:fill="F0FBFC"/>
            <w:noWrap/>
          </w:tcPr>
          <w:p>
            <w:pPr/>
            <w:r>
              <w:rPr>
                <w:rFonts w:ascii="Arial" w:hAnsi="Arial" w:eastAsia="Arial" w:cs="Arial"/>
                <w:color w:val="333333"/>
                <w:sz w:val="18"/>
                <w:szCs w:val="18"/>
                <w:b w:val="1"/>
                <w:bCs w:val="1"/>
              </w:rPr>
              <w:t xml:space="preserve">Site Contact</w:t>
            </w:r>
          </w:p>
        </w:tc>
        <w:tc>
          <w:tcPr>
            <w:tcW w:w="7066" w:type="dxa"/>
            <w:shd w:val="clear" w:fill="FFFFFF"/>
            <w:noWrap/>
          </w:tcPr>
          <w:p>
            <w:pPr/>
            <w:r>
              <w:rPr>
                <w:rFonts w:ascii="Arial" w:hAnsi="Arial" w:eastAsia="Arial" w:cs="Arial"/>
                <w:color w:val="333333"/>
                <w:sz w:val="18"/>
                <w:szCs w:val="18"/>
              </w:rPr>
              <w:t xml:space="preserve">-</w:t>
            </w:r>
          </w:p>
        </w:tc>
      </w:tr>
      <w:tr>
        <w:trPr/>
        <w:tc>
          <w:tcPr>
            <w:tcW w:w="2800" w:type="dxa"/>
            <w:shd w:val="clear" w:fill="F0FBFC"/>
            <w:noWrap/>
          </w:tcPr>
          <w:p>
            <w:pPr/>
            <w:r>
              <w:rPr>
                <w:rFonts w:ascii="Arial" w:hAnsi="Arial" w:eastAsia="Arial" w:cs="Arial"/>
                <w:color w:val="333333"/>
                <w:sz w:val="18"/>
                <w:szCs w:val="18"/>
                <w:b w:val="1"/>
                <w:bCs w:val="1"/>
              </w:rPr>
              <w:t xml:space="preserve">Start Date</w:t>
            </w:r>
          </w:p>
        </w:tc>
        <w:tc>
          <w:tcPr>
            <w:tcW w:w="7066" w:type="dxa"/>
            <w:shd w:val="clear" w:fill="FFFFFF"/>
            <w:noWrap/>
          </w:tcPr>
          <w:p>
            <w:pPr/>
            <w:r>
              <w:rPr>
                <w:rFonts w:ascii="Arial" w:hAnsi="Arial" w:eastAsia="Arial" w:cs="Arial"/>
                <w:color w:val="333333"/>
                <w:sz w:val="18"/>
                <w:szCs w:val="18"/>
              </w:rPr>
              <w:t xml:space="preserve">-</w:t>
            </w:r>
          </w:p>
        </w:tc>
      </w:tr>
      <w:tr>
        <w:trPr/>
        <w:tc>
          <w:tcPr>
            <w:tcW w:w="2800" w:type="dxa"/>
            <w:shd w:val="clear" w:fill="F0FBFC"/>
            <w:noWrap/>
          </w:tcPr>
          <w:p>
            <w:pPr/>
            <w:r>
              <w:rPr>
                <w:rFonts w:ascii="Arial" w:hAnsi="Arial" w:eastAsia="Arial" w:cs="Arial"/>
                <w:color w:val="333333"/>
                <w:sz w:val="18"/>
                <w:szCs w:val="18"/>
                <w:b w:val="1"/>
                <w:bCs w:val="1"/>
              </w:rPr>
              <w:t xml:space="preserve">Expected Duration</w:t>
            </w:r>
          </w:p>
        </w:tc>
        <w:tc>
          <w:tcPr>
            <w:tcW w:w="7066" w:type="dxa"/>
            <w:shd w:val="clear" w:fill="FFFFFF"/>
            <w:noWrap/>
          </w:tcPr>
          <w:p>
            <w:pPr/>
            <w:r>
              <w:rPr>
                <w:rFonts w:ascii="Arial" w:hAnsi="Arial" w:eastAsia="Arial" w:cs="Arial"/>
                <w:color w:val="333333"/>
                <w:sz w:val="18"/>
                <w:szCs w:val="18"/>
              </w:rPr>
              <w:t xml:space="preserve">-</w:t>
            </w:r>
          </w:p>
        </w:tc>
      </w:tr>
      <w:tr>
        <w:trPr/>
        <w:tc>
          <w:tcPr>
            <w:tcW w:w="2800" w:type="dxa"/>
            <w:shd w:val="clear" w:fill="F0FBFC"/>
            <w:noWrap/>
          </w:tcPr>
          <w:p>
            <w:pPr/>
            <w:r>
              <w:rPr>
                <w:rFonts w:ascii="Arial" w:hAnsi="Arial" w:eastAsia="Arial" w:cs="Arial"/>
                <w:color w:val="333333"/>
                <w:sz w:val="18"/>
                <w:szCs w:val="18"/>
                <w:b w:val="1"/>
                <w:bCs w:val="1"/>
              </w:rPr>
              <w:t xml:space="preserve">AI Provider Used</w:t>
            </w:r>
          </w:p>
        </w:tc>
        <w:tc>
          <w:tcPr>
            <w:tcW w:w="7066" w:type="dxa"/>
            <w:shd w:val="clear" w:fill="FFFFFF"/>
            <w:noWrap/>
          </w:tcPr>
          <w:p>
            <w:pPr/>
            <w:r>
              <w:rPr>
                <w:rFonts w:ascii="Arial" w:hAnsi="Arial" w:eastAsia="Arial" w:cs="Arial"/>
                <w:color w:val="333333"/>
                <w:sz w:val="18"/>
                <w:szCs w:val="18"/>
              </w:rPr>
              <w:t xml:space="preserve">Claude (claude-sonnet-4-6)</w:t>
            </w:r>
          </w:p>
        </w:tc>
      </w:tr>
    </w:tbl>
    <w:p>
      <w:pPr>
        <w:sectPr>
          <w:footerReference w:type="default" r:id="rId7"/>
          <w:pgSz w:orient="portrait" w:w="11905.511811023622" w:h="16837.79527559055"/>
          <w:pgMar w:top="1020" w:right="1020" w:bottom="1020" w:left="1020" w:header="720" w:footer="720" w:gutter="0"/>
          <w:cols w:num="1" w:space="720"/>
        </w:sectPr>
      </w:pPr>
    </w:p>
    <w:tbl>
      <w:tblGrid>
        <w:gridCol w:w="2650" w:type="dxa"/>
        <w:gridCol w:w="2920" w:type="dxa"/>
        <w:gridCol w:w="665" w:type="dxa"/>
        <w:gridCol w:w="665" w:type="dxa"/>
        <w:gridCol w:w="800" w:type="dxa"/>
        <w:gridCol w:w="5308" w:type="dxa"/>
        <w:gridCol w:w="665" w:type="dxa"/>
        <w:gridCol w:w="665" w:type="dxa"/>
        <w:gridCol w:w="800" w:type="dxa"/>
      </w:tblGrid>
      <w:tblPr>
        <w:tblW w:w="0" w:type="auto"/>
        <w:tblLayout w:type="autofit"/>
        <w:tblCellMar>
          <w:top w:w="60" w:type="dxa"/>
          <w:left w:w="80" w:type="dxa"/>
          <w:right w:w="8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tcW w:w="2650" w:type="dxa"/>
            <w:shd w:val="clear" w:fill="FFFFFF"/>
            <w:noWrap/>
          </w:tcPr>
          <w:p>
            <w:pPr/>
            <w:r>
              <w:rPr>
                <w:rFonts w:ascii="Arial" w:hAnsi="Arial" w:eastAsia="Arial" w:cs="Arial"/>
                <w:color w:val="333333"/>
                <w:sz w:val="18"/>
                <w:szCs w:val="18"/>
                <w:b w:val="1"/>
                <w:bCs w:val="1"/>
              </w:rPr>
              <w:t xml:space="preserve">Working at height (ceiling microphone and loudspeaker installation)</w:t>
            </w:r>
          </w:p>
        </w:tc>
        <w:tc>
          <w:tcPr>
            <w:tcW w:w="2920" w:type="dxa"/>
            <w:shd w:val="clear" w:fill="FFFFFF"/>
            <w:noWrap/>
          </w:tcPr>
          <w:p>
            <w:pPr/>
            <w:r>
              <w:rPr>
                <w:rFonts w:ascii="Arial" w:hAnsi="Arial" w:eastAsia="Arial" w:cs="Arial"/>
                <w:color w:val="333333"/>
                <w:sz w:val="18"/>
                <w:szCs w:val="18"/>
              </w:rPr>
              <w:t xml:space="preserve">Falls from height resulting in serious injury or death to installers, Overreaching from platform or steps causing loss of balance and fall, Unstable access equipment collapsing during installation activities, Falling installer striking other workers or members of staff in the area below</w:t>
            </w:r>
          </w:p>
        </w:tc>
        <w:tc>
          <w:tcPr>
            <w:tcW w:w="665" w:type="dxa"/>
            <w:shd w:val="clear" w:fill="FFFFFF"/>
            <w:noWrap/>
          </w:tcPr>
          <w:p>
            <w:pPr/>
            <w:r>
              <w:rPr/>
              <w:t xml:space="preserve">3</w:t>
            </w:r>
          </w:p>
        </w:tc>
        <w:tc>
          <w:tcPr>
            <w:tcW w:w="665" w:type="dxa"/>
            <w:shd w:val="clear" w:fill="FFFFFF"/>
            <w:noWrap/>
          </w:tcPr>
          <w:p>
            <w:pPr/>
            <w:r>
              <w:rPr/>
              <w:t xml:space="preserve">5</w:t>
            </w:r>
          </w:p>
        </w:tc>
        <w:tc>
          <w:tcPr>
            <w:tcW w:w="800" w:type="dxa"/>
            <w:shd w:val="clear" w:fill="FFDEDE"/>
            <w:noWrap/>
          </w:tcPr>
          <w:p>
            <w:pPr/>
            <w:r>
              <w:rPr/>
              <w:t xml:space="preserve">15</w:t>
            </w:r>
          </w:p>
        </w:tc>
        <w:tc>
          <w:tcPr>
            <w:tcW w:w="5308" w:type="dxa"/>
            <w:shd w:val="clear" w:fill="FFFFFF"/>
            <w:noWrap/>
          </w:tcPr>
          <w:p>
            <w:pPr/>
            <w:r>
              <w:rPr>
                <w:rFonts w:ascii="Arial" w:hAnsi="Arial" w:eastAsia="Arial" w:cs="Arial"/>
                <w:color w:val="333333"/>
                <w:sz w:val="18"/>
                <w:szCs w:val="18"/>
              </w:rPr>
              <w:t xml:space="preserve">Comply with the Work at Height Regulations 2005 (WAHR 2005); carry out a specific work-at-height risk assessment before commencing ceiling installation activities and ensure all work at height is properly planned, supervised and carried out by competent persons., Use only suitable, purpose-designed podium steps or a lightweight aluminium platform ladder that meets BS EN 131 or equivalent standard; inspect all access equipment before each use and remove any defective equipment from service immediately in accordance with PUWER 1998., Establish a clearly demarcated exclusion zone beneath all overhead working areas using barrier tape and appropriate signage to prevent unauthorised persons from entering the zone below, as recommended under HSE guidance HSG150., Ensure a minimum of two operatives are present when working at height; one operative to work at height whilst the second steadies the access equipment, monitors the exclusion zone and provides assistance in an emergency, in accordance with MHSWR 1999 Regulation 10., Conduct a pre-task briefing covering the work-at-height plan, emergency procedures and rescue plan before commencing ceiling works; all operatives must confirm they have been briefed and are competent to carry out the task., Ensure all tools and components used at height are secured using tool lanyards or placed in a properly secured tool bag or bucket to prevent dropped objects; no loose items to be left on platform steps at any time.</w:t>
            </w:r>
          </w:p>
        </w:tc>
        <w:tc>
          <w:tcPr>
            <w:tcW w:w="665" w:type="dxa"/>
            <w:shd w:val="clear" w:fill="FFFFFF"/>
            <w:noWrap/>
          </w:tcPr>
          <w:p>
            <w:pPr/>
            <w:r>
              <w:rPr/>
              <w:t xml:space="preserve">1</w:t>
            </w:r>
          </w:p>
        </w:tc>
        <w:tc>
          <w:tcPr>
            <w:tcW w:w="665" w:type="dxa"/>
            <w:shd w:val="clear" w:fill="FFFFFF"/>
            <w:noWrap/>
          </w:tcPr>
          <w:p>
            <w:pPr/>
            <w:r>
              <w:rPr/>
              <w:t xml:space="preserve">3</w:t>
            </w:r>
          </w:p>
        </w:tc>
        <w:tc>
          <w:tcPr>
            <w:tcW w:w="800" w:type="dxa"/>
            <w:shd w:val="clear" w:fill="D4EDDA"/>
            <w:noWrap/>
          </w:tcPr>
          <w:p>
            <w:pPr/>
            <w:r>
              <w:rPr/>
              <w:t xml:space="preserve">3</w:t>
            </w:r>
          </w:p>
        </w:tc>
      </w:tr>
      <w:tr>
        <w:trPr/>
        <w:tc>
          <w:tcPr>
            <w:tcW w:w="2650" w:type="dxa"/>
            <w:shd w:val="clear" w:fill="F0FBFC"/>
            <w:noWrap/>
          </w:tcPr>
          <w:p>
            <w:pPr/>
            <w:r>
              <w:rPr>
                <w:rFonts w:ascii="Arial" w:hAnsi="Arial" w:eastAsia="Arial" w:cs="Arial"/>
                <w:color w:val="333333"/>
                <w:sz w:val="18"/>
                <w:szCs w:val="18"/>
                <w:b w:val="1"/>
                <w:bCs w:val="1"/>
              </w:rPr>
              <w:t xml:space="preserve">Manual handling of large and heavy display screen</w:t>
            </w:r>
          </w:p>
        </w:tc>
        <w:tc>
          <w:tcPr>
            <w:tcW w:w="2920" w:type="dxa"/>
            <w:shd w:val="clear" w:fill="F0FBFC"/>
            <w:noWrap/>
          </w:tcPr>
          <w:p>
            <w:pPr/>
            <w:r>
              <w:rPr>
                <w:rFonts w:ascii="Arial" w:hAnsi="Arial" w:eastAsia="Arial" w:cs="Arial"/>
                <w:color w:val="333333"/>
                <w:sz w:val="18"/>
                <w:szCs w:val="18"/>
              </w:rPr>
              <w:t xml:space="preserve">Musculoskeletal injury including back strain, hernia or soft tissue damage to installers handling the 85-inch display, Crush injury to hands or feet if the display is dropped during lifting or positioning, Damage to the display unit or surrounding fixtures if control is lost during manual handling, Struck-by injury to a co-worker if the screen tips or falls during the wall-mounting process</w:t>
            </w:r>
          </w:p>
        </w:tc>
        <w:tc>
          <w:tcPr>
            <w:tcW w:w="665" w:type="dxa"/>
            <w:shd w:val="clear" w:fill="F0FBFC"/>
            <w:noWrap/>
          </w:tcPr>
          <w:p>
            <w:pPr/>
            <w:r>
              <w:rPr/>
              <w:t xml:space="preserve">3</w:t>
            </w:r>
          </w:p>
        </w:tc>
        <w:tc>
          <w:tcPr>
            <w:tcW w:w="665" w:type="dxa"/>
            <w:shd w:val="clear" w:fill="F0FBFC"/>
            <w:noWrap/>
          </w:tcPr>
          <w:p>
            <w:pPr/>
            <w:r>
              <w:rPr/>
              <w:t xml:space="preserve">4</w:t>
            </w:r>
          </w:p>
        </w:tc>
        <w:tc>
          <w:tcPr>
            <w:tcW w:w="800" w:type="dxa"/>
            <w:shd w:val="clear" w:fill="FFD0A0"/>
            <w:noWrap/>
          </w:tcPr>
          <w:p>
            <w:pPr/>
            <w:r>
              <w:rPr/>
              <w:t xml:space="preserve">12</w:t>
            </w:r>
          </w:p>
        </w:tc>
        <w:tc>
          <w:tcPr>
            <w:tcW w:w="5308" w:type="dxa"/>
            <w:shd w:val="clear" w:fill="F0FBFC"/>
            <w:noWrap/>
          </w:tcPr>
          <w:p>
            <w:pPr/>
            <w:r>
              <w:rPr>
                <w:rFonts w:ascii="Arial" w:hAnsi="Arial" w:eastAsia="Arial" w:cs="Arial"/>
                <w:color w:val="333333"/>
                <w:sz w:val="18"/>
                <w:szCs w:val="18"/>
              </w:rPr>
              <w:t xml:space="preserve">Carry out a manual handling assessment in accordance with the Manual Handling Operations Regulations 1992 (as amended) and HSE guidance L23 before moving the 85-inch Sony display; document the assessment and brief all operatives involved in the lift., A minimum of three trained operatives must be present when lifting and positioning the 85-inch display; the lift must be coordinated by a nominated lead who calls each stage of the movement to maintain synchronisation., Use mechanical handling aids where practicable, including a panel-handling trolley or suction-cup lifting device suitable for large flat-panel screens, to minimise manual effort and reduce the risk of loss of control in accordance with MHSWR 1999., Ensure all operatives wear steel-toecapped safety footwear and anti-vibration gloves when handling the display; clear a defined route from the delivery point to the installation area before the lift commences, removing all trip hazards., Store the display unit in its original protective packaging in a safe, upright or flat position as specified by the manufacturer until it is required for installation; do not attempt to carry the screen up stairways without a suitable trolley or stair-climbing device.</w:t>
            </w:r>
          </w:p>
        </w:tc>
        <w:tc>
          <w:tcPr>
            <w:tcW w:w="665" w:type="dxa"/>
            <w:shd w:val="clear" w:fill="F0FBFC"/>
            <w:noWrap/>
          </w:tcPr>
          <w:p>
            <w:pPr/>
            <w:r>
              <w:rPr/>
              <w:t xml:space="preserve">1</w:t>
            </w:r>
          </w:p>
        </w:tc>
        <w:tc>
          <w:tcPr>
            <w:tcW w:w="665" w:type="dxa"/>
            <w:shd w:val="clear" w:fill="F0FBFC"/>
            <w:noWrap/>
          </w:tcPr>
          <w:p>
            <w:pPr/>
            <w:r>
              <w:rPr/>
              <w:t xml:space="preserve">2</w:t>
            </w:r>
          </w:p>
        </w:tc>
        <w:tc>
          <w:tcPr>
            <w:tcW w:w="800" w:type="dxa"/>
            <w:shd w:val="clear" w:fill="D4EDDA"/>
            <w:noWrap/>
          </w:tcPr>
          <w:p>
            <w:pPr/>
            <w:r>
              <w:rPr/>
              <w:t xml:space="preserve">2</w:t>
            </w:r>
          </w:p>
        </w:tc>
      </w:tr>
      <w:tr>
        <w:trPr/>
        <w:tc>
          <w:tcPr>
            <w:tcW w:w="2650" w:type="dxa"/>
            <w:shd w:val="clear" w:fill="FFFFFF"/>
            <w:noWrap/>
          </w:tcPr>
          <w:p>
            <w:pPr/>
            <w:r>
              <w:rPr>
                <w:rFonts w:ascii="Arial" w:hAnsi="Arial" w:eastAsia="Arial" w:cs="Arial"/>
                <w:color w:val="333333"/>
                <w:sz w:val="18"/>
                <w:szCs w:val="18"/>
                <w:b w:val="1"/>
                <w:bCs w:val="1"/>
              </w:rPr>
              <w:t xml:space="preserve">Electrical hazards during cable routing and equipment connection</w:t>
            </w:r>
          </w:p>
        </w:tc>
        <w:tc>
          <w:tcPr>
            <w:tcW w:w="2920" w:type="dxa"/>
            <w:shd w:val="clear" w:fill="FFFFFF"/>
            <w:noWrap/>
          </w:tcPr>
          <w:p>
            <w:pPr/>
            <w:r>
              <w:rPr>
                <w:rFonts w:ascii="Arial" w:hAnsi="Arial" w:eastAsia="Arial" w:cs="Arial"/>
                <w:color w:val="333333"/>
                <w:sz w:val="18"/>
                <w:szCs w:val="18"/>
              </w:rPr>
              <w:t xml:space="preserve">Electric shock or electrocution from contact with live conductors in existing building services or mains outlets, Arc flash or burn injuries from inadvertent contact with live electrical components during rack or equipment connection, Fire resulting from incorrect termination, overloading of circuits or faulty cable management, Damage to sensitive AV equipment from incorrect voltage application or short circuits during commissioning</w:t>
            </w:r>
          </w:p>
        </w:tc>
        <w:tc>
          <w:tcPr>
            <w:tcW w:w="665" w:type="dxa"/>
            <w:shd w:val="clear" w:fill="FFFFFF"/>
            <w:noWrap/>
          </w:tcPr>
          <w:p>
            <w:pPr/>
            <w:r>
              <w:rPr/>
              <w:t xml:space="preserve">3</w:t>
            </w:r>
          </w:p>
        </w:tc>
        <w:tc>
          <w:tcPr>
            <w:tcW w:w="665" w:type="dxa"/>
            <w:shd w:val="clear" w:fill="FFFFFF"/>
            <w:noWrap/>
          </w:tcPr>
          <w:p>
            <w:pPr/>
            <w:r>
              <w:rPr/>
              <w:t xml:space="preserve">5</w:t>
            </w:r>
          </w:p>
        </w:tc>
        <w:tc>
          <w:tcPr>
            <w:tcW w:w="800" w:type="dxa"/>
            <w:shd w:val="clear" w:fill="FFDEDE"/>
            <w:noWrap/>
          </w:tcPr>
          <w:p>
            <w:pPr/>
            <w:r>
              <w:rPr/>
              <w:t xml:space="preserve">15</w:t>
            </w:r>
          </w:p>
        </w:tc>
        <w:tc>
          <w:tcPr>
            <w:tcW w:w="5308" w:type="dxa"/>
            <w:shd w:val="clear" w:fill="FFFFFF"/>
            <w:noWrap/>
          </w:tcPr>
          <w:p>
            <w:pPr/>
            <w:r>
              <w:rPr>
                <w:rFonts w:ascii="Arial" w:hAnsi="Arial" w:eastAsia="Arial" w:cs="Arial"/>
                <w:color w:val="333333"/>
                <w:sz w:val="18"/>
                <w:szCs w:val="18"/>
              </w:rPr>
              <w:t xml:space="preserve">All electrical works must be carried out in compliance with the Electricity at Work Regulations 1989; only operatives who are competent and have received appropriate electrical safety training may connect equipment to mains supplies or work in proximity to existing electrical installations., Before drilling, chasing or routing cables in walls, ceilings or floors, use a calibrated cable and pipe avoidance tool (CAT scanner) to identify the location of all buried services; follow HSE guidance HSG47 'Avoiding Danger from Underground Services' adapted for above-ground building services., All portable electrical tools and extension leads used on site must hold a current Portable Appliance Test (PAT) certificate; inspect leads and tools visually before each use and remove any damaged equipment from service in accordance with PUWER 1998., Ensure that any mains electrical connections required for the installation (e.g. power outlets for rack, display or PoE switch) are isolated and locked off by a qualified electrician before connection works commence; use Permit to Work procedures and lockout/tagout in accordance with MHSWR 1999 where the client's site procedures require it., All low-voltage AV cabling (data, HDMI, network, Dante) must be segregated from mains cabling throughout the installation using separate containment or a minimum 50 mm separation in shared containment, in accordance with BS 7671 IET Wiring Regulations 18th Edition., Carry out a visual inspection of all completed electrical connections and cable management before energising equipment; verify correct polarity and earth continuity on mains circuits where applicable and record results in the project quality log.</w:t>
            </w:r>
          </w:p>
        </w:tc>
        <w:tc>
          <w:tcPr>
            <w:tcW w:w="665" w:type="dxa"/>
            <w:shd w:val="clear" w:fill="FFFFFF"/>
            <w:noWrap/>
          </w:tcPr>
          <w:p>
            <w:pPr/>
            <w:r>
              <w:rPr/>
              <w:t xml:space="preserve">1</w:t>
            </w:r>
          </w:p>
        </w:tc>
        <w:tc>
          <w:tcPr>
            <w:tcW w:w="665" w:type="dxa"/>
            <w:shd w:val="clear" w:fill="FFFFFF"/>
            <w:noWrap/>
          </w:tcPr>
          <w:p>
            <w:pPr/>
            <w:r>
              <w:rPr/>
              <w:t xml:space="preserve">3</w:t>
            </w:r>
          </w:p>
        </w:tc>
        <w:tc>
          <w:tcPr>
            <w:tcW w:w="800" w:type="dxa"/>
            <w:shd w:val="clear" w:fill="D4EDDA"/>
            <w:noWrap/>
          </w:tcPr>
          <w:p>
            <w:pPr/>
            <w:r>
              <w:rPr/>
              <w:t xml:space="preserve">3</w:t>
            </w:r>
          </w:p>
        </w:tc>
      </w:tr>
      <w:tr>
        <w:trPr/>
        <w:tc>
          <w:tcPr>
            <w:tcW w:w="2650" w:type="dxa"/>
            <w:shd w:val="clear" w:fill="F0FBFC"/>
            <w:noWrap/>
          </w:tcPr>
          <w:p>
            <w:pPr/>
            <w:r>
              <w:rPr>
                <w:rFonts w:ascii="Arial" w:hAnsi="Arial" w:eastAsia="Arial" w:cs="Arial"/>
                <w:color w:val="333333"/>
                <w:sz w:val="18"/>
                <w:szCs w:val="18"/>
                <w:b w:val="1"/>
                <w:bCs w:val="1"/>
              </w:rPr>
              <w:t xml:space="preserve">Drilling and cutting creating dust and airborne particles</w:t>
            </w:r>
          </w:p>
        </w:tc>
        <w:tc>
          <w:tcPr>
            <w:tcW w:w="2920" w:type="dxa"/>
            <w:shd w:val="clear" w:fill="F0FBFC"/>
            <w:noWrap/>
          </w:tcPr>
          <w:p>
            <w:pPr/>
            <w:r>
              <w:rPr>
                <w:rFonts w:ascii="Arial" w:hAnsi="Arial" w:eastAsia="Arial" w:cs="Arial"/>
                <w:color w:val="333333"/>
                <w:sz w:val="18"/>
                <w:szCs w:val="18"/>
              </w:rPr>
              <w:t xml:space="preserve">Respiratory damage from inhalation of fine dust particles, including potential exposure to silica dust or legacy materials such as asbestos if present in the building structure, Eye injury from airborne particles or debris during drilling and cutting operations, Skin irritation or dermatitis from prolonged contact with dust and construction debris, Contamination of the client's training room environment with dust affecting equipment and occupant comfort</w:t>
            </w:r>
          </w:p>
        </w:tc>
        <w:tc>
          <w:tcPr>
            <w:tcW w:w="665" w:type="dxa"/>
            <w:shd w:val="clear" w:fill="F0FBFC"/>
            <w:noWrap/>
          </w:tcPr>
          <w:p>
            <w:pPr/>
            <w:r>
              <w:rPr/>
              <w:t xml:space="preserve">3</w:t>
            </w:r>
          </w:p>
        </w:tc>
        <w:tc>
          <w:tcPr>
            <w:tcW w:w="665" w:type="dxa"/>
            <w:shd w:val="clear" w:fill="F0FBFC"/>
            <w:noWrap/>
          </w:tcPr>
          <w:p>
            <w:pPr/>
            <w:r>
              <w:rPr/>
              <w:t xml:space="preserve">4</w:t>
            </w:r>
          </w:p>
        </w:tc>
        <w:tc>
          <w:tcPr>
            <w:tcW w:w="800" w:type="dxa"/>
            <w:shd w:val="clear" w:fill="FFD0A0"/>
            <w:noWrap/>
          </w:tcPr>
          <w:p>
            <w:pPr/>
            <w:r>
              <w:rPr/>
              <w:t xml:space="preserve">12</w:t>
            </w:r>
          </w:p>
        </w:tc>
        <w:tc>
          <w:tcPr>
            <w:tcW w:w="5308" w:type="dxa"/>
            <w:shd w:val="clear" w:fill="F0FBFC"/>
            <w:noWrap/>
          </w:tcPr>
          <w:p>
            <w:pPr/>
            <w:r>
              <w:rPr>
                <w:rFonts w:ascii="Arial" w:hAnsi="Arial" w:eastAsia="Arial" w:cs="Arial"/>
                <w:color w:val="333333"/>
                <w:sz w:val="18"/>
                <w:szCs w:val="18"/>
              </w:rPr>
              <w:t xml:space="preserve">Before any drilling or cutting works commence, obtain and review the building's asbestos register and refurbishment and demolition survey from the client or principal contractor in accordance with the Control of Asbestos Regulations 2012; do not proceed with any drilling or cutting until it is confirmed that no asbestos-containing materials (ACMs) are present in the work area., Carry out a COSHH 2002 assessment for all dust-generating activities; use power tools fitted with integrated dust extraction or connect to an M-class vacuum extraction unit rated to capture fine dust, in accordance with HSE guidance HSG150 and the COSHH Approved Code of Practice., All operatives involved in drilling and cutting must wear a minimum of FFP2-rated disposable dust masks (FFP3 where silica-generating materials may be present), safety spectacles or goggles, and disposable overalls where dust levels are significant; PPE to be selected and used in accordance with the Personal Protective Equipment at Work Regulations 2022., Isolate the work area from occupied parts of the building using dust-barrier sheeting and close all air handling vents in the immediate vicinity before commencing drilling; use plastic drop sheets to protect the floor and existing AV or IT equipment from contamination., Carry out all cutting and drilling activities using sharp, correctly rated drill bits and cutting discs appropriate to the substrate; never use blunt tools that increase dust production and vibration; inspect and replace consumables in accordance with PUWER 1998., On completion of drilling and cutting works each day, vacuum all dust and debris using the M-class extractor before removing dust barriers; dispose of collected dust and debris in sealed bags to an appropriate waste contractor in accordance with the Environmental Protection Act 1990.</w:t>
            </w:r>
          </w:p>
        </w:tc>
        <w:tc>
          <w:tcPr>
            <w:tcW w:w="665" w:type="dxa"/>
            <w:shd w:val="clear" w:fill="F0FBFC"/>
            <w:noWrap/>
          </w:tcPr>
          <w:p>
            <w:pPr/>
            <w:r>
              <w:rPr/>
              <w:t xml:space="preserve">1</w:t>
            </w:r>
          </w:p>
        </w:tc>
        <w:tc>
          <w:tcPr>
            <w:tcW w:w="665" w:type="dxa"/>
            <w:shd w:val="clear" w:fill="F0FBFC"/>
            <w:noWrap/>
          </w:tcPr>
          <w:p>
            <w:pPr/>
            <w:r>
              <w:rPr/>
              <w:t xml:space="preserve">2</w:t>
            </w:r>
          </w:p>
        </w:tc>
        <w:tc>
          <w:tcPr>
            <w:tcW w:w="800" w:type="dxa"/>
            <w:shd w:val="clear" w:fill="D4EDDA"/>
            <w:noWrap/>
          </w:tcPr>
          <w:p>
            <w:pPr/>
            <w:r>
              <w:rPr/>
              <w:t xml:space="preserve">2</w:t>
            </w:r>
          </w:p>
        </w:tc>
      </w:tr>
      <w:tr>
        <w:trPr/>
        <w:tc>
          <w:tcPr>
            <w:tcW w:w="2650" w:type="dxa"/>
            <w:shd w:val="clear" w:fill="FFFFFF"/>
            <w:noWrap/>
          </w:tcPr>
          <w:p>
            <w:pPr/>
            <w:r>
              <w:rPr>
                <w:rFonts w:ascii="Arial" w:hAnsi="Arial" w:eastAsia="Arial" w:cs="Arial"/>
                <w:color w:val="333333"/>
                <w:sz w:val="18"/>
                <w:szCs w:val="18"/>
                <w:b w:val="1"/>
                <w:bCs w:val="1"/>
              </w:rPr>
              <w:t xml:space="preserve">Slips, trips and falls from trailing cables and equipment on floor</w:t>
            </w:r>
          </w:p>
        </w:tc>
        <w:tc>
          <w:tcPr>
            <w:tcW w:w="2920" w:type="dxa"/>
            <w:shd w:val="clear" w:fill="FFFFFF"/>
            <w:noWrap/>
          </w:tcPr>
          <w:p>
            <w:pPr/>
            <w:r>
              <w:rPr>
                <w:rFonts w:ascii="Arial" w:hAnsi="Arial" w:eastAsia="Arial" w:cs="Arial"/>
                <w:color w:val="333333"/>
                <w:sz w:val="18"/>
                <w:szCs w:val="18"/>
              </w:rPr>
              <w:t xml:space="preserve">Slip or trip causing sprain, fracture or head injury to AV installers or site personnel, Operatives or client staff falling over equipment boxes or cable drums left in walkways, Client or visitor injury leading to civil liability or enforcement action under HSE, Damage to installed or uninstalled AV equipment from being knocked or fallen upon</w:t>
            </w:r>
          </w:p>
        </w:tc>
        <w:tc>
          <w:tcPr>
            <w:tcW w:w="665" w:type="dxa"/>
            <w:shd w:val="clear" w:fill="FFFFFF"/>
            <w:noWrap/>
          </w:tcPr>
          <w:p>
            <w:pPr/>
            <w:r>
              <w:rPr/>
              <w:t xml:space="preserve">4</w:t>
            </w:r>
          </w:p>
        </w:tc>
        <w:tc>
          <w:tcPr>
            <w:tcW w:w="665" w:type="dxa"/>
            <w:shd w:val="clear" w:fill="FFFFFF"/>
            <w:noWrap/>
          </w:tcPr>
          <w:p>
            <w:pPr/>
            <w:r>
              <w:rPr/>
              <w:t xml:space="preserve">3</w:t>
            </w:r>
          </w:p>
        </w:tc>
        <w:tc>
          <w:tcPr>
            <w:tcW w:w="800" w:type="dxa"/>
            <w:shd w:val="clear" w:fill="FFD0A0"/>
            <w:noWrap/>
          </w:tcPr>
          <w:p>
            <w:pPr/>
            <w:r>
              <w:rPr/>
              <w:t xml:space="preserve">12</w:t>
            </w:r>
          </w:p>
        </w:tc>
        <w:tc>
          <w:tcPr>
            <w:tcW w:w="5308" w:type="dxa"/>
            <w:shd w:val="clear" w:fill="FFFFFF"/>
            <w:noWrap/>
          </w:tcPr>
          <w:p>
            <w:pPr/>
            <w:r>
              <w:rPr>
                <w:rFonts w:ascii="Arial" w:hAnsi="Arial" w:eastAsia="Arial" w:cs="Arial"/>
                <w:color w:val="333333"/>
                <w:sz w:val="18"/>
                <w:szCs w:val="18"/>
              </w:rPr>
              <w:t xml:space="preserve">Comply with the Health and Safety at Work etc. Act 1974 Section 2 and MHSWR 1999 Regulation 3; conduct a daily pre-start inspection of the work area to identify and remove all slip and trip hazards before works commence and at the end of each working day., All cable runs across walkways or access routes must be covered with purpose-designed cable ramps or securely taped down flat with high-visibility hazard tape; trailing cables must never be left unprotected in areas where personnel other than installation operatives may walk., Deliveries of equipment and packing materials must be stored in a designated laydown area agreed with the client, which must not obstruct doorways, fire escape routes or walkways at any time, in compliance with the Regulatory Reform (Fire Safety) Order 2005., Install clear, visible signage at all entry points to the work area warning of works in progress, potential trip hazards and restricted access; use barrier tape or temporary hoarding to prevent unauthorised access to the work area during active installation phases., Maintain good housekeeping throughout the installation; off-cuts, packaging, empty cable drums and redundant materials must be removed from the work area and placed in designated waste skips or bags at regular intervals during the working day.</w:t>
            </w:r>
          </w:p>
        </w:tc>
        <w:tc>
          <w:tcPr>
            <w:tcW w:w="665" w:type="dxa"/>
            <w:shd w:val="clear" w:fill="FFFFFF"/>
            <w:noWrap/>
          </w:tcPr>
          <w:p>
            <w:pPr/>
            <w:r>
              <w:rPr/>
              <w:t xml:space="preserve">1</w:t>
            </w:r>
          </w:p>
        </w:tc>
        <w:tc>
          <w:tcPr>
            <w:tcW w:w="665" w:type="dxa"/>
            <w:shd w:val="clear" w:fill="FFFFFF"/>
            <w:noWrap/>
          </w:tcPr>
          <w:p>
            <w:pPr/>
            <w:r>
              <w:rPr/>
              <w:t xml:space="preserve">2</w:t>
            </w:r>
          </w:p>
        </w:tc>
        <w:tc>
          <w:tcPr>
            <w:tcW w:w="800" w:type="dxa"/>
            <w:shd w:val="clear" w:fill="D4EDDA"/>
            <w:noWrap/>
          </w:tcPr>
          <w:p>
            <w:pPr/>
            <w:r>
              <w:rPr/>
              <w:t xml:space="preserve">2</w:t>
            </w:r>
          </w:p>
        </w:tc>
      </w:tr>
      <w:tr>
        <w:trPr/>
        <w:tc>
          <w:tcPr>
            <w:tcW w:w="2650" w:type="dxa"/>
            <w:shd w:val="clear" w:fill="F0FBFC"/>
            <w:noWrap/>
          </w:tcPr>
          <w:p>
            <w:pPr/>
            <w:r>
              <w:rPr>
                <w:rFonts w:ascii="Arial" w:hAnsi="Arial" w:eastAsia="Arial" w:cs="Arial"/>
                <w:color w:val="333333"/>
                <w:sz w:val="18"/>
                <w:szCs w:val="18"/>
                <w:b w:val="1"/>
                <w:bCs w:val="1"/>
              </w:rPr>
              <w:t xml:space="preserve">Noise from power tools during installation</w:t>
            </w:r>
          </w:p>
        </w:tc>
        <w:tc>
          <w:tcPr>
            <w:tcW w:w="2920" w:type="dxa"/>
            <w:shd w:val="clear" w:fill="F0FBFC"/>
            <w:noWrap/>
          </w:tcPr>
          <w:p>
            <w:pPr/>
            <w:r>
              <w:rPr>
                <w:rFonts w:ascii="Arial" w:hAnsi="Arial" w:eastAsia="Arial" w:cs="Arial"/>
                <w:color w:val="333333"/>
                <w:sz w:val="18"/>
                <w:szCs w:val="18"/>
              </w:rPr>
              <w:t xml:space="preserve">Noise-induced hearing loss or tinnitus in AV operatives from prolonged exposure to impact drilling and cutting, Disturbance to Cicor Hartlepool staff working in adjacent areas causing disruption to business operations, Startling of site personnel causing secondary accidents such as trips or drops, Violation of agreed client noise restrictions leading to programme delays or site access withdrawal</w:t>
            </w:r>
          </w:p>
        </w:tc>
        <w:tc>
          <w:tcPr>
            <w:tcW w:w="665" w:type="dxa"/>
            <w:shd w:val="clear" w:fill="F0FBFC"/>
            <w:noWrap/>
          </w:tcPr>
          <w:p>
            <w:pPr/>
            <w:r>
              <w:rPr/>
              <w:t xml:space="preserve">3</w:t>
            </w:r>
          </w:p>
        </w:tc>
        <w:tc>
          <w:tcPr>
            <w:tcW w:w="665" w:type="dxa"/>
            <w:shd w:val="clear" w:fill="F0FBFC"/>
            <w:noWrap/>
          </w:tcPr>
          <w:p>
            <w:pPr/>
            <w:r>
              <w:rPr/>
              <w:t xml:space="preserve">3</w:t>
            </w:r>
          </w:p>
        </w:tc>
        <w:tc>
          <w:tcPr>
            <w:tcW w:w="800" w:type="dxa"/>
            <w:shd w:val="clear" w:fill="FFF3CD"/>
            <w:noWrap/>
          </w:tcPr>
          <w:p>
            <w:pPr/>
            <w:r>
              <w:rPr/>
              <w:t xml:space="preserve">9</w:t>
            </w:r>
          </w:p>
        </w:tc>
        <w:tc>
          <w:tcPr>
            <w:tcW w:w="5308" w:type="dxa"/>
            <w:shd w:val="clear" w:fill="F0FBFC"/>
            <w:noWrap/>
          </w:tcPr>
          <w:p>
            <w:pPr/>
            <w:r>
              <w:rPr>
                <w:rFonts w:ascii="Arial" w:hAnsi="Arial" w:eastAsia="Arial" w:cs="Arial"/>
                <w:color w:val="333333"/>
                <w:sz w:val="18"/>
                <w:szCs w:val="18"/>
              </w:rPr>
              <w:t xml:space="preserve">Carry out a noise assessment in accordance with the Control of Noise at Work Regulations 2005; identify all noisy activities (impact drilling, core drilling, cable pulling) and schedule them within agreed noisy-works windows confirmed in advance with the client facilities manager., All operatives must wear EN 352-rated ear defenders or disposable ear plugs (minimum SNR 25 dB) during all drilling and cutting operations; hearing protection must be selected in accordance with the Personal Protective Equipment at Work Regulations 2022 and HSE guidance HSG260., Erect temporary acoustic hoarding or heavy-duty acoustic curtains at the entrance to the training room to reduce noise breakout to adjacent occupied areas wherever this is practicable within the room layout., Specify and use the quietest practicable tools for each task; for example, use SDS rotary drill rather than breaker mode where substrate allows, and select battery-powered tools over corded equivalents where this reduces noise emission, in accordance with HSE guidance on noise control hierarchy under MHSWR 1999., Notify all client personnel in adjacent areas of planned noisy works periods at least 24 hours in advance via the client project point of contact; confirm noise management arrangements in the project programme and site induction.</w:t>
            </w:r>
          </w:p>
        </w:tc>
        <w:tc>
          <w:tcPr>
            <w:tcW w:w="665" w:type="dxa"/>
            <w:shd w:val="clear" w:fill="F0FBFC"/>
            <w:noWrap/>
          </w:tcPr>
          <w:p>
            <w:pPr/>
            <w:r>
              <w:rPr/>
              <w:t xml:space="preserve">2</w:t>
            </w:r>
          </w:p>
        </w:tc>
        <w:tc>
          <w:tcPr>
            <w:tcW w:w="665" w:type="dxa"/>
            <w:shd w:val="clear" w:fill="F0FBFC"/>
            <w:noWrap/>
          </w:tcPr>
          <w:p>
            <w:pPr/>
            <w:r>
              <w:rPr/>
              <w:t xml:space="preserve">2</w:t>
            </w:r>
          </w:p>
        </w:tc>
        <w:tc>
          <w:tcPr>
            <w:tcW w:w="800" w:type="dxa"/>
            <w:shd w:val="clear" w:fill="D4EDDA"/>
            <w:noWrap/>
          </w:tcPr>
          <w:p>
            <w:pPr/>
            <w:r>
              <w:rPr/>
              <w:t xml:space="preserve">4</w:t>
            </w:r>
          </w:p>
        </w:tc>
      </w:tr>
      <w:tr>
        <w:trPr/>
        <w:tc>
          <w:tcPr>
            <w:tcW w:w="2650" w:type="dxa"/>
            <w:shd w:val="clear" w:fill="FFFFFF"/>
            <w:noWrap/>
          </w:tcPr>
          <w:p>
            <w:pPr/>
            <w:r>
              <w:rPr>
                <w:rFonts w:ascii="Arial" w:hAnsi="Arial" w:eastAsia="Arial" w:cs="Arial"/>
                <w:color w:val="333333"/>
                <w:sz w:val="18"/>
                <w:szCs w:val="18"/>
                <w:b w:val="1"/>
                <w:bCs w:val="1"/>
              </w:rPr>
              <w:t xml:space="preserve">Lone working during configuration or out-of-hours activities</w:t>
            </w:r>
          </w:p>
        </w:tc>
        <w:tc>
          <w:tcPr>
            <w:tcW w:w="2920" w:type="dxa"/>
            <w:shd w:val="clear" w:fill="FFFFFF"/>
            <w:noWrap/>
          </w:tcPr>
          <w:p>
            <w:pPr/>
            <w:r>
              <w:rPr>
                <w:rFonts w:ascii="Arial" w:hAnsi="Arial" w:eastAsia="Arial" w:cs="Arial"/>
                <w:color w:val="333333"/>
                <w:sz w:val="18"/>
                <w:szCs w:val="18"/>
              </w:rPr>
              <w:t xml:space="preserve">Operative taken ill or injured with no colleague present to summon assistance, leading to delayed emergency response, Security incident or personal assault risk elevated in an unstaffed building during out-of-hours working, Operative unable to raise the alarm in the event of a medical emergency such as cardiac arrest or fall, Out-of-hours work creating untested fire evacuation scenario with no site personnel available to assist</w:t>
            </w:r>
          </w:p>
        </w:tc>
        <w:tc>
          <w:tcPr>
            <w:tcW w:w="665" w:type="dxa"/>
            <w:shd w:val="clear" w:fill="FFFFFF"/>
            <w:noWrap/>
          </w:tcPr>
          <w:p>
            <w:pPr/>
            <w:r>
              <w:rPr/>
              <w:t xml:space="preserve">3</w:t>
            </w:r>
          </w:p>
        </w:tc>
        <w:tc>
          <w:tcPr>
            <w:tcW w:w="665" w:type="dxa"/>
            <w:shd w:val="clear" w:fill="FFFFFF"/>
            <w:noWrap/>
          </w:tcPr>
          <w:p>
            <w:pPr/>
            <w:r>
              <w:rPr/>
              <w:t xml:space="preserve">4</w:t>
            </w:r>
          </w:p>
        </w:tc>
        <w:tc>
          <w:tcPr>
            <w:tcW w:w="800" w:type="dxa"/>
            <w:shd w:val="clear" w:fill="FFD0A0"/>
            <w:noWrap/>
          </w:tcPr>
          <w:p>
            <w:pPr/>
            <w:r>
              <w:rPr/>
              <w:t xml:space="preserve">12</w:t>
            </w:r>
          </w:p>
        </w:tc>
        <w:tc>
          <w:tcPr>
            <w:tcW w:w="5308" w:type="dxa"/>
            <w:shd w:val="clear" w:fill="FFFFFF"/>
            <w:noWrap/>
          </w:tcPr>
          <w:p>
            <w:pPr/>
            <w:r>
              <w:rPr>
                <w:rFonts w:ascii="Arial" w:hAnsi="Arial" w:eastAsia="Arial" w:cs="Arial"/>
                <w:color w:val="333333"/>
                <w:sz w:val="18"/>
                <w:szCs w:val="18"/>
              </w:rPr>
              <w:t xml:space="preserve">Comply with MHSWR 1999 Regulation 3 and HSE guidance on lone working; complete a dedicated lone-working risk assessment before any configuration or out-of-hours activities are undertaken; this assessment must be reviewed and signed off by the AV company's responsible manager., Implement a formal check-in/check-out procedure for lone working; the operative must contact a nominated colleague or manager at agreed intervals (maximum two hours) and on arrival and departure; failure to check in must trigger a welfare check and, if necessary, emergency services contact., Provide all lone workers with a personal safety device such as a man-down alarm, a fully charged mobile phone with emergency contacts pre-programmed, and confirm that adequate mobile signal is available in the training room; identify a backup communication method where signal is poor., Brief the lone worker on the site's fire evacuation procedures, first aid provisions, muster points and out-of-hours emergency contact numbers before any out-of-hours work commences; ensure the operative has access to a first aid kit and knows the location of the nearest AED., Where possible, lone working should be avoided by scheduling configuration and testing activities during normal business hours with at least two operatives on site; lone working may only be authorised where operationally unavoidable and subject to documented approval.</w:t>
            </w:r>
          </w:p>
        </w:tc>
        <w:tc>
          <w:tcPr>
            <w:tcW w:w="665" w:type="dxa"/>
            <w:shd w:val="clear" w:fill="FFFFFF"/>
            <w:noWrap/>
          </w:tcPr>
          <w:p>
            <w:pPr/>
            <w:r>
              <w:rPr/>
              <w:t xml:space="preserve">1</w:t>
            </w:r>
          </w:p>
        </w:tc>
        <w:tc>
          <w:tcPr>
            <w:tcW w:w="665" w:type="dxa"/>
            <w:shd w:val="clear" w:fill="FFFFFF"/>
            <w:noWrap/>
          </w:tcPr>
          <w:p>
            <w:pPr/>
            <w:r>
              <w:rPr/>
              <w:t xml:space="preserve">2</w:t>
            </w:r>
          </w:p>
        </w:tc>
        <w:tc>
          <w:tcPr>
            <w:tcW w:w="800" w:type="dxa"/>
            <w:shd w:val="clear" w:fill="D4EDDA"/>
            <w:noWrap/>
          </w:tcPr>
          <w:p>
            <w:pPr/>
            <w:r>
              <w:rPr/>
              <w:t xml:space="preserve">2</w:t>
            </w:r>
          </w:p>
        </w:tc>
      </w:tr>
      <w:tr>
        <w:trPr/>
        <w:tc>
          <w:tcPr>
            <w:tcW w:w="2650" w:type="dxa"/>
            <w:shd w:val="clear" w:fill="F0FBFC"/>
            <w:noWrap/>
          </w:tcPr>
          <w:p>
            <w:pPr/>
            <w:r>
              <w:rPr>
                <w:rFonts w:ascii="Arial" w:hAnsi="Arial" w:eastAsia="Arial" w:cs="Arial"/>
                <w:color w:val="333333"/>
                <w:sz w:val="18"/>
                <w:szCs w:val="18"/>
                <w:b w:val="1"/>
                <w:bCs w:val="1"/>
              </w:rPr>
              <w:t xml:space="preserve">Struck by falling objects when mounting display or ceiling devices</w:t>
            </w:r>
          </w:p>
        </w:tc>
        <w:tc>
          <w:tcPr>
            <w:tcW w:w="2920" w:type="dxa"/>
            <w:shd w:val="clear" w:fill="F0FBFC"/>
            <w:noWrap/>
          </w:tcPr>
          <w:p>
            <w:pPr/>
            <w:r>
              <w:rPr>
                <w:rFonts w:ascii="Arial" w:hAnsi="Arial" w:eastAsia="Arial" w:cs="Arial"/>
                <w:color w:val="333333"/>
                <w:sz w:val="18"/>
                <w:szCs w:val="18"/>
              </w:rPr>
              <w:t xml:space="preserve">Head injury or fatality to an operative below from a dropped display screen, ceiling microphone, loudspeaker or hand tool during overhead installation, Eye or face injury from dropped fixings, drill bits or cable management components, Damage to installed equipment below the work area if objects fall during ceiling works, Injury to client personnel who enter the work area without authorisation during overhead operations</w:t>
            </w:r>
          </w:p>
        </w:tc>
        <w:tc>
          <w:tcPr>
            <w:tcW w:w="665" w:type="dxa"/>
            <w:shd w:val="clear" w:fill="F0FBFC"/>
            <w:noWrap/>
          </w:tcPr>
          <w:p>
            <w:pPr/>
            <w:r>
              <w:rPr/>
              <w:t xml:space="preserve">3</w:t>
            </w:r>
          </w:p>
        </w:tc>
        <w:tc>
          <w:tcPr>
            <w:tcW w:w="665" w:type="dxa"/>
            <w:shd w:val="clear" w:fill="F0FBFC"/>
            <w:noWrap/>
          </w:tcPr>
          <w:p>
            <w:pPr/>
            <w:r>
              <w:rPr/>
              <w:t xml:space="preserve">5</w:t>
            </w:r>
          </w:p>
        </w:tc>
        <w:tc>
          <w:tcPr>
            <w:tcW w:w="800" w:type="dxa"/>
            <w:shd w:val="clear" w:fill="FFDEDE"/>
            <w:noWrap/>
          </w:tcPr>
          <w:p>
            <w:pPr/>
            <w:r>
              <w:rPr/>
              <w:t xml:space="preserve">15</w:t>
            </w:r>
          </w:p>
        </w:tc>
        <w:tc>
          <w:tcPr>
            <w:tcW w:w="5308" w:type="dxa"/>
            <w:shd w:val="clear" w:fill="F0FBFC"/>
            <w:noWrap/>
          </w:tcPr>
          <w:p>
            <w:pPr/>
            <w:r>
              <w:rPr>
                <w:rFonts w:ascii="Arial" w:hAnsi="Arial" w:eastAsia="Arial" w:cs="Arial"/>
                <w:color w:val="333333"/>
                <w:sz w:val="18"/>
                <w:szCs w:val="18"/>
              </w:rPr>
              <w:t xml:space="preserve">Establish and maintain a clearly marked exclusion zone beneath all overhead working areas using physical barriers (crowd control barriers or barrier tape on stands) and safety signage before any ceiling or wall-mounting activities commence; comply with WAHR 2005 and HSE guidance HSG150., All operatives working beneath or adjacent to overhead installation activities must wear</w:t>
            </w:r>
          </w:p>
        </w:tc>
        <w:tc>
          <w:tcPr>
            <w:tcW w:w="665" w:type="dxa"/>
            <w:shd w:val="clear" w:fill="F0FBFC"/>
            <w:noWrap/>
          </w:tcPr>
          <w:p>
            <w:pPr/>
            <w:r>
              <w:rPr/>
              <w:t xml:space="preserve">1</w:t>
            </w:r>
          </w:p>
        </w:tc>
        <w:tc>
          <w:tcPr>
            <w:tcW w:w="665" w:type="dxa"/>
            <w:shd w:val="clear" w:fill="F0FBFC"/>
            <w:noWrap/>
          </w:tcPr>
          <w:p>
            <w:pPr/>
            <w:r>
              <w:rPr/>
              <w:t xml:space="preserve">1</w:t>
            </w:r>
          </w:p>
        </w:tc>
        <w:tc>
          <w:tcPr>
            <w:tcW w:w="800" w:type="dxa"/>
            <w:shd w:val="clear" w:fill="D4EDDA"/>
            <w:noWrap/>
          </w:tcPr>
          <w:p>
            <w:pPr/>
            <w:r>
              <w:rPr/>
              <w:t xml:space="preserve">1</w:t>
            </w:r>
          </w:p>
        </w:tc>
      </w:tr>
    </w:tbl>
    <w:p>
      <w:pPr>
        <w:sectPr>
          <w:footerReference w:type="default" r:id="rId8"/>
          <w:pgSz w:orient="landscape" w:w="16837.79527559055" w:h="11905.511811023622"/>
          <w:pgMar w:top="850" w:right="850" w:bottom="850" w:left="850" w:header="720" w:footer="720" w:gutter="0"/>
          <w:cols w:num="1" w:space="720"/>
        </w:sectPr>
      </w:pPr>
    </w:p>
    <w:tbl>
      <w:tblGrid>
        <w:gridCol w:w="500" w:type="dxa"/>
        <w:gridCol w:w="9366" w:type="dxa"/>
      </w:tblGrid>
      <w:tblPr>
        <w:tblW w:w="0" w:type="auto"/>
        <w:tblLayout w:type="autofit"/>
        <w:tblCellMar>
          <w:top w:w="60" w:type="dxa"/>
          <w:left w:w="80" w:type="dxa"/>
          <w:right w:w="8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tcW w:w="500" w:type="dxa"/>
            <w:shd w:val="clear" w:fill="FFFFFF"/>
            <w:noWrap/>
          </w:tcPr>
          <w:p>
            <w:pPr/>
            <w:r>
              <w:rPr>
                <w:rFonts w:ascii="Arial" w:hAnsi="Arial" w:eastAsia="Arial" w:cs="Arial"/>
                <w:color w:val="333333"/>
                <w:sz w:val="18"/>
                <w:szCs w:val="18"/>
                <w:b w:val="1"/>
                <w:bCs w:val="1"/>
              </w:rPr>
              <w:t xml:space="preserve">1.</w:t>
            </w:r>
          </w:p>
        </w:tc>
        <w:tc>
          <w:tcPr>
            <w:tcW w:w="9366" w:type="dxa"/>
            <w:shd w:val="clear" w:fill="FFFFFF"/>
            <w:noWrap/>
          </w:tcPr>
          <w:p>
            <w:pPr/>
            <w:r>
              <w:rPr>
                <w:rFonts w:ascii="Arial" w:hAnsi="Arial" w:eastAsia="Arial" w:cs="Arial"/>
                <w:color w:val="333333"/>
                <w:sz w:val="18"/>
                <w:szCs w:val="18"/>
              </w:rPr>
              <w:t xml:space="preserve">Works to be carried out by 21st Century AV Ltd engineers following site induction and risk briefing.</w:t>
            </w:r>
          </w:p>
        </w:tc>
      </w:tr>
      <w:tr>
        <w:trPr/>
        <w:tc>
          <w:tcPr>
            <w:tcW w:w="500" w:type="dxa"/>
            <w:shd w:val="clear" w:fill="F0FBFC"/>
            <w:noWrap/>
          </w:tcPr>
          <w:p>
            <w:pPr/>
            <w:r>
              <w:rPr>
                <w:rFonts w:ascii="Arial" w:hAnsi="Arial" w:eastAsia="Arial" w:cs="Arial"/>
                <w:color w:val="333333"/>
                <w:sz w:val="18"/>
                <w:szCs w:val="18"/>
                <w:b w:val="1"/>
                <w:bCs w:val="1"/>
              </w:rPr>
              <w:t xml:space="preserve">2.</w:t>
            </w:r>
          </w:p>
        </w:tc>
        <w:tc>
          <w:tcPr>
            <w:tcW w:w="9366" w:type="dxa"/>
            <w:shd w:val="clear" w:fill="F0FBFC"/>
            <w:noWrap/>
          </w:tcPr>
          <w:p>
            <w:pPr/>
            <w:r>
              <w:rPr>
                <w:rFonts w:ascii="Arial" w:hAnsi="Arial" w:eastAsia="Arial" w:cs="Arial"/>
                <w:color w:val="333333"/>
                <w:sz w:val="18"/>
                <w:szCs w:val="18"/>
              </w:rPr>
              <w:t xml:space="preserve">TBC, N/A, AV equipment as per quote</w:t>
            </w:r>
          </w:p>
        </w:tc>
      </w:tr>
      <w:tr>
        <w:trPr/>
        <w:tc>
          <w:tcPr>
            <w:tcW w:w="500" w:type="dxa"/>
            <w:shd w:val="clear" w:fill="FFFFFF"/>
            <w:noWrap/>
          </w:tcPr>
          <w:p>
            <w:pPr/>
            <w:r>
              <w:rPr>
                <w:rFonts w:ascii="Arial" w:hAnsi="Arial" w:eastAsia="Arial" w:cs="Arial"/>
                <w:color w:val="333333"/>
                <w:sz w:val="18"/>
                <w:szCs w:val="18"/>
                <w:b w:val="1"/>
                <w:bCs w:val="1"/>
              </w:rPr>
              <w:t xml:space="preserve">3.</w:t>
            </w:r>
          </w:p>
        </w:tc>
        <w:tc>
          <w:tcPr>
            <w:tcW w:w="9366" w:type="dxa"/>
            <w:shd w:val="clear" w:fill="FFFFFF"/>
            <w:noWrap/>
          </w:tcPr>
          <w:p>
            <w:pPr/>
            <w:r>
              <w:rPr>
                <w:rFonts w:ascii="Arial" w:hAnsi="Arial" w:eastAsia="Arial" w:cs="Arial"/>
                <w:color w:val="333333"/>
                <w:sz w:val="18"/>
                <w:szCs w:val="18"/>
              </w:rPr>
              <w:t xml:space="preserve">Structural works, Client, Any structural modifications are excluded from this scope</w:t>
            </w:r>
          </w:p>
        </w:tc>
      </w:tr>
      <w:tr>
        <w:trPr/>
        <w:tc>
          <w:tcPr>
            <w:tcW w:w="500" w:type="dxa"/>
            <w:shd w:val="clear" w:fill="F0FBFC"/>
            <w:noWrap/>
          </w:tcPr>
          <w:p>
            <w:pPr/>
            <w:r>
              <w:rPr>
                <w:rFonts w:ascii="Arial" w:hAnsi="Arial" w:eastAsia="Arial" w:cs="Arial"/>
                <w:color w:val="333333"/>
                <w:sz w:val="18"/>
                <w:szCs w:val="18"/>
                <w:b w:val="1"/>
                <w:bCs w:val="1"/>
              </w:rPr>
              <w:t xml:space="preserve">4.</w:t>
            </w:r>
          </w:p>
        </w:tc>
        <w:tc>
          <w:tcPr>
            <w:tcW w:w="9366" w:type="dxa"/>
            <w:shd w:val="clear" w:fill="F0FBFC"/>
            <w:noWrap/>
          </w:tcPr>
          <w:p>
            <w:pPr/>
            <w:r>
              <w:rPr>
                <w:rFonts w:ascii="Arial" w:hAnsi="Arial" w:eastAsia="Arial" w:cs="Arial"/>
                <w:color w:val="333333"/>
                <w:sz w:val="18"/>
                <w:szCs w:val="18"/>
              </w:rPr>
              <w:t xml:space="preserve">Complete site induction before commencing work, Brief all engineers on this RAMS before work begins, Maintain tidy work area throughout</w:t>
            </w:r>
          </w:p>
        </w:tc>
      </w:tr>
      <w:tr>
        <w:trPr/>
        <w:tc>
          <w:tcPr>
            <w:tcW w:w="500" w:type="dxa"/>
            <w:shd w:val="clear" w:fill="FFFFFF"/>
            <w:noWrap/>
          </w:tcPr>
          <w:p>
            <w:pPr/>
            <w:r>
              <w:rPr>
                <w:rFonts w:ascii="Arial" w:hAnsi="Arial" w:eastAsia="Arial" w:cs="Arial"/>
                <w:color w:val="333333"/>
                <w:sz w:val="18"/>
                <w:szCs w:val="18"/>
                <w:b w:val="1"/>
                <w:bCs w:val="1"/>
              </w:rPr>
              <w:t xml:space="preserve">5.</w:t>
            </w:r>
          </w:p>
        </w:tc>
        <w:tc>
          <w:tcPr>
            <w:tcW w:w="9366" w:type="dxa"/>
            <w:shd w:val="clear" w:fill="FFFFFF"/>
            <w:noWrap/>
          </w:tcPr>
          <w:p>
            <w:pPr/>
            <w:r>
              <w:rPr>
                <w:rFonts w:ascii="Arial" w:hAnsi="Arial" w:eastAsia="Arial" w:cs="Arial"/>
                <w:color w:val="333333"/>
                <w:sz w:val="18"/>
                <w:szCs w:val="18"/>
              </w:rPr>
              <w:t xml:space="preserve">Phase 1: Installation, Supply and install AV equipment as quoted., Deliver equipment to site, Install and connect all AV equipment, Cable and terminate all connections</w:t>
            </w:r>
          </w:p>
        </w:tc>
      </w:tr>
      <w:tr>
        <w:trPr/>
        <w:tc>
          <w:tcPr>
            <w:tcW w:w="500" w:type="dxa"/>
            <w:shd w:val="clear" w:fill="F0FBFC"/>
            <w:noWrap/>
          </w:tcPr>
          <w:p>
            <w:pPr/>
            <w:r>
              <w:rPr>
                <w:rFonts w:ascii="Arial" w:hAnsi="Arial" w:eastAsia="Arial" w:cs="Arial"/>
                <w:color w:val="333333"/>
                <w:sz w:val="18"/>
                <w:szCs w:val="18"/>
                <w:b w:val="1"/>
                <w:bCs w:val="1"/>
              </w:rPr>
              <w:t xml:space="preserve">6.</w:t>
            </w:r>
          </w:p>
        </w:tc>
        <w:tc>
          <w:tcPr>
            <w:tcW w:w="9366" w:type="dxa"/>
            <w:shd w:val="clear" w:fill="F0FBFC"/>
            <w:noWrap/>
          </w:tcPr>
          <w:p>
            <w:pPr/>
            <w:r>
              <w:rPr>
                <w:rFonts w:ascii="Arial" w:hAnsi="Arial" w:eastAsia="Arial" w:cs="Arial"/>
                <w:color w:val="333333"/>
                <w:sz w:val="18"/>
                <w:szCs w:val="18"/>
              </w:rPr>
              <w:t xml:space="preserve">Test all AV equipment on completion, Check all fixings are secure, Clean and remove all waste from site</w:t>
            </w:r>
          </w:p>
        </w:tc>
      </w:tr>
    </w:tbl>
    <w:p>
      <w:pPr>
        <w:sectPr>
          <w:footerReference w:type="default" r:id="rId9"/>
          <w:pgSz w:orient="portrait" w:w="11905.511811023622" w:h="16837.79527559055"/>
          <w:pgMar w:top="1020" w:right="1020" w:bottom="1020" w:left="1020" w:header="720" w:footer="720" w:gutter="0"/>
          <w:cols w:num="1" w:space="720"/>
        </w:sectPr>
      </w:pPr>
    </w:p>
    <w:tbl>
      <w:tblGrid>
        <w:gridCol w:w="3500" w:type="dxa"/>
        <w:gridCol w:w="3500" w:type="dxa"/>
        <w:gridCol w:w="2866" w:type="dxa"/>
      </w:tblGrid>
      <w:tblPr>
        <w:tblW w:w="0" w:type="auto"/>
        <w:tblLayout w:type="autofit"/>
        <w:tblCellMar>
          <w:top w:w="60" w:type="dxa"/>
          <w:left w:w="80" w:type="dxa"/>
          <w:right w:w="8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r>
        <w:trPr/>
        <w:tc>
          <w:tcPr>
            <w:tcW w:w="3500" w:type="dxa"/>
            <w:noWrap/>
          </w:tcPr>
          <w:p>
            <w:pPr/>
            <w:r>
              <w:rPr/>
              <w:t xml:space="preserve"/>
            </w:r>
          </w:p>
        </w:tc>
        <w:tc>
          <w:tcPr>
            <w:tcW w:w="3500" w:type="dxa"/>
            <w:noWrap/>
          </w:tcPr>
          <w:p>
            <w:pPr/>
            <w:r>
              <w:rPr/>
              <w:t xml:space="preserve"/>
            </w:r>
          </w:p>
        </w:tc>
        <w:tc>
          <w:tcPr>
            <w:tcW w:w="2866" w:type="dxa"/>
            <w:noWrap/>
          </w:tcPr>
          <w:p>
            <w:pPr/>
            <w:r>
              <w:rPr/>
              <w:t xml:space="preserve"/>
            </w:r>
          </w:p>
        </w:tc>
      </w:tr>
    </w:tbl>
    <w:sectPr>
      <w:footerReference w:type="default" r:id="rId10"/>
      <w:pgSz w:orient="portrait" w:w="11905.511811023622" w:h="16837.79527559055"/>
      <w:pgMar w:top="1020" w:right="1020" w:bottom="1020" w:left="102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footer" Target="footer4.xml"/><Relationship Id="rId9" Type="http://schemas.openxmlformats.org/officeDocument/2006/relationships/footer" Target="footer7.xml"/><Relationship Id="rId1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2026-03-12T22:10:17+00:00</dcterms:created>
  <dcterms:modified xsi:type="dcterms:W3CDTF">2026-03-12T22:10:17+00:00</dcterms:modified>
</cp:coreProperties>
</file>

<file path=docProps/custom.xml><?xml version="1.0" encoding="utf-8"?>
<Properties xmlns="http://schemas.openxmlformats.org/officeDocument/2006/custom-properties" xmlns:vt="http://schemas.openxmlformats.org/officeDocument/2006/docPropsVTypes"/>
</file>