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6DF5E" w14:textId="6E23A336" w:rsidR="00914B3A" w:rsidRPr="000D36C4" w:rsidRDefault="00914B3A" w:rsidP="00445EDB">
      <w:pPr>
        <w:pStyle w:val="Title"/>
      </w:pPr>
      <w:bookmarkStart w:id="0" w:name="_cp_blt_1_13"/>
      <w:bookmarkStart w:id="1" w:name="_cp_text_1_4"/>
      <w:bookmarkStart w:id="2" w:name="_cp_blt_1_20"/>
      <w:bookmarkStart w:id="3" w:name="_cp_blt_2_19"/>
      <w:bookmarkStart w:id="4" w:name="_Ref42252596"/>
      <w:bookmarkStart w:id="5" w:name="_cp_text_1_16"/>
      <w:bookmarkStart w:id="6" w:name="_cp_blt_1_35"/>
      <w:bookmarkStart w:id="7" w:name="_cp_blt_2_34"/>
      <w:bookmarkStart w:id="8" w:name="_Ref42252597"/>
      <w:bookmarkStart w:id="9" w:name="_cp_text_1_22"/>
      <w:bookmarkStart w:id="10" w:name="_Ref42252598"/>
      <w:bookmarkStart w:id="11" w:name="_cp_text_1_26"/>
      <w:bookmarkStart w:id="12" w:name="_Ref42252599"/>
      <w:bookmarkStart w:id="13" w:name="_cp_text_1_31"/>
      <w:bookmarkStart w:id="14" w:name="_cp_blt_2_58"/>
      <w:bookmarkStart w:id="15" w:name="_DV_C86"/>
      <w:bookmarkStart w:id="16" w:name="_DV_C111"/>
      <w:bookmarkStart w:id="17" w:name="_DV_C117"/>
      <w:bookmarkStart w:id="18" w:name="_DV_C137"/>
      <w:bookmarkStart w:id="19" w:name="_DV_C149"/>
      <w:bookmarkStart w:id="20" w:name="_DV_C153"/>
      <w:bookmarkStart w:id="21" w:name="_cp_blt_1_113"/>
      <w:bookmarkStart w:id="22" w:name="_cp_text_2_112"/>
      <w:bookmarkStart w:id="23" w:name="_DV_C172"/>
      <w:bookmarkStart w:id="24" w:name="_cp_blt_1_138"/>
      <w:bookmarkStart w:id="25" w:name="_cp_text_2_137"/>
      <w:bookmarkStart w:id="26" w:name="_cp_blt_1_140"/>
      <w:bookmarkStart w:id="27" w:name="_cp_blt_2_139"/>
      <w:bookmarkStart w:id="28" w:name="_cp_blt_1_147"/>
      <w:bookmarkStart w:id="29" w:name="_cp_blt_2_146"/>
      <w:bookmarkStart w:id="30" w:name="_Hlk43726503"/>
      <w:r>
        <w:t>[AMENDED AND RESTATED] INVESTORS’ RIGHTS AGREEMENT</w:t>
      </w:r>
    </w:p>
    <w:p w14:paraId="6B04044B" w14:textId="271D42CB" w:rsidR="00914B3A" w:rsidRPr="000D36C4" w:rsidRDefault="00914B3A" w:rsidP="004156F9">
      <w:pPr>
        <w:pStyle w:val="BodyText"/>
        <w:spacing w:after="240"/>
        <w:ind w:firstLine="0"/>
      </w:pPr>
      <w:r>
        <w:t>THIS [AMENDED AND RESTATED] INVESTORS’ RIGHTS AGREEMENT (this “</w:t>
      </w:r>
      <w:r>
        <w:rPr>
          <w:b/>
        </w:rPr>
        <w:t>Agreement</w:t>
      </w:r>
      <w:r>
        <w:t>”), is made as of [________], 20[__], by and among [____________], a Delaware corporation (the “</w:t>
      </w:r>
      <w:bookmarkStart w:id="31" w:name="_9kR3WTr19A45DQFwynmB"/>
      <w:bookmarkStart w:id="32" w:name="_9kR3WTr19A46COFwynmB"/>
      <w:bookmarkStart w:id="33" w:name="_9kR3WTr24457AMFwynmB"/>
      <w:bookmarkStart w:id="34" w:name="_9kR3WTr24458ALFwynmB"/>
      <w:r>
        <w:rPr>
          <w:b/>
        </w:rPr>
        <w:t>Company</w:t>
      </w:r>
      <w:bookmarkEnd w:id="31"/>
      <w:bookmarkEnd w:id="32"/>
      <w:bookmarkEnd w:id="33"/>
      <w:bookmarkEnd w:id="34"/>
      <w:r>
        <w:t>”), and the Investors (as defined below).</w:t>
      </w:r>
    </w:p>
    <w:p w14:paraId="1425A7B6" w14:textId="29691446" w:rsidR="00914B3A" w:rsidRPr="000D36C4" w:rsidRDefault="00914B3A" w:rsidP="00445EDB">
      <w:pPr>
        <w:pStyle w:val="Title"/>
      </w:pPr>
      <w:r>
        <w:t>RECITALS</w:t>
      </w:r>
    </w:p>
    <w:p w14:paraId="446E8E00" w14:textId="66149E3B" w:rsidR="00914B3A" w:rsidRPr="000D36C4" w:rsidRDefault="00F80A21" w:rsidP="00445EDB">
      <w:pPr>
        <w:pStyle w:val="BodyText"/>
      </w:pPr>
      <w:r>
        <w:rPr>
          <w:bCs/>
        </w:rPr>
        <w:t>[</w:t>
      </w:r>
      <w:r w:rsidR="00350527">
        <w:rPr>
          <w:b/>
        </w:rPr>
        <w:t>WHEREAS</w:t>
      </w:r>
      <w:r w:rsidR="00350527">
        <w:t>, certain of the Investors (the “</w:t>
      </w:r>
      <w:bookmarkStart w:id="35" w:name="_9kR3WTr24456APQ1x90vuQSC42IFEJ"/>
      <w:r w:rsidR="00350527">
        <w:rPr>
          <w:b/>
        </w:rPr>
        <w:t>Existing Investors</w:t>
      </w:r>
      <w:bookmarkEnd w:id="35"/>
      <w:r w:rsidR="00350527">
        <w:t>”) hold shares of [</w:t>
      </w:r>
      <w:bookmarkStart w:id="36" w:name="_9kR3WTr26647EfLrwkv"/>
      <w:r w:rsidR="00350527">
        <w:t>Series</w:t>
      </w:r>
      <w:bookmarkEnd w:id="36"/>
      <w:r w:rsidR="00350527">
        <w:t xml:space="preserve"> [_]] Preferred Stock and/or shares of Common Stock issued upon conversion thereof and possess registration rights, information rights, rights of first offer, and other rights</w:t>
      </w:r>
      <w:r w:rsidR="00350527">
        <w:rPr>
          <w:lang w:eastAsia="en-US"/>
        </w:rPr>
        <w:t xml:space="preserve"> </w:t>
      </w:r>
      <w:r w:rsidR="00350527">
        <w:t>pursuant to that certain Investors’ Rights Agreement dated as of [_________ __, 20__], by and among the Company and such Existing Investors (the “</w:t>
      </w:r>
      <w:r w:rsidR="00350527">
        <w:rPr>
          <w:b/>
        </w:rPr>
        <w:t>Prior Agreement</w:t>
      </w:r>
      <w:r w:rsidR="00350527">
        <w:t xml:space="preserve">”); </w:t>
      </w:r>
    </w:p>
    <w:p w14:paraId="604A7B4D" w14:textId="0755B6DC" w:rsidR="00914B3A" w:rsidRPr="000D36C4" w:rsidRDefault="00914B3A" w:rsidP="00445EDB">
      <w:pPr>
        <w:pStyle w:val="BodyText"/>
      </w:pPr>
      <w:r>
        <w:rPr>
          <w:b/>
        </w:rPr>
        <w:t>WHEREAS</w:t>
      </w:r>
      <w:r>
        <w:t xml:space="preserve">, the undersigned Existing Investors are </w:t>
      </w:r>
      <w:bookmarkStart w:id="37" w:name="_9kMHG5YVt46678GYMxnhw"/>
      <w:bookmarkStart w:id="38" w:name="_9kMHG5YVt46679BSMxnhw"/>
      <w:r>
        <w:t>holders</w:t>
      </w:r>
      <w:bookmarkEnd w:id="37"/>
      <w:bookmarkEnd w:id="38"/>
      <w:r>
        <w:t xml:space="preserve"> of</w:t>
      </w:r>
      <w:r>
        <w:rPr>
          <w:lang w:eastAsia="en-US"/>
        </w:rPr>
        <w:t xml:space="preserve"> a </w:t>
      </w:r>
      <w:r>
        <w:t>sufficient number of the securities of the Company as are required to amend the Prior Agreement, and desire to amend and restate the Prior Agreement in its entirety and to accept the rights created pursuant to this Agreement in lieu of the rights granted to them under the Prior Agreement; and</w:t>
      </w:r>
      <w:r w:rsidR="00F80A21">
        <w:t>]</w:t>
      </w:r>
    </w:p>
    <w:p w14:paraId="246928FE" w14:textId="678A2EEB" w:rsidR="00914B3A" w:rsidRPr="000D36C4" w:rsidRDefault="00914B3A" w:rsidP="00445EDB">
      <w:pPr>
        <w:pStyle w:val="BodyText"/>
      </w:pPr>
      <w:r>
        <w:rPr>
          <w:b/>
        </w:rPr>
        <w:t>WHEREAS</w:t>
      </w:r>
      <w:r>
        <w:t xml:space="preserve">, </w:t>
      </w:r>
      <w:r w:rsidR="00F80A21">
        <w:t>the Company and [</w:t>
      </w:r>
      <w:r>
        <w:t>certain of</w:t>
      </w:r>
      <w:r w:rsidR="00F80A21">
        <w:t>]</w:t>
      </w:r>
      <w:r>
        <w:t xml:space="preserve"> the Investors are parties to that certain </w:t>
      </w:r>
      <w:bookmarkStart w:id="39" w:name="_9kMHG5YVt48869GhNtymx"/>
      <w:r>
        <w:t>Series</w:t>
      </w:r>
      <w:bookmarkEnd w:id="39"/>
      <w:r>
        <w:t xml:space="preserve"> </w:t>
      </w:r>
      <w:r w:rsidR="009A5F80">
        <w:t xml:space="preserve">A </w:t>
      </w:r>
      <w:r>
        <w:t>Preferred Stock Purchase Agreement of even date herewith by and among the Company and such Investors (the “</w:t>
      </w:r>
      <w:bookmarkStart w:id="40" w:name="_9kMHG5YVt3BC69AYa9sjiuzIF32qz02I"/>
      <w:r>
        <w:rPr>
          <w:b/>
        </w:rPr>
        <w:t>Purchase Agreement</w:t>
      </w:r>
      <w:bookmarkEnd w:id="40"/>
      <w:r>
        <w:t>”), under which certain of the Company’s and such Investors’ obligations are conditioned upon the execution and delivery of this Agreement by the undersigned parties</w:t>
      </w:r>
      <w:r w:rsidR="00F80A21">
        <w:t>.</w:t>
      </w:r>
    </w:p>
    <w:p w14:paraId="715660F4" w14:textId="77777777" w:rsidR="00914B3A" w:rsidRDefault="00914B3A" w:rsidP="00445EDB">
      <w:pPr>
        <w:pStyle w:val="BodyText"/>
        <w:rPr>
          <w:lang w:eastAsia="en-US"/>
        </w:rPr>
      </w:pPr>
      <w:r>
        <w:rPr>
          <w:b/>
        </w:rPr>
        <w:t>NOW, THEREFORE</w:t>
      </w:r>
      <w:r>
        <w:t xml:space="preserve">, the </w:t>
      </w:r>
      <w:r>
        <w:rPr>
          <w:lang w:eastAsia="en-US"/>
        </w:rPr>
        <w:t>parties agree as follows:</w:t>
      </w:r>
    </w:p>
    <w:p w14:paraId="3497754F" w14:textId="7B28F40D" w:rsidR="00422191" w:rsidRPr="009C4C40" w:rsidRDefault="00422191" w:rsidP="00422191">
      <w:pPr>
        <w:pStyle w:val="BodyText"/>
        <w:ind w:firstLine="0"/>
      </w:pPr>
      <w:r>
        <w:t xml:space="preserve">This Agreement is one of the forms available at </w:t>
      </w:r>
      <w:hyperlink r:id="rId12" w:history="1">
        <w:r w:rsidRPr="002017DE">
          <w:rPr>
            <w:rStyle w:val="Hyperlink"/>
          </w:rPr>
          <w:t>https://www.standardcap.com/</w:t>
        </w:r>
      </w:hyperlink>
      <w:r>
        <w:t xml:space="preserve"> and </w:t>
      </w:r>
      <w:r w:rsidR="00CD12BB">
        <w:t xml:space="preserve">each party hereto </w:t>
      </w:r>
      <w:r>
        <w:t xml:space="preserve">agrees that </w:t>
      </w:r>
      <w:r w:rsidR="00CD12BB">
        <w:t>it</w:t>
      </w:r>
      <w:r>
        <w:t xml:space="preserve"> has</w:t>
      </w:r>
      <w:r w:rsidR="00CD12BB">
        <w:t xml:space="preserve"> not</w:t>
      </w:r>
      <w:r>
        <w:t xml:space="preserve"> modified the form, except to fill in blanks and bracketed terms.</w:t>
      </w:r>
    </w:p>
    <w:p w14:paraId="19D251D3" w14:textId="77777777" w:rsidR="004E2D06" w:rsidRPr="004E2D06" w:rsidRDefault="00914B3A">
      <w:pPr>
        <w:pStyle w:val="Heading1"/>
        <w:rPr>
          <w:vanish/>
          <w:szCs w:val="22"/>
          <w:specVanish/>
        </w:rPr>
      </w:pPr>
      <w:r>
        <w:rPr>
          <w:szCs w:val="22"/>
          <w:u w:val="single"/>
        </w:rPr>
        <w:t>Definitions</w:t>
      </w:r>
      <w:bookmarkStart w:id="41" w:name="_Ref42252437"/>
    </w:p>
    <w:p w14:paraId="3499D5C2" w14:textId="77777777" w:rsidR="00914B3A" w:rsidRPr="000D36C4" w:rsidRDefault="00914B3A" w:rsidP="004E2D06">
      <w:pPr>
        <w:pStyle w:val="HeadingPara1"/>
      </w:pPr>
      <w:r>
        <w:t>. For purposes of this Agreement:</w:t>
      </w:r>
      <w:bookmarkEnd w:id="41"/>
    </w:p>
    <w:p w14:paraId="0CAA3F9B" w14:textId="7010FC24" w:rsidR="00914B3A" w:rsidRPr="000D36C4" w:rsidRDefault="00FB64F2">
      <w:pPr>
        <w:pStyle w:val="Heading8"/>
      </w:pPr>
      <w:bookmarkStart w:id="42" w:name="_Ref42252438"/>
      <w:r>
        <w:t>“</w:t>
      </w:r>
      <w:r>
        <w:rPr>
          <w:b/>
        </w:rPr>
        <w:t>Affiliate</w:t>
      </w:r>
      <w:r>
        <w:t xml:space="preserve">” means, with respect to any specified Person, any other Person who, directly or indirectly, controls, is controlled by, or is under common control with such Person, including, without limitation, any general partner, managing member, officer, director or trustee of such Person, or any venture capital fund or other investment fund now or hereafter existing that is controlled by one or more general partners, managing members or investment </w:t>
      </w:r>
      <w:r w:rsidR="00A61221">
        <w:t xml:space="preserve">advisers </w:t>
      </w:r>
      <w:r>
        <w:t xml:space="preserve">of, or shares the same management </w:t>
      </w:r>
      <w:bookmarkStart w:id="43" w:name="_9kMHG5YVt46679COHy0poD"/>
      <w:bookmarkStart w:id="44" w:name="_9kMHG5YVt4667ACNHy0poD"/>
      <w:r>
        <w:t>company</w:t>
      </w:r>
      <w:bookmarkEnd w:id="43"/>
      <w:bookmarkEnd w:id="44"/>
      <w:r>
        <w:t xml:space="preserve"> or investment adviser with, such Person.</w:t>
      </w:r>
      <w:bookmarkEnd w:id="42"/>
    </w:p>
    <w:p w14:paraId="7A56E5C3" w14:textId="77777777" w:rsidR="00914B3A" w:rsidRPr="000D36C4" w:rsidRDefault="00FB64F2">
      <w:pPr>
        <w:pStyle w:val="Heading8"/>
      </w:pPr>
      <w:bookmarkStart w:id="45" w:name="_Ref42252439"/>
      <w:r>
        <w:t>“</w:t>
      </w:r>
      <w:bookmarkStart w:id="46" w:name="_9kR3WTr24457CNEkosqtJH2zl1EDI"/>
      <w:bookmarkStart w:id="47" w:name="_9kR3WTr24458BLEkosqtJH2zl1EDI"/>
      <w:r>
        <w:rPr>
          <w:b/>
        </w:rPr>
        <w:t>Board of Directors</w:t>
      </w:r>
      <w:bookmarkEnd w:id="46"/>
      <w:bookmarkEnd w:id="47"/>
      <w:r>
        <w:t>” means the board of directors of the Company.</w:t>
      </w:r>
      <w:bookmarkEnd w:id="45"/>
    </w:p>
    <w:p w14:paraId="72B95C7A" w14:textId="77777777" w:rsidR="00914B3A" w:rsidRPr="000D36C4" w:rsidRDefault="00FB64F2">
      <w:pPr>
        <w:pStyle w:val="Heading8"/>
      </w:pPr>
      <w:bookmarkStart w:id="48" w:name="_Ref42252440"/>
      <w:r>
        <w:t>“</w:t>
      </w:r>
      <w:r>
        <w:rPr>
          <w:b/>
        </w:rPr>
        <w:t>Certificate of Incorporation</w:t>
      </w:r>
      <w:r>
        <w:t>” means the Company’s Amended and Restated Certificate of Incorporation, as amended and/or restated from time to time.</w:t>
      </w:r>
      <w:bookmarkEnd w:id="48"/>
    </w:p>
    <w:p w14:paraId="4C1DB13A" w14:textId="77777777" w:rsidR="00914B3A" w:rsidRPr="000D36C4" w:rsidRDefault="00FB64F2">
      <w:pPr>
        <w:pStyle w:val="Heading8"/>
      </w:pPr>
      <w:bookmarkStart w:id="49" w:name="_Ref42252441"/>
      <w:r>
        <w:t>“</w:t>
      </w:r>
      <w:bookmarkStart w:id="50" w:name="_9kR3WTr24456DQFwvy0fg9tq"/>
      <w:bookmarkStart w:id="51" w:name="_9kR3WTr244577JFwvy0fg9tq"/>
      <w:r>
        <w:rPr>
          <w:b/>
        </w:rPr>
        <w:t>Common Stock</w:t>
      </w:r>
      <w:bookmarkEnd w:id="50"/>
      <w:bookmarkEnd w:id="51"/>
      <w:r>
        <w:t>” means shares of the Company’s common stock, par value [$0.___] per share.</w:t>
      </w:r>
      <w:bookmarkEnd w:id="49"/>
    </w:p>
    <w:p w14:paraId="2A24D01E" w14:textId="782F7666" w:rsidR="00914B3A" w:rsidRPr="000D36C4" w:rsidRDefault="00914B3A">
      <w:pPr>
        <w:pStyle w:val="Heading8"/>
      </w:pPr>
      <w:bookmarkStart w:id="52" w:name="_Ref42252442"/>
      <w:r>
        <w:lastRenderedPageBreak/>
        <w:t>“</w:t>
      </w:r>
      <w:r>
        <w:rPr>
          <w:b/>
        </w:rPr>
        <w:t>Competitor</w:t>
      </w:r>
      <w:r>
        <w:t xml:space="preserve">” means a Person engaged, directly or indirectly (including through any partnership, limited liability </w:t>
      </w:r>
      <w:bookmarkStart w:id="53" w:name="_9kMIH5YVt46679COHy0poD"/>
      <w:bookmarkStart w:id="54" w:name="_9kMIH5YVt4667ACNHy0poD"/>
      <w:r>
        <w:t>company</w:t>
      </w:r>
      <w:bookmarkEnd w:id="53"/>
      <w:bookmarkEnd w:id="54"/>
      <w:r>
        <w:t>, corporation, joint venture or similar arrangement (whether now existing or formed hereafter)), in [</w:t>
      </w:r>
      <w:r w:rsidRPr="00E2374B">
        <w:rPr>
          <w:i/>
          <w:highlight w:val="yellow"/>
        </w:rPr>
        <w:t>description of business</w:t>
      </w:r>
      <w:r>
        <w:t xml:space="preserve">], but shall not include any financial investment firm or collective investment vehicle that, together with its Affiliates, holds less than 20% of the outstanding equity of any Competitor and does not, nor do any of its Affiliates, have a right to designate any members of the </w:t>
      </w:r>
      <w:bookmarkStart w:id="55" w:name="_9kMHG5YVt46679EPGmqusvLJ41n3GFK"/>
      <w:bookmarkStart w:id="56" w:name="_9kMHG5YVt4667ADNGmqusvLJ41n3GFK"/>
      <w:r>
        <w:t>board of directors</w:t>
      </w:r>
      <w:bookmarkEnd w:id="55"/>
      <w:bookmarkEnd w:id="56"/>
      <w:r>
        <w:t xml:space="preserve"> of any Competitor.</w:t>
      </w:r>
      <w:r w:rsidR="00180EF7">
        <w:t xml:space="preserve"> Additionally, in no event shall </w:t>
      </w:r>
      <w:r w:rsidR="00E2374B">
        <w:t>Standard Capital</w:t>
      </w:r>
      <w:r w:rsidR="00180EF7">
        <w:t xml:space="preserve"> or its Affiliates be a Competitor hereunder.</w:t>
      </w:r>
      <w:bookmarkEnd w:id="52"/>
    </w:p>
    <w:p w14:paraId="6150E4C4" w14:textId="0B1CAAE4" w:rsidR="00914B3A" w:rsidRPr="000D36C4" w:rsidRDefault="00FB64F2">
      <w:pPr>
        <w:pStyle w:val="Heading8"/>
      </w:pPr>
      <w:bookmarkStart w:id="57" w:name="_Ref42252443"/>
      <w:r>
        <w:t>“</w:t>
      </w:r>
      <w:r>
        <w:rPr>
          <w:b/>
        </w:rPr>
        <w:t>Damages</w:t>
      </w:r>
      <w:r>
        <w:t>” means any loss, damage, claim or liability (joint or several) to which a party hereto may become subject under the Securities Act, the Exchange Act, or other federal or state law, insofar as such loss, damage, claim or liability (or any action in respect thereof) arises out of or is based upon: (i) any untrue statement or alleged untrue statement of a material fact contained in any registration statement of the Company, including any preliminary prospectus or final prospectus contained therein or any amendments or supplements thereto; (ii) an omission or alleged omission to state therein a material fact required to be stated therein, or necessary to make the statements therein not misleading; or (iii) any violation or alleged violation by the indemnifying party (or any of its agents or Affiliates) of the Securities Act, the Exchange Act, any state securities law, or any rule or regulation promulgated under the Securities Act, the Exchange Act, or any state securities law.</w:t>
      </w:r>
      <w:bookmarkEnd w:id="57"/>
    </w:p>
    <w:p w14:paraId="7765132F" w14:textId="77777777" w:rsidR="00037703" w:rsidRPr="000D36C4" w:rsidRDefault="00037703">
      <w:pPr>
        <w:pStyle w:val="Heading8"/>
      </w:pPr>
      <w:bookmarkStart w:id="58" w:name="_Ref42252444"/>
      <w:r>
        <w:t>“</w:t>
      </w:r>
      <w:r>
        <w:rPr>
          <w:b/>
          <w:bCs/>
        </w:rPr>
        <w:t>Deemed Liquidation Event</w:t>
      </w:r>
      <w:r>
        <w:t>” shall have the meaning ascribed to it in the Company’s Amended and Restated Certificate of Incorporation, as in effect on the date of this Agreement and regardless of the date on which such event occurs.</w:t>
      </w:r>
    </w:p>
    <w:p w14:paraId="7B9DE60F" w14:textId="77777777" w:rsidR="00DB609A" w:rsidRPr="000D36C4" w:rsidRDefault="00FB64F2">
      <w:pPr>
        <w:pStyle w:val="Heading8"/>
      </w:pPr>
      <w:r>
        <w:t>“</w:t>
      </w:r>
      <w:r>
        <w:rPr>
          <w:b/>
        </w:rPr>
        <w:t>Derivative Securities</w:t>
      </w:r>
      <w:r>
        <w:t>” means any securities or rights convertible into, or exercisable or exchangeable for (in each case, directly or indirectly), Common Stock, including options and warrants.</w:t>
      </w:r>
      <w:bookmarkEnd w:id="58"/>
    </w:p>
    <w:p w14:paraId="6301D45A" w14:textId="77777777" w:rsidR="00914B3A" w:rsidRPr="000D36C4" w:rsidRDefault="00FB64F2">
      <w:pPr>
        <w:pStyle w:val="Heading8"/>
      </w:pPr>
      <w:bookmarkStart w:id="59" w:name="_Ref42252445"/>
      <w:r>
        <w:t>“</w:t>
      </w:r>
      <w:r>
        <w:rPr>
          <w:b/>
        </w:rPr>
        <w:t>Exchange Act</w:t>
      </w:r>
      <w:r>
        <w:t>” means the Securities Exchange Act of 1934, as amended, and the rules and regulations promulgated thereunder.</w:t>
      </w:r>
      <w:bookmarkEnd w:id="59"/>
    </w:p>
    <w:p w14:paraId="2F8238A2" w14:textId="76751366" w:rsidR="00996153" w:rsidRPr="000D36C4" w:rsidRDefault="00FB64F2" w:rsidP="00221C89">
      <w:pPr>
        <w:pStyle w:val="Heading8"/>
      </w:pPr>
      <w:bookmarkStart w:id="60" w:name="_Ref42252446"/>
      <w:r>
        <w:t>“</w:t>
      </w:r>
      <w:r>
        <w:rPr>
          <w:b/>
        </w:rPr>
        <w:t>Excluded Registration</w:t>
      </w:r>
      <w:r>
        <w:t xml:space="preserve">” means (i) a registration relating to the sale or grant of securities to employees of the Company or a subsidiary pursuant to a stock option, stock purchase, equity incentive or similar plan; (ii) a registration relating to an SEC Rule </w:t>
      </w:r>
      <w:bookmarkStart w:id="61" w:name="DocXTextRef5"/>
      <w:r>
        <w:t>145</w:t>
      </w:r>
      <w:bookmarkEnd w:id="61"/>
      <w:r>
        <w:t xml:space="preserve"> transaction; (iii) a registration on any form that does not include substantially the same information as would be required to be included in a registration statement covering the sale of the Registrable Securities; or (iv) a registration in which the only Common Stock being registered is Common Stock issuable upon conversion of debt securities that are also being registered.</w:t>
      </w:r>
      <w:bookmarkEnd w:id="60"/>
      <w:r>
        <w:t xml:space="preserve"> </w:t>
      </w:r>
    </w:p>
    <w:p w14:paraId="1FF99978" w14:textId="4E02E98F" w:rsidR="00914B3A" w:rsidRPr="000D36C4" w:rsidRDefault="00914B3A">
      <w:pPr>
        <w:pStyle w:val="Heading8"/>
      </w:pPr>
      <w:bookmarkStart w:id="62" w:name="_Ref42252447"/>
      <w:r>
        <w:t>“</w:t>
      </w:r>
      <w:r>
        <w:rPr>
          <w:b/>
        </w:rPr>
        <w:t>FOIA Party</w:t>
      </w:r>
      <w:r>
        <w:t xml:space="preserve">” means a Person that, in the reasonable determination of the Board of Directors, may be subject to, and thereby required to disclose non-public information furnished by or relating to the Company under, the Freedom of Information Act, </w:t>
      </w:r>
      <w:bookmarkStart w:id="63" w:name="DocXTextRef7"/>
      <w:r>
        <w:t>5</w:t>
      </w:r>
      <w:bookmarkEnd w:id="63"/>
      <w:r>
        <w:t xml:space="preserve"> U.S.C. </w:t>
      </w:r>
      <w:bookmarkStart w:id="64" w:name="DocXTextRef8"/>
      <w:r>
        <w:t>552</w:t>
      </w:r>
      <w:bookmarkEnd w:id="64"/>
      <w:r>
        <w:t xml:space="preserve"> (“</w:t>
      </w:r>
      <w:r>
        <w:rPr>
          <w:b/>
        </w:rPr>
        <w:t>FOIA</w:t>
      </w:r>
      <w:r>
        <w:t>”), any state public records access law, any state or other jurisdiction’s laws similar in intent or effect to FOIA, or any other similar statutory or regulatory requirement.</w:t>
      </w:r>
      <w:bookmarkEnd w:id="62"/>
    </w:p>
    <w:p w14:paraId="0B709477" w14:textId="77777777" w:rsidR="00914B3A" w:rsidRPr="000D36C4" w:rsidRDefault="00FB64F2">
      <w:pPr>
        <w:pStyle w:val="Heading8"/>
      </w:pPr>
      <w:bookmarkStart w:id="65" w:name="_Ref42252448"/>
      <w:r>
        <w:t>“</w:t>
      </w:r>
      <w:r>
        <w:rPr>
          <w:b/>
        </w:rPr>
        <w:t>Form S-1</w:t>
      </w:r>
      <w:r>
        <w:t>” means such form under the Securities Act as in effect on the date hereof or any successor registration form under the Securities Act subsequently adopted by the SEC.</w:t>
      </w:r>
      <w:bookmarkEnd w:id="65"/>
    </w:p>
    <w:p w14:paraId="78FC47D5" w14:textId="77777777" w:rsidR="00914B3A" w:rsidRPr="000D36C4" w:rsidRDefault="00FB64F2">
      <w:pPr>
        <w:pStyle w:val="Heading8"/>
      </w:pPr>
      <w:bookmarkStart w:id="66" w:name="_Ref42252449"/>
      <w:r>
        <w:t>“</w:t>
      </w:r>
      <w:r>
        <w:rPr>
          <w:b/>
        </w:rPr>
        <w:t>Form S-3</w:t>
      </w:r>
      <w:r>
        <w:t>” means such form under the Securities Act as in effect on the date hereof or any registration form under the Securities Act subsequently adopted by the SEC that permits forward incorporation of substantial information by reference to other documents filed by the Company with the SEC.</w:t>
      </w:r>
      <w:bookmarkStart w:id="67" w:name="_Ref42252450"/>
      <w:bookmarkEnd w:id="66"/>
    </w:p>
    <w:p w14:paraId="015CB5D6" w14:textId="77777777" w:rsidR="00914B3A" w:rsidRPr="000D36C4" w:rsidRDefault="00FB64F2">
      <w:pPr>
        <w:pStyle w:val="Heading8"/>
      </w:pPr>
      <w:r>
        <w:lastRenderedPageBreak/>
        <w:t>“</w:t>
      </w:r>
      <w:r>
        <w:rPr>
          <w:b/>
        </w:rPr>
        <w:t>GAAP</w:t>
      </w:r>
      <w:r>
        <w:t>” means generally accepted accounting principles in the United States as in effect from time to time.</w:t>
      </w:r>
      <w:bookmarkStart w:id="68" w:name="_Ref42252451"/>
      <w:bookmarkEnd w:id="67"/>
    </w:p>
    <w:p w14:paraId="5CB8852B" w14:textId="77777777" w:rsidR="00914B3A" w:rsidRPr="000D36C4" w:rsidRDefault="00FB64F2">
      <w:pPr>
        <w:pStyle w:val="Heading8"/>
      </w:pPr>
      <w:r>
        <w:t>“</w:t>
      </w:r>
      <w:bookmarkStart w:id="69" w:name="_9kR3WTr24456EWKvlfu"/>
      <w:bookmarkStart w:id="70" w:name="_9kR3WTr244579QKvlfu"/>
      <w:r>
        <w:rPr>
          <w:b/>
        </w:rPr>
        <w:t>Holder</w:t>
      </w:r>
      <w:bookmarkEnd w:id="69"/>
      <w:bookmarkEnd w:id="70"/>
      <w:r>
        <w:t>” means any holder of Registrable Securities who is a party to this Agreement.</w:t>
      </w:r>
      <w:bookmarkEnd w:id="68"/>
      <w:r>
        <w:t xml:space="preserve"> </w:t>
      </w:r>
    </w:p>
    <w:p w14:paraId="2DD9A5D4" w14:textId="77777777" w:rsidR="00914B3A" w:rsidRPr="000D36C4" w:rsidRDefault="00FB64F2">
      <w:pPr>
        <w:pStyle w:val="Heading8"/>
      </w:pPr>
      <w:bookmarkStart w:id="71" w:name="_Ref42252452"/>
      <w:r>
        <w:t>“</w:t>
      </w:r>
      <w:r>
        <w:rPr>
          <w:b/>
        </w:rPr>
        <w:t>Immediate Family Member</w:t>
      </w:r>
      <w:r>
        <w:t xml:space="preserve">” means a child, stepchild, grandchild, parent, stepparent, grandparent, spouse, life partner or similar statutorily-recognized domestic partner, sibling, mother-in-law, father-in-law, son-in-law, daughter-in-law, brother-in-law, or sister-in-law, including adoptive relationships of a natural </w:t>
      </w:r>
      <w:bookmarkStart w:id="72" w:name="_9kMJI5YVt46679FeKt862"/>
      <w:bookmarkStart w:id="73" w:name="_9kMJI5YVt4667AEcKt862"/>
      <w:r>
        <w:t>person</w:t>
      </w:r>
      <w:bookmarkEnd w:id="72"/>
      <w:bookmarkEnd w:id="73"/>
      <w:r>
        <w:t xml:space="preserve"> referred to herein.</w:t>
      </w:r>
      <w:bookmarkEnd w:id="71"/>
    </w:p>
    <w:p w14:paraId="11BB87D7" w14:textId="77777777" w:rsidR="00914B3A" w:rsidRPr="000D36C4" w:rsidRDefault="00FB64F2">
      <w:pPr>
        <w:pStyle w:val="Heading8"/>
      </w:pPr>
      <w:bookmarkStart w:id="74" w:name="_Ref42252453"/>
      <w:r>
        <w:t>“</w:t>
      </w:r>
      <w:r>
        <w:rPr>
          <w:b/>
        </w:rPr>
        <w:t>Initiating Holders</w:t>
      </w:r>
      <w:r>
        <w:t>” means, collectively, Holders who properly initiate a registration request under this Agreement.</w:t>
      </w:r>
      <w:bookmarkEnd w:id="74"/>
    </w:p>
    <w:p w14:paraId="62570411" w14:textId="7990522C" w:rsidR="008362AB" w:rsidRPr="000D36C4" w:rsidRDefault="008362AB">
      <w:pPr>
        <w:pStyle w:val="Heading8"/>
      </w:pPr>
      <w:bookmarkStart w:id="75" w:name="_Ref42252454"/>
      <w:r>
        <w:t>“</w:t>
      </w:r>
      <w:r>
        <w:rPr>
          <w:b/>
        </w:rPr>
        <w:t>Investors</w:t>
      </w:r>
      <w:r>
        <w:t xml:space="preserve">” means the persons named on </w:t>
      </w:r>
      <w:r>
        <w:rPr>
          <w:u w:val="single"/>
        </w:rPr>
        <w:t>Schedule A</w:t>
      </w:r>
      <w:r>
        <w:t xml:space="preserve"> hereto, </w:t>
      </w:r>
      <w:bookmarkStart w:id="76" w:name="_Hlk140266951"/>
      <w:r>
        <w:t xml:space="preserve">each person to whom the rights of an Investor are assigned pursuant to </w:t>
      </w:r>
      <w:r>
        <w:rPr>
          <w:u w:val="single"/>
        </w:rPr>
        <w:t xml:space="preserve">Section </w:t>
      </w:r>
      <w:r>
        <w:rPr>
          <w:u w:val="single"/>
        </w:rPr>
        <w:fldChar w:fldCharType="begin"/>
      </w:r>
      <w:r>
        <w:rPr>
          <w:u w:val="single"/>
        </w:rPr>
        <w:instrText xml:space="preserve"> REF _Ref140266872 \w \h  \* MERGEFORMAT </w:instrText>
      </w:r>
      <w:r>
        <w:rPr>
          <w:u w:val="single"/>
        </w:rPr>
      </w:r>
      <w:r>
        <w:rPr>
          <w:u w:val="single"/>
        </w:rPr>
        <w:fldChar w:fldCharType="separate"/>
      </w:r>
      <w:r w:rsidR="008D7705">
        <w:rPr>
          <w:u w:val="single"/>
        </w:rPr>
        <w:t>6.1</w:t>
      </w:r>
      <w:r>
        <w:rPr>
          <w:u w:val="single"/>
        </w:rPr>
        <w:fldChar w:fldCharType="end"/>
      </w:r>
      <w:r>
        <w:t xml:space="preserve">, and each person who hereafter becomes a party to this Agreement pursuant to </w:t>
      </w:r>
      <w:r>
        <w:rPr>
          <w:u w:val="single"/>
        </w:rPr>
        <w:t xml:space="preserve">Section </w:t>
      </w:r>
      <w:r>
        <w:rPr>
          <w:u w:val="single"/>
        </w:rPr>
        <w:fldChar w:fldCharType="begin"/>
      </w:r>
      <w:r>
        <w:rPr>
          <w:u w:val="single"/>
        </w:rPr>
        <w:instrText xml:space="preserve"> REF _Ref140266799 \w \h  \* MERGEFORMAT </w:instrText>
      </w:r>
      <w:r>
        <w:rPr>
          <w:u w:val="single"/>
        </w:rPr>
      </w:r>
      <w:r>
        <w:rPr>
          <w:u w:val="single"/>
        </w:rPr>
        <w:fldChar w:fldCharType="separate"/>
      </w:r>
      <w:r w:rsidR="008D7705">
        <w:rPr>
          <w:u w:val="single"/>
        </w:rPr>
        <w:t>6.9</w:t>
      </w:r>
      <w:r>
        <w:rPr>
          <w:u w:val="single"/>
        </w:rPr>
        <w:fldChar w:fldCharType="end"/>
      </w:r>
      <w:bookmarkEnd w:id="76"/>
      <w:r>
        <w:t>.</w:t>
      </w:r>
    </w:p>
    <w:p w14:paraId="3F43EC86" w14:textId="77777777" w:rsidR="00914B3A" w:rsidRPr="000D36C4" w:rsidRDefault="00FB64F2">
      <w:pPr>
        <w:pStyle w:val="Heading8"/>
      </w:pPr>
      <w:r>
        <w:t>“</w:t>
      </w:r>
      <w:r>
        <w:rPr>
          <w:b/>
        </w:rPr>
        <w:t>IPO</w:t>
      </w:r>
      <w:r>
        <w:t>” means the Company’s first underwritten public offering of its Common Stock under the Securities Act.</w:t>
      </w:r>
      <w:bookmarkEnd w:id="75"/>
    </w:p>
    <w:p w14:paraId="24C0FFC3" w14:textId="2FCCB43C" w:rsidR="00914B3A" w:rsidRPr="000D36C4" w:rsidRDefault="00FB64F2">
      <w:pPr>
        <w:pStyle w:val="Heading8"/>
      </w:pPr>
      <w:bookmarkStart w:id="77" w:name="_Ref42252457"/>
      <w:r>
        <w:t>“</w:t>
      </w:r>
      <w:bookmarkStart w:id="78" w:name="_9kR3WTr19A48BVBfu3YP91zFCB"/>
      <w:bookmarkStart w:id="79" w:name="_9kR3WTr19A49GZBfu3YP91zFCB"/>
      <w:r>
        <w:rPr>
          <w:b/>
        </w:rPr>
        <w:t>Major Investor</w:t>
      </w:r>
      <w:bookmarkEnd w:id="78"/>
      <w:bookmarkEnd w:id="79"/>
      <w:r>
        <w:t>” means any Investor that, individually or together with such Investor’s Affiliates, holds at least [______]</w:t>
      </w:r>
      <w:r w:rsidR="00E2374B">
        <w:rPr>
          <w:rStyle w:val="FootnoteReference"/>
        </w:rPr>
        <w:footnoteReference w:id="1"/>
      </w:r>
      <w:r>
        <w:t xml:space="preserve"> shares of Registrable Securities (as adjusted for any stock split, stock dividend, combination, or other recapitalization or reclassification effected after the date hereof).</w:t>
      </w:r>
      <w:bookmarkEnd w:id="77"/>
    </w:p>
    <w:p w14:paraId="1B20B41C" w14:textId="77777777" w:rsidR="00914B3A" w:rsidRPr="000D36C4" w:rsidRDefault="00FB64F2">
      <w:pPr>
        <w:pStyle w:val="Heading8"/>
      </w:pPr>
      <w:bookmarkStart w:id="80" w:name="_Ref42252458"/>
      <w:r>
        <w:t>“</w:t>
      </w:r>
      <w:r>
        <w:rPr>
          <w:b/>
        </w:rPr>
        <w:t>New Securities</w:t>
      </w:r>
      <w:r>
        <w:t>” means, collectively, equity securities of the Company, whether or not currently authorized, as well as rights, options, or warrants to purchase such equity securities, or securities of any type whatsoever that are, or may become, convertible or exchangeable into or exercisable for such equity securities.</w:t>
      </w:r>
      <w:bookmarkEnd w:id="80"/>
    </w:p>
    <w:p w14:paraId="50AA4899" w14:textId="77777777" w:rsidR="00914B3A" w:rsidRPr="000D36C4" w:rsidRDefault="00FB64F2">
      <w:pPr>
        <w:pStyle w:val="Heading8"/>
      </w:pPr>
      <w:bookmarkStart w:id="81" w:name="_Ref42252459"/>
      <w:r>
        <w:t>“</w:t>
      </w:r>
      <w:bookmarkStart w:id="82" w:name="_9kR3WTr24457DcIr640"/>
      <w:bookmarkStart w:id="83" w:name="_9kR3WTr24458CaIr640"/>
      <w:r>
        <w:rPr>
          <w:b/>
        </w:rPr>
        <w:t>Person</w:t>
      </w:r>
      <w:bookmarkEnd w:id="82"/>
      <w:bookmarkEnd w:id="83"/>
      <w:r>
        <w:t xml:space="preserve">” means any individual, corporation, partnership, trust, limited liability </w:t>
      </w:r>
      <w:bookmarkStart w:id="84" w:name="_9kMJI5YVt46679COHy0poD"/>
      <w:bookmarkStart w:id="85" w:name="_9kMJI5YVt4667ACNHy0poD"/>
      <w:r>
        <w:t>company</w:t>
      </w:r>
      <w:bookmarkEnd w:id="84"/>
      <w:bookmarkEnd w:id="85"/>
      <w:r>
        <w:t>, association, or other entity.</w:t>
      </w:r>
      <w:bookmarkEnd w:id="81"/>
    </w:p>
    <w:p w14:paraId="0CE823BE" w14:textId="728666D4" w:rsidR="00914B3A" w:rsidRPr="000D36C4" w:rsidRDefault="00914B3A" w:rsidP="00814EDD">
      <w:pPr>
        <w:pStyle w:val="Heading8"/>
      </w:pPr>
      <w:bookmarkStart w:id="86" w:name="_Ref42252460"/>
      <w:bookmarkStart w:id="87" w:name="_cp_text_1_14"/>
      <w:bookmarkEnd w:id="0"/>
      <w:bookmarkEnd w:id="1"/>
      <w:bookmarkEnd w:id="2"/>
      <w:bookmarkEnd w:id="3"/>
      <w:r>
        <w:t>“</w:t>
      </w:r>
      <w:bookmarkStart w:id="88" w:name="_9kR3WTr244568YVrghu8wjYjCwt"/>
      <w:r w:rsidRPr="00E35D38">
        <w:rPr>
          <w:b/>
        </w:rPr>
        <w:t>Preferred Stock</w:t>
      </w:r>
      <w:bookmarkEnd w:id="88"/>
      <w:r>
        <w:t>” means, collectively, shares of the Company’s Series A Preferred Stock[ and Series [_] Preferred Stock].</w:t>
      </w:r>
      <w:bookmarkStart w:id="89" w:name="_cp_text_2_15"/>
      <w:bookmarkEnd w:id="4"/>
      <w:bookmarkEnd w:id="5"/>
      <w:bookmarkEnd w:id="86"/>
      <w:bookmarkEnd w:id="87"/>
      <w:bookmarkEnd w:id="89"/>
    </w:p>
    <w:p w14:paraId="40AFF901" w14:textId="5AB59341" w:rsidR="00914B3A" w:rsidRPr="000D36C4" w:rsidRDefault="00FB64F2">
      <w:pPr>
        <w:pStyle w:val="Heading8"/>
      </w:pPr>
      <w:bookmarkStart w:id="90" w:name="_Ref42252461"/>
      <w:bookmarkEnd w:id="6"/>
      <w:bookmarkEnd w:id="7"/>
      <w:r>
        <w:t>“</w:t>
      </w:r>
      <w:r>
        <w:rPr>
          <w:b/>
        </w:rPr>
        <w:t>Registrable Securities</w:t>
      </w:r>
      <w:r>
        <w:t>” means (i) the Common Stock issuable or issued upon conversion of the Preferred Stock</w:t>
      </w:r>
      <w:bookmarkEnd w:id="8"/>
      <w:bookmarkEnd w:id="9"/>
      <w:r>
        <w:t xml:space="preserve">; </w:t>
      </w:r>
      <w:bookmarkStart w:id="91" w:name="_9kR3WTrAG857FGBJ0ohnCcN4368noH1yBJ63Ssd"/>
      <w:bookmarkStart w:id="92" w:name="_9kR3WTrAG858EEBJ0ohnCcN4368noH1yBJ63Ssd"/>
      <w:r>
        <w:t>(ii) any Common Stock, or any Common Stock issued or issuable (directly or indirectly) upon conversion and/or exercise of any other securities of the Company, held by the Investors from time to time;</w:t>
      </w:r>
      <w:bookmarkEnd w:id="91"/>
      <w:bookmarkEnd w:id="92"/>
      <w:r>
        <w:t xml:space="preserve"> </w:t>
      </w:r>
      <w:bookmarkEnd w:id="10"/>
      <w:bookmarkEnd w:id="11"/>
      <w:r>
        <w:t>and (i</w:t>
      </w:r>
      <w:r w:rsidR="00E2374B">
        <w:t>ii</w:t>
      </w:r>
      <w:r>
        <w:t>) any Common Stock issued as (or issuable upon the conversion or exercise of any warrant, right, or other security that is issued as) a dividend or other distribution with respect to, or in exchange for or in replacement of, the shares referenced in clauses</w:t>
      </w:r>
      <w:bookmarkStart w:id="93" w:name="_9kR3WTr8E848FpihrAvw1"/>
      <w:bookmarkStart w:id="94" w:name="_9kR3WTr8E84ABjihrAvw1"/>
      <w:r>
        <w:t xml:space="preserve"> (i)</w:t>
      </w:r>
      <w:bookmarkEnd w:id="93"/>
      <w:bookmarkEnd w:id="94"/>
      <w:r>
        <w:t xml:space="preserve"> and </w:t>
      </w:r>
      <w:bookmarkStart w:id="95" w:name="_9kMHG5YVtCIA79HIDL2qjpEeP658ApqJ30DL85U"/>
      <w:bookmarkStart w:id="96" w:name="_9kMHG5YVtCIA7AGGDL2qjpEeP658ApqJ30DL85U"/>
      <w:r>
        <w:t>(ii)</w:t>
      </w:r>
      <w:bookmarkEnd w:id="95"/>
      <w:bookmarkEnd w:id="96"/>
      <w:r>
        <w:t xml:space="preserve"> above; excluding in all cases (other than the restrictions on transfer and legend requirements in </w:t>
      </w:r>
      <w:r>
        <w:rPr>
          <w:u w:val="single"/>
        </w:rPr>
        <w:t xml:space="preserve">Section </w:t>
      </w:r>
      <w:r>
        <w:rPr>
          <w:u w:val="single"/>
        </w:rPr>
        <w:fldChar w:fldCharType="begin"/>
      </w:r>
      <w:r>
        <w:rPr>
          <w:u w:val="single"/>
        </w:rPr>
        <w:instrText xml:space="preserve"> REF _Ref145424575 \w \h </w:instrText>
      </w:r>
      <w:r>
        <w:rPr>
          <w:u w:val="single"/>
        </w:rPr>
      </w:r>
      <w:r>
        <w:rPr>
          <w:u w:val="single"/>
        </w:rPr>
        <w:fldChar w:fldCharType="separate"/>
      </w:r>
      <w:r w:rsidR="008D7705">
        <w:rPr>
          <w:u w:val="single"/>
        </w:rPr>
        <w:t>2.12</w:t>
      </w:r>
      <w:r>
        <w:rPr>
          <w:u w:val="single"/>
        </w:rPr>
        <w:fldChar w:fldCharType="end"/>
      </w:r>
      <w:r>
        <w:t xml:space="preserve">), however, any Registrable Securities sold by a Person in a transaction in which the applicable rights under this Agreement are not assigned pursuant to </w:t>
      </w:r>
      <w:r>
        <w:rPr>
          <w:u w:val="single"/>
        </w:rPr>
        <w:t xml:space="preserve">Section </w:t>
      </w:r>
      <w:r>
        <w:rPr>
          <w:color w:val="000000"/>
          <w:u w:val="single"/>
        </w:rPr>
        <w:fldChar w:fldCharType="begin"/>
      </w:r>
      <w:r>
        <w:rPr>
          <w:color w:val="000000"/>
          <w:u w:val="single"/>
        </w:rPr>
        <w:instrText xml:space="preserve"> REF _Ref42252566 \r \h \* MERGEFORMAT </w:instrText>
      </w:r>
      <w:r>
        <w:rPr>
          <w:color w:val="000000"/>
          <w:u w:val="single"/>
        </w:rPr>
      </w:r>
      <w:r>
        <w:rPr>
          <w:color w:val="000000"/>
          <w:u w:val="single"/>
        </w:rPr>
        <w:fldChar w:fldCharType="separate"/>
      </w:r>
      <w:r w:rsidR="008D7705">
        <w:rPr>
          <w:color w:val="000000"/>
          <w:u w:val="single"/>
        </w:rPr>
        <w:t>6.1</w:t>
      </w:r>
      <w:r>
        <w:rPr>
          <w:color w:val="000000"/>
          <w:u w:val="single"/>
        </w:rPr>
        <w:fldChar w:fldCharType="end"/>
      </w:r>
      <w:r>
        <w:t xml:space="preserve">, and excluding for purposes of </w:t>
      </w:r>
      <w:r w:rsidRPr="00DD4C93">
        <w:rPr>
          <w:u w:val="single"/>
        </w:rPr>
        <w:t xml:space="preserve">Section </w:t>
      </w:r>
      <w:r w:rsidRPr="00DD4C93">
        <w:rPr>
          <w:u w:val="single"/>
        </w:rPr>
        <w:fldChar w:fldCharType="begin"/>
      </w:r>
      <w:r w:rsidRPr="00DD4C93">
        <w:rPr>
          <w:u w:val="single"/>
        </w:rPr>
        <w:instrText xml:space="preserve"> REF _Ref42252471 \r \h  \* MERGEFORMAT </w:instrText>
      </w:r>
      <w:r w:rsidRPr="00DD4C93">
        <w:rPr>
          <w:u w:val="single"/>
        </w:rPr>
      </w:r>
      <w:r w:rsidRPr="00DD4C93">
        <w:rPr>
          <w:u w:val="single"/>
        </w:rPr>
        <w:fldChar w:fldCharType="separate"/>
      </w:r>
      <w:r w:rsidR="008D7705">
        <w:rPr>
          <w:u w:val="single"/>
        </w:rPr>
        <w:t>2</w:t>
      </w:r>
      <w:r w:rsidRPr="00DD4C93">
        <w:rPr>
          <w:u w:val="single"/>
        </w:rPr>
        <w:fldChar w:fldCharType="end"/>
      </w:r>
      <w:r>
        <w:t xml:space="preserve"> any shares for which registration rights have terminated pursuant to </w:t>
      </w:r>
      <w:r>
        <w:rPr>
          <w:u w:val="single"/>
        </w:rPr>
        <w:t xml:space="preserve">Section </w:t>
      </w:r>
      <w:r>
        <w:rPr>
          <w:color w:val="000000"/>
          <w:u w:val="single"/>
        </w:rPr>
        <w:fldChar w:fldCharType="begin"/>
      </w:r>
      <w:r>
        <w:rPr>
          <w:color w:val="000000"/>
          <w:u w:val="single"/>
        </w:rPr>
        <w:instrText xml:space="preserve"> REF _Ref151469462 \r \h </w:instrText>
      </w:r>
      <w:r>
        <w:rPr>
          <w:color w:val="000000"/>
          <w:u w:val="single"/>
        </w:rPr>
      </w:r>
      <w:r>
        <w:rPr>
          <w:color w:val="000000"/>
          <w:u w:val="single"/>
        </w:rPr>
        <w:fldChar w:fldCharType="separate"/>
      </w:r>
      <w:r w:rsidR="008D7705">
        <w:rPr>
          <w:color w:val="000000"/>
          <w:u w:val="single"/>
        </w:rPr>
        <w:t>2.13</w:t>
      </w:r>
      <w:r>
        <w:rPr>
          <w:color w:val="000000"/>
          <w:u w:val="single"/>
        </w:rPr>
        <w:fldChar w:fldCharType="end"/>
      </w:r>
      <w:r>
        <w:t>.</w:t>
      </w:r>
      <w:bookmarkStart w:id="97" w:name="_cp_text_2_30"/>
      <w:bookmarkEnd w:id="12"/>
      <w:bookmarkEnd w:id="13"/>
      <w:bookmarkEnd w:id="90"/>
      <w:bookmarkEnd w:id="97"/>
    </w:p>
    <w:p w14:paraId="39F0720E" w14:textId="77777777" w:rsidR="00914B3A" w:rsidRPr="000D36C4" w:rsidRDefault="00FB64F2">
      <w:pPr>
        <w:pStyle w:val="Heading8"/>
      </w:pPr>
      <w:bookmarkStart w:id="98" w:name="_cp_blt_1_37"/>
      <w:bookmarkStart w:id="99" w:name="_cp_blt_2_36"/>
      <w:bookmarkStart w:id="100" w:name="_Ref42252462"/>
      <w:bookmarkEnd w:id="98"/>
      <w:bookmarkEnd w:id="99"/>
      <w:r>
        <w:t>“</w:t>
      </w:r>
      <w:bookmarkStart w:id="101" w:name="_9kR3WTr23357GhKglyAAsdptbWn4K9CDzAQG29K"/>
      <w:bookmarkStart w:id="102" w:name="_9kR3WTr23358FfKglyAAsdptbWn4K9CDzAQG29K"/>
      <w:r>
        <w:rPr>
          <w:b/>
        </w:rPr>
        <w:t>Registrable Securities then outstanding</w:t>
      </w:r>
      <w:bookmarkEnd w:id="101"/>
      <w:bookmarkEnd w:id="102"/>
      <w:r>
        <w:t xml:space="preserve">” means the number of shares determined by adding the number of shares of outstanding Common Stock that are Registrable Securities and the number </w:t>
      </w:r>
      <w:r>
        <w:lastRenderedPageBreak/>
        <w:t>of shares of Common Stock issuable (directly or indirectly) pursuant to then exercisable and/or convertible securities that are Registrable Securities.</w:t>
      </w:r>
      <w:bookmarkEnd w:id="100"/>
    </w:p>
    <w:p w14:paraId="0DE6EA3C" w14:textId="00336B49" w:rsidR="00244FFE" w:rsidRDefault="00244FFE">
      <w:pPr>
        <w:pStyle w:val="Heading8"/>
      </w:pPr>
      <w:r>
        <w:t>“</w:t>
      </w:r>
      <w:r w:rsidRPr="004C212A">
        <w:rPr>
          <w:b/>
          <w:bCs/>
        </w:rPr>
        <w:t>Requisite Holders</w:t>
      </w:r>
      <w:r>
        <w:t xml:space="preserve">” means </w:t>
      </w:r>
      <w:r w:rsidR="00221C89">
        <w:t xml:space="preserve">(a) prior to the IPO, </w:t>
      </w:r>
      <w:r>
        <w:t>the Investors holding a majority of the then outstanding shares of Preferred Stock (calculated together as a single class on an as-converted basis</w:t>
      </w:r>
      <w:r w:rsidR="00221C89">
        <w:t>), and (b) following the IPO, the Investors holding a majority of the then outstanding shares of Registrable Securities.</w:t>
      </w:r>
    </w:p>
    <w:p w14:paraId="3866974B" w14:textId="2DD7D55D" w:rsidR="00914B3A" w:rsidRPr="000D36C4" w:rsidRDefault="00FB64F2">
      <w:pPr>
        <w:pStyle w:val="Heading8"/>
      </w:pPr>
      <w:bookmarkStart w:id="103" w:name="_Ref42252463"/>
      <w:r>
        <w:t>“</w:t>
      </w:r>
      <w:r>
        <w:rPr>
          <w:b/>
        </w:rPr>
        <w:t>Restricted Securities</w:t>
      </w:r>
      <w:r>
        <w:t xml:space="preserve">” means the securities of the Company required to be notated with the legend set forth in </w:t>
      </w:r>
      <w:r w:rsidRPr="00DD4C93">
        <w:rPr>
          <w:u w:val="single"/>
        </w:rPr>
        <w:t xml:space="preserve">Section </w:t>
      </w:r>
      <w:r w:rsidRPr="00DD4C93">
        <w:rPr>
          <w:color w:val="000000"/>
          <w:u w:val="single"/>
        </w:rPr>
        <w:fldChar w:fldCharType="begin"/>
      </w:r>
      <w:r w:rsidRPr="00DD4C93">
        <w:rPr>
          <w:color w:val="000000"/>
          <w:u w:val="single"/>
        </w:rPr>
        <w:instrText xml:space="preserve"> REF _Ref42252511 \r \h \* MERGEFORMAT </w:instrText>
      </w:r>
      <w:r w:rsidRPr="00DD4C93">
        <w:rPr>
          <w:color w:val="000000"/>
          <w:u w:val="single"/>
        </w:rPr>
      </w:r>
      <w:r w:rsidRPr="00DD4C93">
        <w:rPr>
          <w:color w:val="000000"/>
          <w:u w:val="single"/>
        </w:rPr>
        <w:fldChar w:fldCharType="separate"/>
      </w:r>
      <w:r w:rsidR="008D7705">
        <w:rPr>
          <w:color w:val="000000"/>
          <w:u w:val="single"/>
        </w:rPr>
        <w:t>2.12(b)</w:t>
      </w:r>
      <w:r w:rsidRPr="00DD4C93">
        <w:rPr>
          <w:color w:val="000000"/>
          <w:u w:val="single"/>
        </w:rPr>
        <w:fldChar w:fldCharType="end"/>
      </w:r>
      <w:r>
        <w:t xml:space="preserve"> hereof.</w:t>
      </w:r>
      <w:bookmarkEnd w:id="103"/>
    </w:p>
    <w:p w14:paraId="52C6FD19" w14:textId="2290D808" w:rsidR="00FF0ACE" w:rsidRPr="000D36C4" w:rsidRDefault="00FF0ACE">
      <w:pPr>
        <w:pStyle w:val="Heading8"/>
      </w:pPr>
      <w:bookmarkStart w:id="104" w:name="_cp_blt_1_41"/>
      <w:bookmarkStart w:id="105" w:name="_cp_blt_2_40"/>
      <w:bookmarkStart w:id="106" w:name="_Ref42252464"/>
      <w:bookmarkEnd w:id="104"/>
      <w:bookmarkEnd w:id="105"/>
      <w:r>
        <w:rPr>
          <w:color w:val="000000" w:themeColor="text1"/>
        </w:rPr>
        <w:t>“</w:t>
      </w:r>
      <w:r>
        <w:rPr>
          <w:b/>
          <w:bCs/>
          <w:color w:val="000000" w:themeColor="text1"/>
        </w:rPr>
        <w:t>Sanctioned Party</w:t>
      </w:r>
      <w:r>
        <w:rPr>
          <w:color w:val="000000" w:themeColor="text1"/>
        </w:rPr>
        <w:t>” means any Person: (i) organized under the laws of, ordinarily resident in, or located in a country or territory that is the subject of comprehensive Sanctions (“</w:t>
      </w:r>
      <w:r>
        <w:rPr>
          <w:b/>
          <w:bCs/>
          <w:color w:val="000000" w:themeColor="text1"/>
        </w:rPr>
        <w:t>Restricted Countries</w:t>
      </w:r>
      <w:r>
        <w:rPr>
          <w:color w:val="000000" w:themeColor="text1"/>
        </w:rPr>
        <w:t>”)); (ii) 50% or more owned or controlled by the government of a Restricted Country; or (iii) (A) designated on a sanctioned parties list administered by the United States[, European Union, or United Kingdom]</w:t>
      </w:r>
      <w:r w:rsidR="009A5F80" w:rsidRPr="009A5F80">
        <w:rPr>
          <w:rStyle w:val="FootnoteReference"/>
          <w:color w:val="000000" w:themeColor="text1"/>
        </w:rPr>
        <w:t xml:space="preserve"> </w:t>
      </w:r>
      <w:r w:rsidR="009A5F80">
        <w:rPr>
          <w:rStyle w:val="FootnoteReference"/>
          <w:color w:val="000000" w:themeColor="text1"/>
        </w:rPr>
        <w:footnoteReference w:id="2"/>
      </w:r>
      <w:r>
        <w:rPr>
          <w:color w:val="000000" w:themeColor="text1"/>
        </w:rPr>
        <w:t xml:space="preserve">, including, without limitation, the U.S. Department of the Treasury’s Office of Foreign Assets Control’s Specially Designated Nationals and Blocked Persons List, Foreign Sanctions Evaders List, </w:t>
      </w:r>
      <w:r w:rsidR="00F425D9">
        <w:rPr>
          <w:color w:val="000000" w:themeColor="text1"/>
        </w:rPr>
        <w:t>[and ]</w:t>
      </w:r>
      <w:r>
        <w:rPr>
          <w:color w:val="000000" w:themeColor="text1"/>
        </w:rPr>
        <w:t>Sectoral Sanctions Identification List[, the Consolidated List of Persons, Groups, and Entities Subject to EU Financial Sanctions, and the UK’s Consolidated Sanctions List] (collectively, “</w:t>
      </w:r>
      <w:r>
        <w:rPr>
          <w:b/>
          <w:bCs/>
          <w:color w:val="000000" w:themeColor="text1"/>
        </w:rPr>
        <w:t>Designated Parties</w:t>
      </w:r>
      <w:r>
        <w:rPr>
          <w:color w:val="000000" w:themeColor="text1"/>
        </w:rPr>
        <w:t>”); or (B) 50% or more owned or, where relevant under applicable Sanctions, controlled, individually or in the aggregate, by one or more Designated Party, in each case only to the extent that dealings with such Person is are prohibited pursuant to applicable Sanctions.</w:t>
      </w:r>
    </w:p>
    <w:p w14:paraId="36E894A7" w14:textId="7A585021" w:rsidR="00BA54AE" w:rsidRPr="000D36C4" w:rsidRDefault="00275A34">
      <w:pPr>
        <w:pStyle w:val="Heading8"/>
      </w:pPr>
      <w:r>
        <w:t>“</w:t>
      </w:r>
      <w:r>
        <w:rPr>
          <w:b/>
          <w:bCs/>
        </w:rPr>
        <w:t>Sanctions</w:t>
      </w:r>
      <w:r>
        <w:t xml:space="preserve">” means </w:t>
      </w:r>
      <w:r>
        <w:rPr>
          <w:color w:val="000000" w:themeColor="text1"/>
        </w:rPr>
        <w:t>applicable laws and regulations pertaining to trade and economic sanctions administered by the United States[, European Union, or United Kingdom]</w:t>
      </w:r>
      <w:r>
        <w:rPr>
          <w:rStyle w:val="FootnoteReference"/>
          <w:color w:val="000000" w:themeColor="text1"/>
        </w:rPr>
        <w:footnoteReference w:id="3"/>
      </w:r>
      <w:r>
        <w:rPr>
          <w:color w:val="000000" w:themeColor="text1"/>
        </w:rPr>
        <w:t>.</w:t>
      </w:r>
    </w:p>
    <w:p w14:paraId="139BAC14" w14:textId="77777777" w:rsidR="00914B3A" w:rsidRPr="000D36C4" w:rsidRDefault="00FB64F2">
      <w:pPr>
        <w:pStyle w:val="Heading8"/>
      </w:pPr>
      <w:r>
        <w:t>“</w:t>
      </w:r>
      <w:r>
        <w:rPr>
          <w:b/>
        </w:rPr>
        <w:t>SEC</w:t>
      </w:r>
      <w:r>
        <w:t>” means the Securities and Exchange Commission.</w:t>
      </w:r>
      <w:bookmarkEnd w:id="106"/>
    </w:p>
    <w:p w14:paraId="562533D6" w14:textId="77777777" w:rsidR="00914B3A" w:rsidRPr="000D36C4" w:rsidRDefault="00FB64F2">
      <w:pPr>
        <w:pStyle w:val="Heading8"/>
      </w:pPr>
      <w:bookmarkStart w:id="107" w:name="_cp_blt_1_43"/>
      <w:bookmarkStart w:id="108" w:name="_cp_blt_2_42"/>
      <w:bookmarkStart w:id="109" w:name="_Ref42252465"/>
      <w:bookmarkEnd w:id="107"/>
      <w:bookmarkEnd w:id="108"/>
      <w:r>
        <w:t>“</w:t>
      </w:r>
      <w:r>
        <w:rPr>
          <w:b/>
        </w:rPr>
        <w:t>SEC Rule 144</w:t>
      </w:r>
      <w:r>
        <w:t>” means Rule 144 promulgated by the SEC under the Securities Act.</w:t>
      </w:r>
      <w:bookmarkEnd w:id="109"/>
    </w:p>
    <w:p w14:paraId="6C4277E6" w14:textId="77777777" w:rsidR="00914B3A" w:rsidRPr="000D36C4" w:rsidRDefault="00FB64F2">
      <w:pPr>
        <w:pStyle w:val="Heading8"/>
      </w:pPr>
      <w:bookmarkStart w:id="110" w:name="_cp_blt_1_45"/>
      <w:bookmarkStart w:id="111" w:name="_cp_blt_2_44"/>
      <w:bookmarkStart w:id="112" w:name="_Ref42252466"/>
      <w:bookmarkEnd w:id="110"/>
      <w:bookmarkEnd w:id="111"/>
      <w:r>
        <w:t>“</w:t>
      </w:r>
      <w:r>
        <w:rPr>
          <w:b/>
        </w:rPr>
        <w:t>SEC Rule 145</w:t>
      </w:r>
      <w:r>
        <w:t>” means Rule 145 promulgated by the SEC under the Securities Act.</w:t>
      </w:r>
      <w:bookmarkEnd w:id="112"/>
    </w:p>
    <w:p w14:paraId="4CFEA69E" w14:textId="77777777" w:rsidR="00914B3A" w:rsidRPr="000D36C4" w:rsidRDefault="00FB64F2">
      <w:pPr>
        <w:pStyle w:val="Heading8"/>
      </w:pPr>
      <w:bookmarkStart w:id="113" w:name="_cp_blt_1_47"/>
      <w:bookmarkStart w:id="114" w:name="_cp_blt_2_46"/>
      <w:bookmarkStart w:id="115" w:name="_Ref42252467"/>
      <w:bookmarkEnd w:id="113"/>
      <w:bookmarkEnd w:id="114"/>
      <w:r>
        <w:t>“</w:t>
      </w:r>
      <w:r>
        <w:rPr>
          <w:b/>
        </w:rPr>
        <w:t>Securities Act</w:t>
      </w:r>
      <w:r>
        <w:t>” means the Securities Act of 1933, as amended, and the rules and regulations promulgated thereunder.</w:t>
      </w:r>
      <w:bookmarkEnd w:id="115"/>
    </w:p>
    <w:p w14:paraId="604AE32C" w14:textId="08D66A65" w:rsidR="00FE5DE0" w:rsidRPr="000D36C4" w:rsidRDefault="00FB64F2">
      <w:pPr>
        <w:pStyle w:val="Heading8"/>
      </w:pPr>
      <w:bookmarkStart w:id="116" w:name="_cp_blt_1_49"/>
      <w:bookmarkStart w:id="117" w:name="_cp_blt_2_48"/>
      <w:bookmarkStart w:id="118" w:name="_Ref42252468"/>
      <w:bookmarkEnd w:id="116"/>
      <w:bookmarkEnd w:id="117"/>
      <w:r>
        <w:t>“</w:t>
      </w:r>
      <w:r>
        <w:rPr>
          <w:b/>
        </w:rPr>
        <w:t>Selling Expenses</w:t>
      </w:r>
      <w:r>
        <w:t xml:space="preserve">” means all underwriting discounts, selling commissions, and stock transfer taxes applicable to the sale of Registrable Securities, and fees and disbursements of counsel for any Holder, except for the fees and disbursements of the Selling Holder Counsel borne and paid by the Company as provided in </w:t>
      </w:r>
      <w:r>
        <w:rPr>
          <w:u w:val="single"/>
        </w:rPr>
        <w:t xml:space="preserve">Section </w:t>
      </w:r>
      <w:r>
        <w:rPr>
          <w:color w:val="000000"/>
          <w:u w:val="single"/>
        </w:rPr>
        <w:fldChar w:fldCharType="begin"/>
      </w:r>
      <w:r>
        <w:rPr>
          <w:color w:val="000000"/>
          <w:u w:val="single"/>
        </w:rPr>
        <w:instrText xml:space="preserve"> REF _Ref42252494 \r \h \* MERGEFORMAT </w:instrText>
      </w:r>
      <w:r>
        <w:rPr>
          <w:color w:val="000000"/>
          <w:u w:val="single"/>
        </w:rPr>
      </w:r>
      <w:r>
        <w:rPr>
          <w:color w:val="000000"/>
          <w:u w:val="single"/>
        </w:rPr>
        <w:fldChar w:fldCharType="separate"/>
      </w:r>
      <w:r w:rsidR="008D7705">
        <w:rPr>
          <w:color w:val="000000"/>
          <w:u w:val="single"/>
        </w:rPr>
        <w:t>2.6</w:t>
      </w:r>
      <w:r>
        <w:rPr>
          <w:color w:val="000000"/>
          <w:u w:val="single"/>
        </w:rPr>
        <w:fldChar w:fldCharType="end"/>
      </w:r>
      <w:r>
        <w:t>.</w:t>
      </w:r>
      <w:bookmarkEnd w:id="118"/>
    </w:p>
    <w:p w14:paraId="33F9FEC7" w14:textId="29070A5C" w:rsidR="00914B3A" w:rsidRDefault="00FB64F2">
      <w:pPr>
        <w:pStyle w:val="Heading8"/>
        <w:spacing w:after="240"/>
      </w:pPr>
      <w:bookmarkStart w:id="119" w:name="_Ref42252470"/>
      <w:bookmarkEnd w:id="14"/>
      <w:r>
        <w:t>“</w:t>
      </w:r>
      <w:r>
        <w:rPr>
          <w:b/>
        </w:rPr>
        <w:t>Series A Preferred Stock</w:t>
      </w:r>
      <w:r>
        <w:t>” means shares of the Company’s Series A Preferred Stock, par value [$0.___] per share.</w:t>
      </w:r>
      <w:bookmarkEnd w:id="119"/>
    </w:p>
    <w:p w14:paraId="428B960E" w14:textId="19E19F26" w:rsidR="00010065" w:rsidRPr="000D36C4" w:rsidRDefault="00010065">
      <w:pPr>
        <w:pStyle w:val="Heading8"/>
        <w:spacing w:after="240"/>
      </w:pPr>
      <w:r>
        <w:t>“</w:t>
      </w:r>
      <w:r>
        <w:rPr>
          <w:b/>
          <w:bCs/>
        </w:rPr>
        <w:t>Standard Capital</w:t>
      </w:r>
      <w:r>
        <w:t>” means Standard Capital Ventures Fund I LP.</w:t>
      </w:r>
    </w:p>
    <w:p w14:paraId="18AFF26F" w14:textId="77777777" w:rsidR="004E2D06" w:rsidRPr="004E2D06" w:rsidRDefault="00914B3A">
      <w:pPr>
        <w:pStyle w:val="Heading1"/>
        <w:keepNext/>
        <w:rPr>
          <w:vanish/>
          <w:szCs w:val="22"/>
          <w:specVanish/>
        </w:rPr>
      </w:pPr>
      <w:bookmarkStart w:id="120" w:name="_Ref145425731"/>
      <w:bookmarkStart w:id="121" w:name="_Ref42252471"/>
      <w:r>
        <w:rPr>
          <w:szCs w:val="22"/>
          <w:u w:val="single"/>
        </w:rPr>
        <w:lastRenderedPageBreak/>
        <w:t>Registration Rights</w:t>
      </w:r>
      <w:bookmarkEnd w:id="120"/>
    </w:p>
    <w:p w14:paraId="30F45382" w14:textId="77777777" w:rsidR="00914B3A" w:rsidRPr="000D36C4" w:rsidRDefault="00914B3A" w:rsidP="004E2D06">
      <w:pPr>
        <w:pStyle w:val="HeadingPara1"/>
      </w:pPr>
      <w:r>
        <w:t>. The Company covenants and agrees as follows:</w:t>
      </w:r>
      <w:bookmarkEnd w:id="121"/>
    </w:p>
    <w:p w14:paraId="28346B22" w14:textId="77777777" w:rsidR="00914B3A" w:rsidRPr="000D36C4" w:rsidRDefault="00914B3A">
      <w:pPr>
        <w:pStyle w:val="Heading2"/>
        <w:keepNext/>
      </w:pPr>
      <w:bookmarkStart w:id="122" w:name="_Ref42252472"/>
      <w:bookmarkStart w:id="123" w:name="_Ref_ContractCompanion_9kb9Ur14D"/>
      <w:r>
        <w:rPr>
          <w:u w:color="000000"/>
        </w:rPr>
        <w:t>Demand Registration</w:t>
      </w:r>
      <w:r>
        <w:rPr>
          <w:u w:val="none"/>
        </w:rPr>
        <w:t>.</w:t>
      </w:r>
      <w:bookmarkEnd w:id="122"/>
      <w:bookmarkEnd w:id="123"/>
    </w:p>
    <w:p w14:paraId="7DFEC712" w14:textId="78082D10" w:rsidR="00914B3A" w:rsidRPr="000D36C4" w:rsidRDefault="00914B3A">
      <w:pPr>
        <w:pStyle w:val="Heading3"/>
      </w:pPr>
      <w:bookmarkStart w:id="124" w:name="_Ref42252473"/>
      <w:r>
        <w:rPr>
          <w:b/>
          <w:bCs/>
        </w:rPr>
        <w:t>Form S-1 Demand</w:t>
      </w:r>
      <w:r>
        <w:t>. If at any time after the earlier of (i) [insert date]</w:t>
      </w:r>
      <w:r w:rsidR="00025511">
        <w:rPr>
          <w:rStyle w:val="FootnoteReference"/>
        </w:rPr>
        <w:footnoteReference w:id="4"/>
      </w:r>
      <w:r>
        <w:t xml:space="preserve"> or (ii) 180 days</w:t>
      </w:r>
      <w:bookmarkStart w:id="125" w:name="_DV_M116"/>
      <w:bookmarkEnd w:id="125"/>
      <w:r>
        <w:t xml:space="preserve"> after the effective date of the registration statement for the IPO, the Company receives a request from Holders of </w:t>
      </w:r>
      <w:r w:rsidR="000D5A1E">
        <w:t>a</w:t>
      </w:r>
      <w:r w:rsidR="00025511">
        <w:t>t  least 40%</w:t>
      </w:r>
      <w:r w:rsidR="000D5A1E">
        <w:t xml:space="preserve"> </w:t>
      </w:r>
      <w:r>
        <w:t xml:space="preserve">of the Registrable Securities then outstanding that the Company file a Form S-1 registration statement with respect to Registrable Securities then outstanding </w:t>
      </w:r>
      <w:r w:rsidR="0040199E">
        <w:t>having an</w:t>
      </w:r>
      <w:r>
        <w:t xml:space="preserve"> anticipated aggregate offering price, net of Selling Expenses, would exceed $</w:t>
      </w:r>
      <w:r w:rsidR="00025511">
        <w:t>1</w:t>
      </w:r>
      <w:r w:rsidR="0040199E">
        <w:t>0</w:t>
      </w:r>
      <w:r>
        <w:t>,000,000), then the Company shall: (x) within ten days after the date such request is given, give notice thereof (the “</w:t>
      </w:r>
      <w:r>
        <w:rPr>
          <w:b/>
        </w:rPr>
        <w:t>Demand Notice</w:t>
      </w:r>
      <w:r>
        <w:t xml:space="preserve">”) to all Holders other than the Initiating Holders; and (y) as soon as practicable, and in any event within 60 days after the date such request is given by the Initiating Holders, file a Form S-1 registration statement under the Securities Act covering all Registrable Securities that the Initiating Holders requested to be registered and any additional Registrable Securities requested to be included in such registration by any other Holders, as specified by notice given by each such Holder to the Company within 20 days of the date the Demand Notice is given, and in each case, subject to the limitations of </w:t>
      </w:r>
      <w:r>
        <w:rPr>
          <w:u w:val="single"/>
        </w:rPr>
        <w:t xml:space="preserve">Sections </w:t>
      </w:r>
      <w:r>
        <w:rPr>
          <w:u w:val="single"/>
        </w:rPr>
        <w:fldChar w:fldCharType="begin"/>
      </w:r>
      <w:r>
        <w:rPr>
          <w:u w:val="single"/>
        </w:rPr>
        <w:instrText xml:space="preserve"> REF _Ref42252475 \w \h\*MERGEFORMAT </w:instrText>
      </w:r>
      <w:r>
        <w:rPr>
          <w:u w:val="single"/>
        </w:rPr>
      </w:r>
      <w:r>
        <w:rPr>
          <w:u w:val="single"/>
        </w:rPr>
        <w:fldChar w:fldCharType="separate"/>
      </w:r>
      <w:r w:rsidR="008D7705">
        <w:rPr>
          <w:u w:val="single"/>
        </w:rPr>
        <w:t>2.1(c)</w:t>
      </w:r>
      <w:r>
        <w:rPr>
          <w:u w:val="single"/>
        </w:rPr>
        <w:fldChar w:fldCharType="end"/>
      </w:r>
      <w:r>
        <w:t xml:space="preserve"> and </w:t>
      </w:r>
      <w:r>
        <w:rPr>
          <w:color w:val="000000"/>
          <w:u w:val="single"/>
        </w:rPr>
        <w:fldChar w:fldCharType="begin"/>
      </w:r>
      <w:r>
        <w:rPr>
          <w:color w:val="000000"/>
          <w:u w:val="single"/>
        </w:rPr>
        <w:instrText xml:space="preserve"> REF _Ref42252478 \r \h \* MERGEFORMAT </w:instrText>
      </w:r>
      <w:r>
        <w:rPr>
          <w:color w:val="000000"/>
          <w:u w:val="single"/>
        </w:rPr>
      </w:r>
      <w:r>
        <w:rPr>
          <w:color w:val="000000"/>
          <w:u w:val="single"/>
        </w:rPr>
        <w:fldChar w:fldCharType="separate"/>
      </w:r>
      <w:r w:rsidR="008D7705">
        <w:rPr>
          <w:color w:val="000000"/>
          <w:u w:val="single"/>
        </w:rPr>
        <w:t>2.3</w:t>
      </w:r>
      <w:r>
        <w:rPr>
          <w:color w:val="000000"/>
          <w:u w:val="single"/>
        </w:rPr>
        <w:fldChar w:fldCharType="end"/>
      </w:r>
      <w:bookmarkEnd w:id="124"/>
      <w:r w:rsidR="00025511">
        <w:rPr>
          <w:color w:val="000000"/>
        </w:rPr>
        <w:t>.</w:t>
      </w:r>
    </w:p>
    <w:p w14:paraId="322807EF" w14:textId="4609F818" w:rsidR="00914B3A" w:rsidRPr="000D36C4" w:rsidRDefault="00914B3A">
      <w:pPr>
        <w:pStyle w:val="Heading3"/>
      </w:pPr>
      <w:bookmarkStart w:id="126" w:name="_Ref42252474"/>
      <w:r>
        <w:rPr>
          <w:b/>
          <w:bCs/>
        </w:rPr>
        <w:t>Form S-3 Demand</w:t>
      </w:r>
      <w:r>
        <w:t xml:space="preserve">. If at any time when it is eligible to use a Form S-3 registration statement, the Company receives a request from Holders of the Registrable Securities then outstanding that the Company file a Form S-3 registration statement with respect to outstanding Registrable Securities of such Holders </w:t>
      </w:r>
      <w:r w:rsidR="00025511">
        <w:t xml:space="preserve">that represent at least 20% of the then-outstanding Registrable Securities, and </w:t>
      </w:r>
      <w:r>
        <w:t>having an anticipated aggregate offering price, net of Selling Expenses, of at least $</w:t>
      </w:r>
      <w:r w:rsidR="00025511">
        <w:t>4</w:t>
      </w:r>
      <w:r>
        <w:t xml:space="preserve">,000,000, then the Company shall (i) within ten days after the date such request is given, give a Demand Notice to all Holders other than the Initiating Holders; and (ii) as soon as practicable, and in any event within 45 days after the date such request is given by the Initiating Holders, file a Form S-3 registration statement under the Securities Act covering all Registrable Securities requested to be included in such registration by any other Holders, as specified by notice given by each such Holder to the Company within 20 days of the date the Demand Notice is given, and in each case, subject to the limitations of </w:t>
      </w:r>
      <w:r>
        <w:rPr>
          <w:u w:val="single"/>
        </w:rPr>
        <w:t xml:space="preserve">Sections </w:t>
      </w:r>
      <w:r>
        <w:rPr>
          <w:u w:val="single"/>
        </w:rPr>
        <w:fldChar w:fldCharType="begin"/>
      </w:r>
      <w:r>
        <w:rPr>
          <w:u w:val="single"/>
        </w:rPr>
        <w:instrText xml:space="preserve"> REF _Ref42252475 \w \h\*MERGEFORMAT </w:instrText>
      </w:r>
      <w:r>
        <w:rPr>
          <w:u w:val="single"/>
        </w:rPr>
      </w:r>
      <w:r>
        <w:rPr>
          <w:u w:val="single"/>
        </w:rPr>
        <w:fldChar w:fldCharType="separate"/>
      </w:r>
      <w:r w:rsidR="008D7705">
        <w:rPr>
          <w:u w:val="single"/>
        </w:rPr>
        <w:t>2.1(c)</w:t>
      </w:r>
      <w:r>
        <w:rPr>
          <w:u w:val="single"/>
        </w:rPr>
        <w:fldChar w:fldCharType="end"/>
      </w:r>
      <w:r>
        <w:t xml:space="preserve"> and </w:t>
      </w:r>
      <w:r>
        <w:rPr>
          <w:color w:val="000000"/>
          <w:u w:val="single"/>
        </w:rPr>
        <w:fldChar w:fldCharType="begin"/>
      </w:r>
      <w:r>
        <w:rPr>
          <w:color w:val="000000"/>
          <w:u w:val="single"/>
        </w:rPr>
        <w:instrText xml:space="preserve"> REF _Ref42252478 \r \h \* MERGEFORMAT </w:instrText>
      </w:r>
      <w:r>
        <w:rPr>
          <w:color w:val="000000"/>
          <w:u w:val="single"/>
        </w:rPr>
      </w:r>
      <w:r>
        <w:rPr>
          <w:color w:val="000000"/>
          <w:u w:val="single"/>
        </w:rPr>
        <w:fldChar w:fldCharType="separate"/>
      </w:r>
      <w:r w:rsidR="008D7705">
        <w:rPr>
          <w:color w:val="000000"/>
          <w:u w:val="single"/>
        </w:rPr>
        <w:t>2.3</w:t>
      </w:r>
      <w:r>
        <w:rPr>
          <w:color w:val="000000"/>
          <w:u w:val="single"/>
        </w:rPr>
        <w:fldChar w:fldCharType="end"/>
      </w:r>
      <w:r>
        <w:t>.</w:t>
      </w:r>
      <w:bookmarkEnd w:id="126"/>
    </w:p>
    <w:p w14:paraId="44C5222F" w14:textId="3A216278" w:rsidR="00914B3A" w:rsidRPr="000D36C4" w:rsidRDefault="00914B3A">
      <w:pPr>
        <w:pStyle w:val="Heading3"/>
      </w:pPr>
      <w:bookmarkStart w:id="127" w:name="_Ref42252475"/>
      <w:r>
        <w:t xml:space="preserve">Notwithstanding the foregoing obligations, if the Company furnishes to Holders requesting a registration pursuant to this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sidR="008D7705">
        <w:rPr>
          <w:color w:val="000000"/>
          <w:u w:val="single"/>
        </w:rPr>
        <w:t>2.1</w:t>
      </w:r>
      <w:r>
        <w:rPr>
          <w:color w:val="000000"/>
          <w:u w:val="single"/>
        </w:rPr>
        <w:fldChar w:fldCharType="end"/>
      </w:r>
      <w:r>
        <w:t xml:space="preserve"> a certificate signed by the Company’s chief executive officer stating that in the good faith judgment of the Board of Directors it would be materially detrimental to the Company for such registration statement to either become effective or remain effective for as long as such registration statement otherwise would be required to remain effective, because such action would (i) materially interfere with a significant acquisition, corporate reorganization, or other similar transaction involving the Company; (ii) require premature disclosure of material information that the Company has a bona fide business purpose for preserving as confidential; or (iii) render the Company unable to comply with requirements under the Securities Act or Exchange Act, then the Company shall have the right to defer taking action with respect to such filing, and any time periods with respect to filing or effectiveness thereof shall be tolled correspondingly,</w:t>
      </w:r>
      <w:r w:rsidR="00025511">
        <w:t xml:space="preserve"> </w:t>
      </w:r>
      <w:r>
        <w:t xml:space="preserve">for a period of not more than </w:t>
      </w:r>
      <w:r w:rsidR="00025511">
        <w:t>90</w:t>
      </w:r>
      <w:r>
        <w:t xml:space="preserve"> days after the request of the Initiating Holders is given; </w:t>
      </w:r>
      <w:r>
        <w:rPr>
          <w:u w:val="words"/>
        </w:rPr>
        <w:t>provided</w:t>
      </w:r>
      <w:r>
        <w:t>,</w:t>
      </w:r>
      <w:r>
        <w:rPr>
          <w:u w:val="words"/>
        </w:rPr>
        <w:t xml:space="preserve"> however</w:t>
      </w:r>
      <w:r>
        <w:t xml:space="preserve">, that the Company may not invoke this right more than once in any 12-month period; and </w:t>
      </w:r>
      <w:r>
        <w:rPr>
          <w:u w:val="words"/>
        </w:rPr>
        <w:t>provided further</w:t>
      </w:r>
      <w:r>
        <w:t xml:space="preserve"> that the Company shall not register any securities for its own account or that of any other </w:t>
      </w:r>
      <w:bookmarkStart w:id="128" w:name="_9kMJI5YVt46678Bec5pmsx2sm1G"/>
      <w:r>
        <w:t>stockholder</w:t>
      </w:r>
      <w:bookmarkEnd w:id="128"/>
      <w:r>
        <w:t xml:space="preserve"> during such </w:t>
      </w:r>
      <w:r w:rsidR="00025511">
        <w:t>90</w:t>
      </w:r>
      <w:r>
        <w:t xml:space="preserve"> day period other than an Excluded Registration.</w:t>
      </w:r>
      <w:bookmarkEnd w:id="127"/>
      <w:r>
        <w:t xml:space="preserve"> </w:t>
      </w:r>
    </w:p>
    <w:p w14:paraId="59BD2E0E" w14:textId="28B50FA9" w:rsidR="00914B3A" w:rsidRPr="000D36C4" w:rsidRDefault="00914B3A">
      <w:pPr>
        <w:pStyle w:val="Heading3"/>
      </w:pPr>
      <w:bookmarkStart w:id="129" w:name="_Ref42252476"/>
      <w:r>
        <w:t xml:space="preserve">The Company shall not be obligated to effect, or to take any action to effect, any registration pursuant to </w:t>
      </w:r>
      <w:r>
        <w:rPr>
          <w:u w:val="single"/>
        </w:rPr>
        <w:t xml:space="preserve">Section </w:t>
      </w:r>
      <w:r>
        <w:rPr>
          <w:u w:val="single"/>
        </w:rPr>
        <w:fldChar w:fldCharType="begin"/>
      </w:r>
      <w:r>
        <w:rPr>
          <w:u w:val="single"/>
        </w:rPr>
        <w:instrText xml:space="preserve"> REF _Ref42252473 \w \h\*MERGEFORMAT </w:instrText>
      </w:r>
      <w:r>
        <w:rPr>
          <w:u w:val="single"/>
        </w:rPr>
      </w:r>
      <w:r>
        <w:rPr>
          <w:u w:val="single"/>
        </w:rPr>
        <w:fldChar w:fldCharType="separate"/>
      </w:r>
      <w:r w:rsidR="008D7705">
        <w:rPr>
          <w:u w:val="single"/>
        </w:rPr>
        <w:t>2.1(a)</w:t>
      </w:r>
      <w:r>
        <w:rPr>
          <w:u w:val="single"/>
        </w:rPr>
        <w:fldChar w:fldCharType="end"/>
      </w:r>
      <w:r>
        <w:t xml:space="preserve">, (i) during the period that is 60 days before the Company’s good faith estimate of the date of filing of, and ending on a date that is 180 days after the effective date of, a </w:t>
      </w:r>
      <w:bookmarkStart w:id="130" w:name="_9kR3WTr26648ISFwynmB7xy56o05q"/>
      <w:bookmarkStart w:id="131" w:name="_9kR3WTr2664AEMFwynmB7xy56o05q"/>
      <w:r>
        <w:t>Company-initiated</w:t>
      </w:r>
      <w:bookmarkEnd w:id="130"/>
      <w:bookmarkEnd w:id="131"/>
      <w:r>
        <w:t xml:space="preserve"> registration, </w:t>
      </w:r>
      <w:r>
        <w:rPr>
          <w:u w:val="single"/>
        </w:rPr>
        <w:t>provided</w:t>
      </w:r>
      <w:r>
        <w:t xml:space="preserve"> that the Company is actively employing in good faith commercially reasonable efforts to cause such registration statement to become effective; (ii) after the Company has </w:t>
      </w:r>
      <w:r>
        <w:lastRenderedPageBreak/>
        <w:t xml:space="preserve">effected two registrations pursuant to </w:t>
      </w:r>
      <w:r>
        <w:rPr>
          <w:u w:val="single"/>
        </w:rPr>
        <w:t xml:space="preserve">Section </w:t>
      </w:r>
      <w:r>
        <w:rPr>
          <w:u w:val="single"/>
        </w:rPr>
        <w:fldChar w:fldCharType="begin"/>
      </w:r>
      <w:r>
        <w:rPr>
          <w:u w:val="single"/>
        </w:rPr>
        <w:instrText xml:space="preserve"> REF _Ref42252473 \w \h\*MERGEFORMAT </w:instrText>
      </w:r>
      <w:r>
        <w:rPr>
          <w:u w:val="single"/>
        </w:rPr>
      </w:r>
      <w:r>
        <w:rPr>
          <w:u w:val="single"/>
        </w:rPr>
        <w:fldChar w:fldCharType="separate"/>
      </w:r>
      <w:r w:rsidR="008D7705">
        <w:rPr>
          <w:u w:val="single"/>
        </w:rPr>
        <w:t>2.1(a)</w:t>
      </w:r>
      <w:r>
        <w:rPr>
          <w:u w:val="single"/>
        </w:rPr>
        <w:fldChar w:fldCharType="end"/>
      </w:r>
      <w:r>
        <w:t xml:space="preserve">; or (iii) if the Initiating Holders propose to dispose of shares of Registrable Securities that may be immediately registered on Form S-3 pursuant to a request made pursuant to </w:t>
      </w:r>
      <w:r>
        <w:rPr>
          <w:u w:val="single"/>
        </w:rPr>
        <w:t xml:space="preserve">Section </w:t>
      </w:r>
      <w:r>
        <w:rPr>
          <w:u w:val="single"/>
        </w:rPr>
        <w:fldChar w:fldCharType="begin"/>
      </w:r>
      <w:r>
        <w:rPr>
          <w:u w:val="single"/>
        </w:rPr>
        <w:instrText xml:space="preserve"> REF _Ref42252474 \w \h\*MERGEFORMAT </w:instrText>
      </w:r>
      <w:r>
        <w:rPr>
          <w:u w:val="single"/>
        </w:rPr>
      </w:r>
      <w:r>
        <w:rPr>
          <w:u w:val="single"/>
        </w:rPr>
        <w:fldChar w:fldCharType="separate"/>
      </w:r>
      <w:r w:rsidR="008D7705">
        <w:rPr>
          <w:u w:val="single"/>
        </w:rPr>
        <w:t>2.1(b)</w:t>
      </w:r>
      <w:r>
        <w:rPr>
          <w:u w:val="single"/>
        </w:rPr>
        <w:fldChar w:fldCharType="end"/>
      </w:r>
      <w:r>
        <w:t xml:space="preserve">. The Company shall not be obligated to effect, or to take any action to effect, any registration pursuant to </w:t>
      </w:r>
      <w:r>
        <w:rPr>
          <w:u w:val="single"/>
        </w:rPr>
        <w:t xml:space="preserve">Section </w:t>
      </w:r>
      <w:r>
        <w:rPr>
          <w:u w:val="single"/>
        </w:rPr>
        <w:fldChar w:fldCharType="begin"/>
      </w:r>
      <w:r>
        <w:rPr>
          <w:u w:val="single"/>
        </w:rPr>
        <w:instrText xml:space="preserve"> REF _Ref42252474 \w \h\*MERGEFORMAT </w:instrText>
      </w:r>
      <w:r>
        <w:rPr>
          <w:u w:val="single"/>
        </w:rPr>
      </w:r>
      <w:r>
        <w:rPr>
          <w:u w:val="single"/>
        </w:rPr>
        <w:fldChar w:fldCharType="separate"/>
      </w:r>
      <w:r w:rsidR="008D7705">
        <w:rPr>
          <w:u w:val="single"/>
        </w:rPr>
        <w:t>2.1(b)</w:t>
      </w:r>
      <w:r>
        <w:rPr>
          <w:u w:val="single"/>
        </w:rPr>
        <w:fldChar w:fldCharType="end"/>
      </w:r>
      <w:r>
        <w:t xml:space="preserve">, (i) during the period that is 30 days before the Company’s good faith estimate of the date of filing of, and ending on a date that is 90 days after the effective date of, a </w:t>
      </w:r>
      <w:bookmarkStart w:id="132" w:name="_9kMHG5YVt4886AKUHy0poD9z078q27s"/>
      <w:bookmarkStart w:id="133" w:name="_9kMHG5YVt4886CGOHy0poD9z078q27s"/>
      <w:r>
        <w:t>Company-initiated</w:t>
      </w:r>
      <w:bookmarkEnd w:id="132"/>
      <w:bookmarkEnd w:id="133"/>
      <w:r>
        <w:t xml:space="preserve"> registration, </w:t>
      </w:r>
      <w:r>
        <w:rPr>
          <w:u w:val="single"/>
        </w:rPr>
        <w:t>provided</w:t>
      </w:r>
      <w:r>
        <w:t xml:space="preserve"> that the Company is actively employing in good faith commercially reasonable efforts to cause such registration statement to become effective; or (ii) if the Company has effected two registrations pursuant to </w:t>
      </w:r>
      <w:r>
        <w:rPr>
          <w:u w:val="single"/>
        </w:rPr>
        <w:t xml:space="preserve">Section </w:t>
      </w:r>
      <w:r>
        <w:rPr>
          <w:u w:val="single"/>
        </w:rPr>
        <w:fldChar w:fldCharType="begin"/>
      </w:r>
      <w:r>
        <w:rPr>
          <w:u w:val="single"/>
        </w:rPr>
        <w:instrText xml:space="preserve"> REF _Ref42252474 \w \h\*MERGEFORMAT </w:instrText>
      </w:r>
      <w:r>
        <w:rPr>
          <w:u w:val="single"/>
        </w:rPr>
      </w:r>
      <w:r>
        <w:rPr>
          <w:u w:val="single"/>
        </w:rPr>
        <w:fldChar w:fldCharType="separate"/>
      </w:r>
      <w:r w:rsidR="008D7705">
        <w:rPr>
          <w:u w:val="single"/>
        </w:rPr>
        <w:t>2.1(b)</w:t>
      </w:r>
      <w:r>
        <w:rPr>
          <w:u w:val="single"/>
        </w:rPr>
        <w:fldChar w:fldCharType="end"/>
      </w:r>
      <w:r>
        <w:t xml:space="preserve"> within the 12-month period immediately preceding the date of such request. A registration shall not be counted as “effected” for purposes of this </w:t>
      </w:r>
      <w:r>
        <w:rPr>
          <w:u w:val="single"/>
        </w:rPr>
        <w:t xml:space="preserve">Section </w:t>
      </w:r>
      <w:r>
        <w:rPr>
          <w:u w:val="single"/>
        </w:rPr>
        <w:fldChar w:fldCharType="begin"/>
      </w:r>
      <w:r>
        <w:rPr>
          <w:u w:val="single"/>
        </w:rPr>
        <w:instrText xml:space="preserve"> REF _Ref42252476 \w \h\*MERGEFORMAT </w:instrText>
      </w:r>
      <w:r>
        <w:rPr>
          <w:u w:val="single"/>
        </w:rPr>
      </w:r>
      <w:r>
        <w:rPr>
          <w:u w:val="single"/>
        </w:rPr>
        <w:fldChar w:fldCharType="separate"/>
      </w:r>
      <w:r w:rsidR="008D7705">
        <w:rPr>
          <w:u w:val="single"/>
        </w:rPr>
        <w:t>2.1(d)</w:t>
      </w:r>
      <w:r>
        <w:rPr>
          <w:u w:val="single"/>
        </w:rPr>
        <w:fldChar w:fldCharType="end"/>
      </w:r>
      <w:r>
        <w:t xml:space="preserve"> until such time as the applicable registration statement has been declared effective by the SEC, unless the Initiating Holders withdraw their request for such registration, elect not to pay the registration expenses therefor, and forfeit their right to one demand registration statement pursuant to </w:t>
      </w:r>
      <w:r>
        <w:rPr>
          <w:u w:val="single"/>
        </w:rPr>
        <w:t xml:space="preserve">Section </w:t>
      </w:r>
      <w:r>
        <w:rPr>
          <w:color w:val="000000"/>
          <w:u w:val="single"/>
        </w:rPr>
        <w:fldChar w:fldCharType="begin"/>
      </w:r>
      <w:r>
        <w:rPr>
          <w:color w:val="000000"/>
          <w:u w:val="single"/>
        </w:rPr>
        <w:instrText xml:space="preserve"> REF _Ref42252494 \r \h \* MERGEFORMAT </w:instrText>
      </w:r>
      <w:r>
        <w:rPr>
          <w:color w:val="000000"/>
          <w:u w:val="single"/>
        </w:rPr>
      </w:r>
      <w:r>
        <w:rPr>
          <w:color w:val="000000"/>
          <w:u w:val="single"/>
        </w:rPr>
        <w:fldChar w:fldCharType="separate"/>
      </w:r>
      <w:r w:rsidR="008D7705">
        <w:rPr>
          <w:color w:val="000000"/>
          <w:u w:val="single"/>
        </w:rPr>
        <w:t>2.6</w:t>
      </w:r>
      <w:r>
        <w:rPr>
          <w:color w:val="000000"/>
          <w:u w:val="single"/>
        </w:rPr>
        <w:fldChar w:fldCharType="end"/>
      </w:r>
      <w:r>
        <w:t xml:space="preserve">, in which case such withdrawn registration statement shall be counted as “effected” for purposes of this </w:t>
      </w:r>
      <w:r>
        <w:rPr>
          <w:u w:val="single"/>
        </w:rPr>
        <w:t xml:space="preserve">Section </w:t>
      </w:r>
      <w:r>
        <w:rPr>
          <w:u w:val="single"/>
        </w:rPr>
        <w:fldChar w:fldCharType="begin"/>
      </w:r>
      <w:r>
        <w:rPr>
          <w:u w:val="single"/>
        </w:rPr>
        <w:instrText xml:space="preserve"> REF _Ref42252476 \w \h\*MERGEFORMAT </w:instrText>
      </w:r>
      <w:r>
        <w:rPr>
          <w:u w:val="single"/>
        </w:rPr>
      </w:r>
      <w:r>
        <w:rPr>
          <w:u w:val="single"/>
        </w:rPr>
        <w:fldChar w:fldCharType="separate"/>
      </w:r>
      <w:r w:rsidR="008D7705">
        <w:rPr>
          <w:u w:val="single"/>
        </w:rPr>
        <w:t>2.1(d)</w:t>
      </w:r>
      <w:r>
        <w:rPr>
          <w:u w:val="single"/>
        </w:rPr>
        <w:fldChar w:fldCharType="end"/>
      </w:r>
      <w:r>
        <w:t xml:space="preserve">; </w:t>
      </w:r>
      <w:r>
        <w:rPr>
          <w:u w:val="single"/>
        </w:rPr>
        <w:t>provided</w:t>
      </w:r>
      <w:r>
        <w:t xml:space="preserve">, that if such withdrawal is during a period the Company has deferred taking action pursuant to </w:t>
      </w:r>
      <w:r>
        <w:rPr>
          <w:u w:val="single"/>
        </w:rPr>
        <w:t xml:space="preserve">Section </w:t>
      </w:r>
      <w:r>
        <w:rPr>
          <w:u w:val="single"/>
        </w:rPr>
        <w:fldChar w:fldCharType="begin"/>
      </w:r>
      <w:r>
        <w:rPr>
          <w:u w:val="single"/>
        </w:rPr>
        <w:instrText xml:space="preserve"> REF _Ref42252475 \w \h\*MERGEFORMAT </w:instrText>
      </w:r>
      <w:r>
        <w:rPr>
          <w:u w:val="single"/>
        </w:rPr>
      </w:r>
      <w:r>
        <w:rPr>
          <w:u w:val="single"/>
        </w:rPr>
        <w:fldChar w:fldCharType="separate"/>
      </w:r>
      <w:r w:rsidR="008D7705">
        <w:rPr>
          <w:u w:val="single"/>
        </w:rPr>
        <w:t>2.1(c)</w:t>
      </w:r>
      <w:r>
        <w:rPr>
          <w:u w:val="single"/>
        </w:rPr>
        <w:fldChar w:fldCharType="end"/>
      </w:r>
      <w:r>
        <w:t xml:space="preserve">, then the Initiating Holders may withdraw their request for registration and such registration will not be counted as “effected” for purposes of this </w:t>
      </w:r>
      <w:r>
        <w:rPr>
          <w:u w:val="single"/>
        </w:rPr>
        <w:t xml:space="preserve">Section </w:t>
      </w:r>
      <w:r>
        <w:rPr>
          <w:u w:val="single"/>
        </w:rPr>
        <w:fldChar w:fldCharType="begin"/>
      </w:r>
      <w:r>
        <w:rPr>
          <w:u w:val="single"/>
        </w:rPr>
        <w:instrText xml:space="preserve"> REF _Ref42252476 \w \h\*MERGEFORMAT </w:instrText>
      </w:r>
      <w:r>
        <w:rPr>
          <w:u w:val="single"/>
        </w:rPr>
      </w:r>
      <w:r>
        <w:rPr>
          <w:u w:val="single"/>
        </w:rPr>
        <w:fldChar w:fldCharType="separate"/>
      </w:r>
      <w:r w:rsidR="008D7705">
        <w:rPr>
          <w:u w:val="single"/>
        </w:rPr>
        <w:t>2.1(d)</w:t>
      </w:r>
      <w:r>
        <w:rPr>
          <w:u w:val="single"/>
        </w:rPr>
        <w:fldChar w:fldCharType="end"/>
      </w:r>
      <w:r>
        <w:t>.</w:t>
      </w:r>
      <w:bookmarkEnd w:id="129"/>
    </w:p>
    <w:p w14:paraId="499CA5C7" w14:textId="77777777" w:rsidR="005F1A1F" w:rsidRPr="005F1A1F" w:rsidRDefault="00914B3A">
      <w:pPr>
        <w:pStyle w:val="Heading2"/>
        <w:keepNext/>
        <w:rPr>
          <w:vanish/>
          <w:specVanish/>
        </w:rPr>
      </w:pPr>
      <w:bookmarkStart w:id="134" w:name="_Ref42252477"/>
      <w:r>
        <w:t>Company Registration</w:t>
      </w:r>
    </w:p>
    <w:p w14:paraId="1990A334" w14:textId="50BF1974" w:rsidR="007E4E59" w:rsidRPr="005F1A1F" w:rsidRDefault="00466086" w:rsidP="007D1021">
      <w:pPr>
        <w:pStyle w:val="HeadingPara2"/>
      </w:pPr>
      <w:r>
        <w:t xml:space="preserve">. If the Company proposes to register (including for this purpose a registration effected by the Company for </w:t>
      </w:r>
      <w:bookmarkStart w:id="135" w:name="_9kMKJ5YVt46678Bec5pmsx2sm1G"/>
      <w:r>
        <w:t>stockholders</w:t>
      </w:r>
      <w:bookmarkEnd w:id="135"/>
      <w:r>
        <w:t xml:space="preserve"> other than the Holders) any of its Common Stock under the Securities Act in connection with the public offering of such securities solely for cash (other than in an Excluded Registration or a registration pursuant to </w:t>
      </w:r>
      <w:r>
        <w:rPr>
          <w:u w:val="single"/>
        </w:rPr>
        <w:t xml:space="preserve">Section </w:t>
      </w:r>
      <w:r>
        <w:rPr>
          <w:u w:val="single"/>
        </w:rPr>
        <w:fldChar w:fldCharType="begin"/>
      </w:r>
      <w:r>
        <w:rPr>
          <w:u w:val="single"/>
        </w:rPr>
        <w:instrText xml:space="preserve"> REF _Ref42252472 \w \h  \* MERGEFORMAT </w:instrText>
      </w:r>
      <w:r>
        <w:rPr>
          <w:u w:val="single"/>
        </w:rPr>
      </w:r>
      <w:r>
        <w:rPr>
          <w:u w:val="single"/>
        </w:rPr>
        <w:fldChar w:fldCharType="separate"/>
      </w:r>
      <w:r w:rsidR="008D7705">
        <w:rPr>
          <w:u w:val="single"/>
        </w:rPr>
        <w:t>2.1</w:t>
      </w:r>
      <w:r>
        <w:rPr>
          <w:u w:val="single"/>
        </w:rPr>
        <w:fldChar w:fldCharType="end"/>
      </w:r>
      <w:r>
        <w:t xml:space="preserve">), the Company shall, at such time, promptly give each Holder notice of such registration. Upon the request of each Holder given within 20 days after such notice is given by the Company, the Company shall, subject to the provisions of </w:t>
      </w:r>
      <w:r>
        <w:rPr>
          <w:u w:val="single"/>
        </w:rPr>
        <w:t xml:space="preserve">Section </w:t>
      </w:r>
      <w:r>
        <w:rPr>
          <w:color w:val="000000"/>
          <w:u w:val="single"/>
        </w:rPr>
        <w:fldChar w:fldCharType="begin"/>
      </w:r>
      <w:r>
        <w:rPr>
          <w:color w:val="000000"/>
          <w:u w:val="single"/>
        </w:rPr>
        <w:instrText xml:space="preserve"> REF _Ref42252478 \r \h \* MERGEFORMAT </w:instrText>
      </w:r>
      <w:r>
        <w:rPr>
          <w:color w:val="000000"/>
          <w:u w:val="single"/>
        </w:rPr>
      </w:r>
      <w:r>
        <w:rPr>
          <w:color w:val="000000"/>
          <w:u w:val="single"/>
        </w:rPr>
        <w:fldChar w:fldCharType="separate"/>
      </w:r>
      <w:r w:rsidR="008D7705">
        <w:rPr>
          <w:color w:val="000000"/>
          <w:u w:val="single"/>
        </w:rPr>
        <w:t>2.3</w:t>
      </w:r>
      <w:r>
        <w:rPr>
          <w:color w:val="000000"/>
          <w:u w:val="single"/>
        </w:rPr>
        <w:fldChar w:fldCharType="end"/>
      </w:r>
      <w:r>
        <w:t xml:space="preserve">, cause to be registered all of the Registrable Securities that each such Holder has requested to be included in such registration. The Company shall have the right to terminate or withdraw any registration initiated by it under this </w:t>
      </w:r>
      <w:r>
        <w:rPr>
          <w:u w:val="single"/>
        </w:rPr>
        <w:t xml:space="preserve">Section </w:t>
      </w:r>
      <w:r>
        <w:rPr>
          <w:color w:val="000000"/>
          <w:u w:val="single"/>
        </w:rPr>
        <w:fldChar w:fldCharType="begin"/>
      </w:r>
      <w:r>
        <w:rPr>
          <w:color w:val="000000"/>
          <w:u w:val="single"/>
        </w:rPr>
        <w:instrText xml:space="preserve"> REF _Ref42252477 \r \h \* MERGEFORMAT </w:instrText>
      </w:r>
      <w:r>
        <w:rPr>
          <w:color w:val="000000"/>
          <w:u w:val="single"/>
        </w:rPr>
      </w:r>
      <w:r>
        <w:rPr>
          <w:color w:val="000000"/>
          <w:u w:val="single"/>
        </w:rPr>
        <w:fldChar w:fldCharType="separate"/>
      </w:r>
      <w:r w:rsidR="008D7705">
        <w:rPr>
          <w:color w:val="000000"/>
          <w:u w:val="single"/>
        </w:rPr>
        <w:t>2.2</w:t>
      </w:r>
      <w:r>
        <w:rPr>
          <w:color w:val="000000"/>
          <w:u w:val="single"/>
        </w:rPr>
        <w:fldChar w:fldCharType="end"/>
      </w:r>
      <w:r>
        <w:t xml:space="preserve"> before the effective date of such registration, whether or not any Holder has elected to include Registrable Securities in such registration. The expenses (other than Selling Expenses) of such withdrawn registration shall be borne by the Company in accordance with </w:t>
      </w:r>
      <w:r>
        <w:rPr>
          <w:u w:val="single"/>
        </w:rPr>
        <w:t xml:space="preserve">Section </w:t>
      </w:r>
      <w:r>
        <w:rPr>
          <w:color w:val="000000"/>
          <w:u w:val="single"/>
        </w:rPr>
        <w:fldChar w:fldCharType="begin"/>
      </w:r>
      <w:r>
        <w:rPr>
          <w:color w:val="000000"/>
          <w:u w:val="single"/>
        </w:rPr>
        <w:instrText xml:space="preserve"> REF _Ref42252494 \r \h \* MERGEFORMAT </w:instrText>
      </w:r>
      <w:r>
        <w:rPr>
          <w:color w:val="000000"/>
          <w:u w:val="single"/>
        </w:rPr>
      </w:r>
      <w:r>
        <w:rPr>
          <w:color w:val="000000"/>
          <w:u w:val="single"/>
        </w:rPr>
        <w:fldChar w:fldCharType="separate"/>
      </w:r>
      <w:r w:rsidR="008D7705">
        <w:rPr>
          <w:color w:val="000000"/>
          <w:u w:val="single"/>
        </w:rPr>
        <w:t>2.6</w:t>
      </w:r>
      <w:r>
        <w:rPr>
          <w:color w:val="000000"/>
          <w:u w:val="single"/>
        </w:rPr>
        <w:fldChar w:fldCharType="end"/>
      </w:r>
      <w:r>
        <w:t>.</w:t>
      </w:r>
      <w:bookmarkEnd w:id="134"/>
    </w:p>
    <w:p w14:paraId="5CD1C88C" w14:textId="77777777" w:rsidR="00914B3A" w:rsidRPr="000D36C4" w:rsidRDefault="00914B3A">
      <w:pPr>
        <w:pStyle w:val="Heading2"/>
        <w:keepNext/>
      </w:pPr>
      <w:bookmarkStart w:id="136" w:name="_Ref42252478"/>
      <w:r>
        <w:t>Underwriting Requirements</w:t>
      </w:r>
      <w:r>
        <w:rPr>
          <w:u w:val="none"/>
        </w:rPr>
        <w:t>.</w:t>
      </w:r>
      <w:bookmarkEnd w:id="136"/>
    </w:p>
    <w:p w14:paraId="770787B6" w14:textId="72183689" w:rsidR="00914B3A" w:rsidRPr="000D36C4" w:rsidRDefault="00914B3A">
      <w:pPr>
        <w:pStyle w:val="Heading3"/>
      </w:pPr>
      <w:bookmarkStart w:id="137" w:name="_Ref42252479"/>
      <w:r>
        <w:t xml:space="preserve">If, pursuant to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sidR="008D7705">
        <w:rPr>
          <w:color w:val="000000"/>
          <w:u w:val="single"/>
        </w:rPr>
        <w:t>2.1</w:t>
      </w:r>
      <w:r>
        <w:rPr>
          <w:color w:val="000000"/>
          <w:u w:val="single"/>
        </w:rPr>
        <w:fldChar w:fldCharType="end"/>
      </w:r>
      <w:r>
        <w:t xml:space="preserve">, the Initiating Holders intend to distribute the Registrable Securities covered by their request by means of an underwriting, they shall so advise the Company as a part of their request made pursuant to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sidR="008D7705">
        <w:rPr>
          <w:color w:val="000000"/>
          <w:u w:val="single"/>
        </w:rPr>
        <w:t>2.1</w:t>
      </w:r>
      <w:r>
        <w:rPr>
          <w:color w:val="000000"/>
          <w:u w:val="single"/>
        </w:rPr>
        <w:fldChar w:fldCharType="end"/>
      </w:r>
      <w:r>
        <w:t xml:space="preserve">, and the Company shall include such information in the Demand Notice. The underwriter(s) will be selected by the Board of Directors and shall be reasonably acceptable to a majority in interest of the Initiating Holders. In such event, the right of any Holder to include such Holder’s Registrable Securities in such registration shall be conditioned upon such Holder’s participation in such underwriting and the inclusion of such Holder’s Registrable Securities in the underwriting to the extent provided herein. All Holders proposing to distribute their securities through such underwriting shall (together with the Company as provided in </w:t>
      </w:r>
      <w:r>
        <w:rPr>
          <w:u w:val="single"/>
        </w:rPr>
        <w:t xml:space="preserve">Section </w:t>
      </w:r>
      <w:r>
        <w:rPr>
          <w:color w:val="000000"/>
          <w:u w:val="single"/>
        </w:rPr>
        <w:fldChar w:fldCharType="begin"/>
      </w:r>
      <w:r>
        <w:rPr>
          <w:color w:val="000000"/>
          <w:u w:val="single"/>
        </w:rPr>
        <w:instrText xml:space="preserve"> REF _Ref42252487 \r \h \* MERGEFORMAT </w:instrText>
      </w:r>
      <w:r>
        <w:rPr>
          <w:color w:val="000000"/>
          <w:u w:val="single"/>
        </w:rPr>
      </w:r>
      <w:r>
        <w:rPr>
          <w:color w:val="000000"/>
          <w:u w:val="single"/>
        </w:rPr>
        <w:fldChar w:fldCharType="separate"/>
      </w:r>
      <w:r w:rsidR="008D7705">
        <w:rPr>
          <w:color w:val="000000"/>
          <w:u w:val="single"/>
        </w:rPr>
        <w:t>2.4(e)</w:t>
      </w:r>
      <w:r>
        <w:rPr>
          <w:color w:val="000000"/>
          <w:u w:val="single"/>
        </w:rPr>
        <w:fldChar w:fldCharType="end"/>
      </w:r>
      <w:r>
        <w:t>) enter into an underwriting agreement in customary form with the underwriter(s) selected for such underwriting</w:t>
      </w:r>
      <w:bookmarkStart w:id="138" w:name="_cp_text_1_65"/>
      <w:r>
        <w:t xml:space="preserve">; </w:t>
      </w:r>
      <w:r>
        <w:rPr>
          <w:u w:val="single"/>
        </w:rPr>
        <w:t>provided</w:t>
      </w:r>
      <w:r>
        <w:t xml:space="preserve">, </w:t>
      </w:r>
      <w:r>
        <w:rPr>
          <w:u w:val="single"/>
        </w:rPr>
        <w:t>however</w:t>
      </w:r>
      <w:r>
        <w:t>, that no Holder (or any of their assignees) shall be required to make any representations, warranties or indemnities except as they relate to such Holder’s ownership of shares and authority to enter into the underwriting agreement and to such Holder’s intended method of distribution</w:t>
      </w:r>
      <w:bookmarkStart w:id="139" w:name="_cp_text_4_66"/>
      <w:bookmarkEnd w:id="138"/>
      <w:r>
        <w:t xml:space="preserve">, and the </w:t>
      </w:r>
      <w:bookmarkStart w:id="140" w:name="_cp_text_1_67"/>
      <w:bookmarkEnd w:id="139"/>
      <w:r>
        <w:t>liability of such Holder shall be several and not joint, and limited to an amount equal to the net proceeds from the offering received by such Holder</w:t>
      </w:r>
      <w:bookmarkEnd w:id="140"/>
      <w:r>
        <w:t xml:space="preserve">. Notwithstanding any other provision of this </w:t>
      </w:r>
      <w:r>
        <w:rPr>
          <w:u w:val="single"/>
        </w:rPr>
        <w:t xml:space="preserve">Section </w:t>
      </w:r>
      <w:r>
        <w:rPr>
          <w:color w:val="000000"/>
          <w:u w:val="single"/>
        </w:rPr>
        <w:fldChar w:fldCharType="begin"/>
      </w:r>
      <w:r>
        <w:rPr>
          <w:color w:val="000000"/>
          <w:u w:val="single"/>
        </w:rPr>
        <w:instrText xml:space="preserve"> REF _Ref42252478 \r \h \* MERGEFORMAT </w:instrText>
      </w:r>
      <w:r>
        <w:rPr>
          <w:color w:val="000000"/>
          <w:u w:val="single"/>
        </w:rPr>
      </w:r>
      <w:r>
        <w:rPr>
          <w:color w:val="000000"/>
          <w:u w:val="single"/>
        </w:rPr>
        <w:fldChar w:fldCharType="separate"/>
      </w:r>
      <w:r w:rsidR="008D7705">
        <w:rPr>
          <w:color w:val="000000"/>
          <w:u w:val="single"/>
        </w:rPr>
        <w:t>2.3</w:t>
      </w:r>
      <w:r>
        <w:rPr>
          <w:color w:val="000000"/>
          <w:u w:val="single"/>
        </w:rPr>
        <w:fldChar w:fldCharType="end"/>
      </w:r>
      <w:r>
        <w:t xml:space="preserve">, if the underwriter(s) advise(s) the Initiating Holders in writing that marketing factors require a limitation on the number of shares to be underwritten, then the Initiating Holders shall so advise all Holders of Registrable Securities that otherwise would be underwritten pursuant hereto, and the number of Registrable Securities that may be included in the underwriting shall be allocated among such Holders of Registrable Securities, including the Initiating Holders, in proportion (as nearly as practicable) to the number of Registrable Securities owned </w:t>
      </w:r>
      <w:r>
        <w:lastRenderedPageBreak/>
        <w:t xml:space="preserve">by each Holder or in such other proportion as shall mutually be agreed to by all such selling Holders; </w:t>
      </w:r>
      <w:r>
        <w:rPr>
          <w:u w:val="words"/>
        </w:rPr>
        <w:t>provided</w:t>
      </w:r>
      <w:r>
        <w:t>,</w:t>
      </w:r>
      <w:r>
        <w:rPr>
          <w:u w:val="words"/>
        </w:rPr>
        <w:t xml:space="preserve"> however</w:t>
      </w:r>
      <w:r>
        <w:t>, that the number of Registrable Securities held by the Holders to be included in such underwriting shall not be reduced unless all other securities are first entirely excluded from the underwriting. To facilitate the allocation of shares in accordance with the above provisions, the Company or the underwriters may round the number of shares allocated to any Holder to the nearest 100 shares.</w:t>
      </w:r>
      <w:bookmarkEnd w:id="137"/>
    </w:p>
    <w:p w14:paraId="76EE3DAF" w14:textId="164401CD" w:rsidR="00914B3A" w:rsidRPr="000D36C4" w:rsidRDefault="00914B3A">
      <w:pPr>
        <w:pStyle w:val="Heading3"/>
      </w:pPr>
      <w:bookmarkStart w:id="141" w:name="_Ref42252480"/>
      <w:r>
        <w:t xml:space="preserve">In connection with any offering involving an underwriting of shares of the Company’s capital stock pursuant to </w:t>
      </w:r>
      <w:r>
        <w:rPr>
          <w:u w:val="single"/>
        </w:rPr>
        <w:t xml:space="preserve">Section </w:t>
      </w:r>
      <w:r>
        <w:rPr>
          <w:color w:val="000000"/>
          <w:u w:val="single"/>
        </w:rPr>
        <w:fldChar w:fldCharType="begin"/>
      </w:r>
      <w:r>
        <w:rPr>
          <w:color w:val="000000"/>
          <w:u w:val="single"/>
        </w:rPr>
        <w:instrText xml:space="preserve"> REF _Ref42252477 \r \h \* MERGEFORMAT </w:instrText>
      </w:r>
      <w:r>
        <w:rPr>
          <w:color w:val="000000"/>
          <w:u w:val="single"/>
        </w:rPr>
      </w:r>
      <w:r>
        <w:rPr>
          <w:color w:val="000000"/>
          <w:u w:val="single"/>
        </w:rPr>
        <w:fldChar w:fldCharType="separate"/>
      </w:r>
      <w:r w:rsidR="008D7705">
        <w:rPr>
          <w:color w:val="000000"/>
          <w:u w:val="single"/>
        </w:rPr>
        <w:t>2.2</w:t>
      </w:r>
      <w:r>
        <w:rPr>
          <w:color w:val="000000"/>
          <w:u w:val="single"/>
        </w:rPr>
        <w:fldChar w:fldCharType="end"/>
      </w:r>
      <w:r>
        <w:t xml:space="preserve">, the Company shall not be required to include any of the Holders’ Registrable Securities in such underwriting unless the Holders accept the terms of the underwriting as agreed upon between the Company and its underwriters, and then only in such quantity as the underwriters in their sole discretion determine will not jeopardize the success of the offering by the Company. If the total number of securities, including Registrable Securities, requested by </w:t>
      </w:r>
      <w:bookmarkStart w:id="142" w:name="_9kMLK5YVt46678Bec5pmsx2sm1G"/>
      <w:r>
        <w:t>stockholders</w:t>
      </w:r>
      <w:bookmarkEnd w:id="142"/>
      <w:r>
        <w:t xml:space="preserve"> to be included in such offering exceeds the number of securities to be sold (other than by the Company) that the underwriters in their reasonable discretion determine is compatible with the success of the offering, then the Company shall be required to include in the offering only that number of such securities, including Registrable Securities, which the underwriters and the Company in their sole discretion determine will not jeopardize the success of the offering. If the underwriters determine that less than all of the Registrable Securities requested to be registered can be included in such offering, then the Registrable Securities that are included in such offering shall be allocated among the selling Holders in proportion (as nearly as practicable to) the number of Registrable Securities owned by each selling Holder or in such other proportions as shall mutually be agreed to by all such selling Holders. To facilitate the allocation of shares in accordance with the above provisions, the Company or the underwriters may round the number of shares allocated to any Holder to the nearest 100 shares. Notwithstanding the foregoing, in no event shall (i) the number of Registrable Securities included in the offering be reduced unless all other securities (other than securities to be sold by the Company) are first entirely excluded from the offering, or </w:t>
      </w:r>
      <w:bookmarkStart w:id="143" w:name="_9kR3WTrAG859AADngo00mtAAsl2D2gaw1EQQ8t5"/>
      <w:r>
        <w:t>(ii) the number of Registrable Securities included in the offering be reduced below 2</w:t>
      </w:r>
      <w:r w:rsidR="001D6CCC">
        <w:t>5</w:t>
      </w:r>
      <w:r>
        <w:t xml:space="preserve">% of the total number of securities included in such offering, unless such offering is the IPO, in which case the selling Holders may be excluded further if the underwriters make the determination described above and no other </w:t>
      </w:r>
      <w:bookmarkStart w:id="144" w:name="_9kMML5YVt46678Bec5pmsx2sm1G"/>
      <w:r>
        <w:t>stockholder’s</w:t>
      </w:r>
      <w:bookmarkEnd w:id="144"/>
      <w:r>
        <w:t xml:space="preserve"> securities are included in such offering</w:t>
      </w:r>
      <w:bookmarkStart w:id="145" w:name="_Ref42252609"/>
      <w:bookmarkEnd w:id="143"/>
      <w:r>
        <w:t>.</w:t>
      </w:r>
      <w:bookmarkEnd w:id="145"/>
      <w:r>
        <w:t xml:space="preserve"> For purposes of the provision in this </w:t>
      </w:r>
      <w:r>
        <w:rPr>
          <w:u w:val="single"/>
        </w:rPr>
        <w:t xml:space="preserve">Section </w:t>
      </w:r>
      <w:r>
        <w:rPr>
          <w:u w:val="single"/>
        </w:rPr>
        <w:fldChar w:fldCharType="begin"/>
      </w:r>
      <w:r>
        <w:rPr>
          <w:u w:val="single"/>
        </w:rPr>
        <w:instrText xml:space="preserve"> REF _Ref42252480 \w \h\*MERGEFORMAT </w:instrText>
      </w:r>
      <w:r>
        <w:rPr>
          <w:u w:val="single"/>
        </w:rPr>
      </w:r>
      <w:r>
        <w:rPr>
          <w:u w:val="single"/>
        </w:rPr>
        <w:fldChar w:fldCharType="separate"/>
      </w:r>
      <w:r w:rsidR="008D7705">
        <w:rPr>
          <w:u w:val="single"/>
        </w:rPr>
        <w:t>2.3(b)</w:t>
      </w:r>
      <w:r>
        <w:rPr>
          <w:u w:val="single"/>
        </w:rPr>
        <w:fldChar w:fldCharType="end"/>
      </w:r>
      <w:r>
        <w:t xml:space="preserve"> concerning apportionment, for any selling Holder that is a partnership, limited liability </w:t>
      </w:r>
      <w:bookmarkStart w:id="146" w:name="_9kMKJ5YVt46679COHy0poD"/>
      <w:bookmarkStart w:id="147" w:name="_9kMKJ5YVt4667ACNHy0poD"/>
      <w:r>
        <w:t>company</w:t>
      </w:r>
      <w:bookmarkEnd w:id="146"/>
      <w:bookmarkEnd w:id="147"/>
      <w:r>
        <w:t xml:space="preserve">, or corporation, the partners, members, retired partners, retired members, </w:t>
      </w:r>
      <w:bookmarkStart w:id="148" w:name="_9kMNM5YVt46678Bec5pmsx2sm1G"/>
      <w:r>
        <w:t>stockholders</w:t>
      </w:r>
      <w:bookmarkEnd w:id="148"/>
      <w:r>
        <w:t>, and Affiliates of such Holder, or the estates and Immediate Family Members of any such partners, retired partners, members, and retired members and any trusts for the benefit of any of the foregoing Persons, shall be deemed to be a single “selling Holder,” and any pro rata reduction with respect to such “selling Holder” shall be based upon the aggregate number of Registrable Securities owned by all Persons included in such “selling Holder,” as defined in this sentence.</w:t>
      </w:r>
      <w:bookmarkEnd w:id="141"/>
    </w:p>
    <w:p w14:paraId="2CC16A6C" w14:textId="390F2673" w:rsidR="00914B3A" w:rsidRPr="000D36C4" w:rsidRDefault="00914B3A">
      <w:pPr>
        <w:pStyle w:val="Heading3"/>
      </w:pPr>
      <w:bookmarkStart w:id="149" w:name="_Ref42252481"/>
      <w:r>
        <w:t xml:space="preserve">For purposes of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sidR="008D7705">
        <w:rPr>
          <w:color w:val="000000"/>
          <w:u w:val="single"/>
        </w:rPr>
        <w:t>2.1</w:t>
      </w:r>
      <w:r>
        <w:rPr>
          <w:color w:val="000000"/>
          <w:u w:val="single"/>
        </w:rPr>
        <w:fldChar w:fldCharType="end"/>
      </w:r>
      <w:r>
        <w:t xml:space="preserve">, a registration shall not be counted as “effected” if, as a result of an exercise of the underwriter’s cutback provisions in </w:t>
      </w:r>
      <w:r>
        <w:rPr>
          <w:u w:val="single"/>
        </w:rPr>
        <w:t xml:space="preserve">Section </w:t>
      </w:r>
      <w:r>
        <w:rPr>
          <w:u w:val="single"/>
        </w:rPr>
        <w:fldChar w:fldCharType="begin"/>
      </w:r>
      <w:r>
        <w:rPr>
          <w:u w:val="single"/>
        </w:rPr>
        <w:instrText xml:space="preserve"> REF _Ref42252479 \w \h\*MERGEFORMAT </w:instrText>
      </w:r>
      <w:r>
        <w:rPr>
          <w:u w:val="single"/>
        </w:rPr>
      </w:r>
      <w:r>
        <w:rPr>
          <w:u w:val="single"/>
        </w:rPr>
        <w:fldChar w:fldCharType="separate"/>
      </w:r>
      <w:r w:rsidR="008D7705">
        <w:rPr>
          <w:u w:val="single"/>
        </w:rPr>
        <w:t>2.3(a)</w:t>
      </w:r>
      <w:r>
        <w:rPr>
          <w:u w:val="single"/>
        </w:rPr>
        <w:fldChar w:fldCharType="end"/>
      </w:r>
      <w:r>
        <w:t>, fewer than 50% of the total number of Registrable Securities that Holders have requested to be included in such registration statement are actually included.</w:t>
      </w:r>
      <w:bookmarkEnd w:id="149"/>
    </w:p>
    <w:p w14:paraId="131C70DA" w14:textId="77777777" w:rsidR="005F1A1F" w:rsidRPr="005F1A1F" w:rsidRDefault="00914B3A">
      <w:pPr>
        <w:pStyle w:val="Heading2"/>
        <w:rPr>
          <w:vanish/>
          <w:u w:val="none"/>
          <w:specVanish/>
        </w:rPr>
      </w:pPr>
      <w:bookmarkStart w:id="150" w:name="_Ref42252482"/>
      <w:r>
        <w:t>Obligations of the Company</w:t>
      </w:r>
    </w:p>
    <w:p w14:paraId="452216D7" w14:textId="3FFDEEC6" w:rsidR="007E4E59" w:rsidRPr="005F1A1F" w:rsidRDefault="00466086" w:rsidP="007D1021">
      <w:pPr>
        <w:pStyle w:val="HeadingPara2"/>
      </w:pPr>
      <w:r>
        <w:t xml:space="preserve">. Whenever required under this </w:t>
      </w:r>
      <w:r>
        <w:rPr>
          <w:u w:val="single"/>
        </w:rPr>
        <w:t xml:space="preserve">Section </w:t>
      </w:r>
      <w:r>
        <w:rPr>
          <w:u w:val="single"/>
        </w:rPr>
        <w:fldChar w:fldCharType="begin"/>
      </w:r>
      <w:r>
        <w:rPr>
          <w:u w:val="single"/>
        </w:rPr>
        <w:instrText xml:space="preserve"> REF _Ref42252471 \w \h\*MERGEFORMAT </w:instrText>
      </w:r>
      <w:r>
        <w:rPr>
          <w:u w:val="single"/>
        </w:rPr>
      </w:r>
      <w:r>
        <w:rPr>
          <w:u w:val="single"/>
        </w:rPr>
        <w:fldChar w:fldCharType="separate"/>
      </w:r>
      <w:r w:rsidR="008D7705" w:rsidRPr="008D7705">
        <w:t>2</w:t>
      </w:r>
      <w:r>
        <w:rPr>
          <w:u w:val="single"/>
        </w:rPr>
        <w:fldChar w:fldCharType="end"/>
      </w:r>
      <w:r>
        <w:t xml:space="preserve"> to effect the registration of any Registrable Securities, the Company shall, as expeditiously as reasonably possible:</w:t>
      </w:r>
      <w:bookmarkEnd w:id="150"/>
    </w:p>
    <w:p w14:paraId="47D3000F" w14:textId="336D696D" w:rsidR="00914B3A" w:rsidRPr="000D36C4" w:rsidRDefault="00914B3A">
      <w:pPr>
        <w:pStyle w:val="Heading3"/>
      </w:pPr>
      <w:bookmarkStart w:id="151" w:name="_Ref42252483"/>
      <w:r>
        <w:t xml:space="preserve">prepare and file with the SEC a registration statement with respect to such Registrable Securities and use its commercially reasonable efforts to cause such registration statement to become effective and, upon the request of the Holders of a majority of the Registrable Securities registered thereunder, keep such registration statement effective for a period of up to 120 days or, if earlier, until the distribution contemplated in the registration statement has been completed; </w:t>
      </w:r>
      <w:r>
        <w:rPr>
          <w:u w:val="words"/>
        </w:rPr>
        <w:t>provided</w:t>
      </w:r>
      <w:r>
        <w:t>,</w:t>
      </w:r>
      <w:r>
        <w:rPr>
          <w:u w:val="words"/>
        </w:rPr>
        <w:t xml:space="preserve"> however</w:t>
      </w:r>
      <w:r>
        <w:t xml:space="preserve">, that (i) such 120-day period shall be extended for a period of time equal to the period the Holder refrains, at the request of an underwriter of Common Stock (or other securities) of the Company, from selling any securities </w:t>
      </w:r>
      <w:r>
        <w:lastRenderedPageBreak/>
        <w:t>included in such registration, and (ii) in the case of any registration of Registrable Securities on Form S-3 that are intended to be offered on a continuous or delayed basis, subject to compliance with applicable SEC rules, such 120-day period shall be extended for up to an additional 90 days, if necessary, to keep the registration statement effective until all such Registrable Securities are sold;</w:t>
      </w:r>
      <w:bookmarkEnd w:id="151"/>
    </w:p>
    <w:p w14:paraId="04B62402" w14:textId="77777777" w:rsidR="00914B3A" w:rsidRPr="000D36C4" w:rsidRDefault="00914B3A">
      <w:pPr>
        <w:pStyle w:val="Heading3"/>
      </w:pPr>
      <w:bookmarkStart w:id="152" w:name="_Ref42252484"/>
      <w:r>
        <w:t>prepare and file with the SEC such amendments and supplements to such registration statement, and the prospectus used in connection with such registration statement, as may be necessary to comply with the Securities Act in order to enable the disposition of all securities covered by such registration statement;</w:t>
      </w:r>
      <w:bookmarkEnd w:id="152"/>
    </w:p>
    <w:p w14:paraId="5A900B0F" w14:textId="77777777" w:rsidR="00914B3A" w:rsidRPr="000D36C4" w:rsidRDefault="00914B3A">
      <w:pPr>
        <w:pStyle w:val="Heading3"/>
      </w:pPr>
      <w:bookmarkStart w:id="153" w:name="_Ref42252485"/>
      <w:r>
        <w:t>furnish to the selling Holders such numbers of copies of a prospectus, including a preliminary prospectus, as required by the Securities Act, and such other documents as the Holders may reasonably request in order to facilitate their disposition of their Registrable Securities;</w:t>
      </w:r>
      <w:bookmarkEnd w:id="153"/>
    </w:p>
    <w:p w14:paraId="63053057" w14:textId="5B8FE225" w:rsidR="00914B3A" w:rsidRPr="000D36C4" w:rsidRDefault="00914B3A">
      <w:pPr>
        <w:pStyle w:val="Heading3"/>
      </w:pPr>
      <w:bookmarkStart w:id="154" w:name="_Ref42252486"/>
      <w:r>
        <w:t xml:space="preserve">use its commercially reasonable efforts to register and qualify the securities covered by such registration statement under such other securities or blue-sky laws of such jurisdictions as shall be reasonably requested by the selling Holders; </w:t>
      </w:r>
      <w:r>
        <w:rPr>
          <w:u w:val="single"/>
        </w:rPr>
        <w:t>provided</w:t>
      </w:r>
      <w:r>
        <w:t xml:space="preserve"> that the Company shall not be required to qualify to do business or to file a general consent to service of process in any such states or jurisdictions, unless the Company is already subject to service in such jurisdiction and except as may be required by the Securities Act;</w:t>
      </w:r>
      <w:bookmarkEnd w:id="154"/>
    </w:p>
    <w:p w14:paraId="591C570A" w14:textId="77777777" w:rsidR="00914B3A" w:rsidRPr="000D36C4" w:rsidRDefault="00914B3A">
      <w:pPr>
        <w:pStyle w:val="Heading3"/>
      </w:pPr>
      <w:bookmarkStart w:id="155" w:name="_Ref42252487"/>
      <w:r>
        <w:t>in the event of any underwritten public offering, enter into and perform its obligations under an underwriting agreement, in usual and customary form, with the underwriter(s) of such offering;</w:t>
      </w:r>
      <w:bookmarkEnd w:id="155"/>
    </w:p>
    <w:p w14:paraId="2F4407E1" w14:textId="77777777" w:rsidR="00914B3A" w:rsidRPr="000D36C4" w:rsidRDefault="00914B3A">
      <w:pPr>
        <w:pStyle w:val="Heading3"/>
      </w:pPr>
      <w:bookmarkStart w:id="156" w:name="_Ref42252488"/>
      <w:r>
        <w:t>use its commercially reasonable efforts to cause all such Registrable Securities covered by such registration statement to be listed on a national securities exchange or trading system and each securities exchange and trading system (if any) on which similar securities issued by the Company are then listed;</w:t>
      </w:r>
      <w:bookmarkEnd w:id="156"/>
    </w:p>
    <w:p w14:paraId="5FEF1622" w14:textId="77777777" w:rsidR="00914B3A" w:rsidRPr="000D36C4" w:rsidRDefault="00914B3A">
      <w:pPr>
        <w:pStyle w:val="Heading3"/>
      </w:pPr>
      <w:bookmarkStart w:id="157" w:name="_Ref42252489"/>
      <w:r>
        <w:t>provide a transfer agent and registrar for all Registrable Securities registered pursuant to this Agreement and provide a CUSIP number for all such Registrable Securities, in each case not later than the effective date of such registration;</w:t>
      </w:r>
      <w:bookmarkEnd w:id="157"/>
    </w:p>
    <w:p w14:paraId="7230F68F" w14:textId="39E39828" w:rsidR="00914B3A" w:rsidRPr="000D36C4" w:rsidRDefault="00914B3A">
      <w:pPr>
        <w:pStyle w:val="Heading3"/>
      </w:pPr>
      <w:bookmarkStart w:id="158" w:name="_Ref42252490"/>
      <w:r>
        <w:t>promptly make available for inspection by the selling Holders, any underwriter(s) participating in any disposition pursuant to such registration statement, and any attorney or accountant or other agent retained by any such underwriter or selected by the selling Holders, all financial and other records, pertinent corporate documents, and properties of the Company, and cause the Company’s officers, directors, employees, and independent accountants to supply all information reasonably requested by any such seller, underwriter, attorney, accountant, or agent, in each case, as necessary or advisable to verify the accuracy of the information in such registration statement and to conduct appropriate due diligence in connection therewith;</w:t>
      </w:r>
      <w:bookmarkEnd w:id="158"/>
    </w:p>
    <w:p w14:paraId="5B6FAE7B" w14:textId="77777777" w:rsidR="00914B3A" w:rsidRPr="000D36C4" w:rsidRDefault="00914B3A">
      <w:pPr>
        <w:pStyle w:val="Heading3"/>
      </w:pPr>
      <w:bookmarkStart w:id="159" w:name="_Ref42252491"/>
      <w:r>
        <w:t>notify each selling Holder, promptly after the Company receives notice thereof, of the time when such registration statement has been declared effective or a supplement to any prospectus forming a part of such registration statement has been filed; and</w:t>
      </w:r>
      <w:bookmarkEnd w:id="159"/>
    </w:p>
    <w:p w14:paraId="66857920" w14:textId="77777777" w:rsidR="00914B3A" w:rsidRPr="000D36C4" w:rsidRDefault="00914B3A">
      <w:pPr>
        <w:pStyle w:val="Heading3"/>
      </w:pPr>
      <w:bookmarkStart w:id="160" w:name="_Ref42252492"/>
      <w:r>
        <w:t>after such registration statement becomes effective, notify each selling Holder of any request by the SEC that the Company amend or supplement such registration statement or prospectus.</w:t>
      </w:r>
      <w:bookmarkEnd w:id="160"/>
    </w:p>
    <w:p w14:paraId="2984B5AA" w14:textId="77777777" w:rsidR="00914B3A" w:rsidRPr="000D36C4" w:rsidRDefault="00914B3A" w:rsidP="00445EDB">
      <w:pPr>
        <w:pStyle w:val="BodyText"/>
        <w:spacing w:before="240" w:after="240"/>
      </w:pPr>
      <w:r>
        <w:lastRenderedPageBreak/>
        <w:t>In addition, the Company shall ensure that, at all times after any registration statement covering a public offering of securities of the Company under the Securities Act shall have become effective, its insider trading policy shall provide that the Company’s directors may implement a trading program under Rule 10b5-1 of the Exchange Act.</w:t>
      </w:r>
    </w:p>
    <w:p w14:paraId="633A09F5" w14:textId="77777777" w:rsidR="00914B3A" w:rsidRPr="000D36C4" w:rsidRDefault="00914B3A">
      <w:pPr>
        <w:pStyle w:val="Heading2"/>
        <w:keepNext/>
        <w:rPr>
          <w:vanish/>
          <w:specVanish/>
        </w:rPr>
      </w:pPr>
      <w:bookmarkStart w:id="161" w:name="_Ref42252493"/>
      <w:r>
        <w:t>Furnish Information</w:t>
      </w:r>
    </w:p>
    <w:p w14:paraId="449CD59E" w14:textId="0F9946F6" w:rsidR="007E4E59" w:rsidRPr="005F1A1F" w:rsidRDefault="00466086" w:rsidP="007D1021">
      <w:pPr>
        <w:pStyle w:val="HeadingPara2"/>
      </w:pPr>
      <w:r>
        <w:t xml:space="preserve">. It shall be a condition precedent to the obligations of the Company to take any action pursuant to this </w:t>
      </w:r>
      <w:r>
        <w:rPr>
          <w:u w:val="single"/>
        </w:rPr>
        <w:t xml:space="preserve">Section </w:t>
      </w:r>
      <w:r>
        <w:rPr>
          <w:u w:val="single"/>
        </w:rPr>
        <w:fldChar w:fldCharType="begin"/>
      </w:r>
      <w:r>
        <w:rPr>
          <w:u w:val="single"/>
        </w:rPr>
        <w:instrText xml:space="preserve"> REF _Ref42252471 \w \h  \* MERGEFORMAT </w:instrText>
      </w:r>
      <w:r>
        <w:rPr>
          <w:u w:val="single"/>
        </w:rPr>
      </w:r>
      <w:r>
        <w:rPr>
          <w:u w:val="single"/>
        </w:rPr>
        <w:fldChar w:fldCharType="separate"/>
      </w:r>
      <w:r w:rsidR="008D7705">
        <w:rPr>
          <w:u w:val="single"/>
        </w:rPr>
        <w:t>2</w:t>
      </w:r>
      <w:r>
        <w:rPr>
          <w:u w:val="single"/>
        </w:rPr>
        <w:fldChar w:fldCharType="end"/>
      </w:r>
      <w:r>
        <w:t xml:space="preserve"> with respect to the Registrable Securities of any selling Holder that such Holder shall furnish to the Company such information regarding itself, the Registrable Securities held by it, and the intended method of disposition of such securities as is reasonably required to effect the registration of such Holder’s Registrable Securities.</w:t>
      </w:r>
      <w:bookmarkEnd w:id="161"/>
    </w:p>
    <w:p w14:paraId="4FBBF187" w14:textId="77777777" w:rsidR="00914B3A" w:rsidRPr="000D36C4" w:rsidRDefault="00914B3A">
      <w:pPr>
        <w:pStyle w:val="Heading2"/>
        <w:rPr>
          <w:vanish/>
          <w:specVanish/>
        </w:rPr>
      </w:pPr>
      <w:bookmarkStart w:id="162" w:name="_Ref42252494"/>
      <w:r>
        <w:t>Expenses of Registration</w:t>
      </w:r>
    </w:p>
    <w:p w14:paraId="782DADCB" w14:textId="76B7DAF9" w:rsidR="007E4E59" w:rsidRPr="005F1A1F" w:rsidRDefault="00466086" w:rsidP="007D1021">
      <w:pPr>
        <w:pStyle w:val="HeadingPara2"/>
      </w:pPr>
      <w:r>
        <w:t xml:space="preserve">. All expenses (other than Selling Expenses) incurred in connection with registrations, filings, or qualifications pursuant to </w:t>
      </w:r>
      <w:r>
        <w:rPr>
          <w:u w:val="single"/>
        </w:rPr>
        <w:t xml:space="preserve">Section </w:t>
      </w:r>
      <w:r>
        <w:rPr>
          <w:u w:val="single"/>
        </w:rPr>
        <w:fldChar w:fldCharType="begin"/>
      </w:r>
      <w:r>
        <w:rPr>
          <w:u w:val="single"/>
        </w:rPr>
        <w:instrText xml:space="preserve"> REF _Ref42252471 \w \h\*MERGEFORMAT </w:instrText>
      </w:r>
      <w:r>
        <w:rPr>
          <w:u w:val="single"/>
        </w:rPr>
      </w:r>
      <w:r>
        <w:rPr>
          <w:u w:val="single"/>
        </w:rPr>
        <w:fldChar w:fldCharType="separate"/>
      </w:r>
      <w:r w:rsidR="008D7705">
        <w:rPr>
          <w:u w:val="single"/>
        </w:rPr>
        <w:t>2</w:t>
      </w:r>
      <w:r>
        <w:rPr>
          <w:u w:val="single"/>
        </w:rPr>
        <w:fldChar w:fldCharType="end"/>
      </w:r>
      <w:r>
        <w:t xml:space="preserve">, including all registration, filing, and qualification fees; printers’ and accounting fees; fees and disbursements of counsel for the Company; and the reasonable fees and disbursements, not to exceed $50,000 per registration, of one counsel for the selling Holders </w:t>
      </w:r>
      <w:bookmarkStart w:id="163" w:name="_cp_text_1_68"/>
      <w:r>
        <w:t xml:space="preserve">selected by Holders of a majority of the Registrable Securities to be registered </w:t>
      </w:r>
      <w:bookmarkEnd w:id="163"/>
      <w:r>
        <w:t>(“</w:t>
      </w:r>
      <w:r>
        <w:rPr>
          <w:b/>
        </w:rPr>
        <w:t>Selling Holder Counsel</w:t>
      </w:r>
      <w:r>
        <w:t xml:space="preserve">”), shall be borne and paid by the Company; </w:t>
      </w:r>
      <w:r>
        <w:rPr>
          <w:u w:val="single"/>
        </w:rPr>
        <w:t>provided</w:t>
      </w:r>
      <w:r>
        <w:t xml:space="preserve">, </w:t>
      </w:r>
      <w:r>
        <w:rPr>
          <w:u w:val="single"/>
        </w:rPr>
        <w:t>however</w:t>
      </w:r>
      <w:r>
        <w:t xml:space="preserve">, that the Company shall not be required to pay for any expenses of any registration proceeding begun pursuant to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sidR="008D7705">
        <w:rPr>
          <w:color w:val="000000"/>
          <w:u w:val="single"/>
        </w:rPr>
        <w:t>2.1</w:t>
      </w:r>
      <w:r>
        <w:rPr>
          <w:color w:val="000000"/>
          <w:u w:val="single"/>
        </w:rPr>
        <w:fldChar w:fldCharType="end"/>
      </w:r>
      <w:r>
        <w:t xml:space="preserve"> if the registration request is subsequently withdrawn at the request of the Holders of a majority of the Registrable Securities to be registered (in which case all selling Holders shall bear such expenses pro rata based upon the number of Registrable Securities that were to be included in the withdrawn registration), unless the Holders of a majority of the Registrable Securities agree to forfeit their right to one registration pursuant to </w:t>
      </w:r>
      <w:r>
        <w:rPr>
          <w:u w:val="single"/>
        </w:rPr>
        <w:t xml:space="preserve">Sections </w:t>
      </w:r>
      <w:r>
        <w:rPr>
          <w:color w:val="000000"/>
          <w:u w:val="single"/>
        </w:rPr>
        <w:fldChar w:fldCharType="begin"/>
      </w:r>
      <w:r>
        <w:rPr>
          <w:color w:val="000000"/>
          <w:u w:val="single"/>
        </w:rPr>
        <w:instrText xml:space="preserve"> REF _Ref42252473 \r \h \* MERGEFORMAT </w:instrText>
      </w:r>
      <w:r>
        <w:rPr>
          <w:color w:val="000000"/>
          <w:u w:val="single"/>
        </w:rPr>
      </w:r>
      <w:r>
        <w:rPr>
          <w:color w:val="000000"/>
          <w:u w:val="single"/>
        </w:rPr>
        <w:fldChar w:fldCharType="separate"/>
      </w:r>
      <w:r w:rsidR="008D7705">
        <w:rPr>
          <w:color w:val="000000"/>
          <w:u w:val="single"/>
        </w:rPr>
        <w:t>2.1(a)</w:t>
      </w:r>
      <w:r>
        <w:rPr>
          <w:color w:val="000000"/>
          <w:u w:val="single"/>
        </w:rPr>
        <w:fldChar w:fldCharType="end"/>
      </w:r>
      <w:r>
        <w:t xml:space="preserve"> or </w:t>
      </w:r>
      <w:r>
        <w:rPr>
          <w:color w:val="000000"/>
          <w:u w:val="single"/>
        </w:rPr>
        <w:fldChar w:fldCharType="begin"/>
      </w:r>
      <w:r>
        <w:rPr>
          <w:color w:val="000000"/>
          <w:u w:val="single"/>
        </w:rPr>
        <w:instrText xml:space="preserve"> REF _Ref42252474 \r \h \* MERGEFORMAT </w:instrText>
      </w:r>
      <w:r>
        <w:rPr>
          <w:color w:val="000000"/>
          <w:u w:val="single"/>
        </w:rPr>
      </w:r>
      <w:r>
        <w:rPr>
          <w:color w:val="000000"/>
          <w:u w:val="single"/>
        </w:rPr>
        <w:fldChar w:fldCharType="separate"/>
      </w:r>
      <w:r w:rsidR="008D7705">
        <w:rPr>
          <w:color w:val="000000"/>
          <w:u w:val="single"/>
        </w:rPr>
        <w:t>2.1(b)</w:t>
      </w:r>
      <w:r>
        <w:rPr>
          <w:color w:val="000000"/>
          <w:u w:val="single"/>
        </w:rPr>
        <w:fldChar w:fldCharType="end"/>
      </w:r>
      <w:r>
        <w:t xml:space="preserve">, as the case may be; </w:t>
      </w:r>
      <w:r>
        <w:rPr>
          <w:u w:val="single"/>
        </w:rPr>
        <w:t>provided</w:t>
      </w:r>
      <w:r>
        <w:t xml:space="preserve"> </w:t>
      </w:r>
      <w:r>
        <w:rPr>
          <w:u w:val="single"/>
        </w:rPr>
        <w:t>further</w:t>
      </w:r>
      <w:r>
        <w:t xml:space="preserve"> that if, at the time of such withdrawal, the Holders shall have learned of a material adverse change in the condition, business, or prospects of the Company from that known to the Holders at the time of their request and have withdrawn the request with reasonable promptness after learning of such information then the Holders shall not be required to pay any of such expenses and shall not forfeit their right to one registration pursuant to </w:t>
      </w:r>
      <w:r>
        <w:rPr>
          <w:u w:val="single"/>
        </w:rPr>
        <w:t xml:space="preserve">Sections </w:t>
      </w:r>
      <w:r>
        <w:rPr>
          <w:color w:val="000000"/>
          <w:u w:val="single"/>
        </w:rPr>
        <w:fldChar w:fldCharType="begin"/>
      </w:r>
      <w:r>
        <w:rPr>
          <w:color w:val="000000"/>
          <w:u w:val="single"/>
        </w:rPr>
        <w:instrText xml:space="preserve"> REF _Ref42252473 \r \h \* MERGEFORMAT </w:instrText>
      </w:r>
      <w:r>
        <w:rPr>
          <w:color w:val="000000"/>
          <w:u w:val="single"/>
        </w:rPr>
      </w:r>
      <w:r>
        <w:rPr>
          <w:color w:val="000000"/>
          <w:u w:val="single"/>
        </w:rPr>
        <w:fldChar w:fldCharType="separate"/>
      </w:r>
      <w:r w:rsidR="008D7705">
        <w:rPr>
          <w:color w:val="000000"/>
          <w:u w:val="single"/>
        </w:rPr>
        <w:t>2.1(a)</w:t>
      </w:r>
      <w:r>
        <w:rPr>
          <w:color w:val="000000"/>
          <w:u w:val="single"/>
        </w:rPr>
        <w:fldChar w:fldCharType="end"/>
      </w:r>
      <w:r>
        <w:t xml:space="preserve"> or </w:t>
      </w:r>
      <w:r>
        <w:rPr>
          <w:color w:val="000000"/>
          <w:u w:val="single"/>
        </w:rPr>
        <w:fldChar w:fldCharType="begin"/>
      </w:r>
      <w:r>
        <w:rPr>
          <w:color w:val="000000"/>
          <w:u w:val="single"/>
        </w:rPr>
        <w:instrText xml:space="preserve"> REF _Ref42252474 \r \h \* MERGEFORMAT </w:instrText>
      </w:r>
      <w:r>
        <w:rPr>
          <w:color w:val="000000"/>
          <w:u w:val="single"/>
        </w:rPr>
      </w:r>
      <w:r>
        <w:rPr>
          <w:color w:val="000000"/>
          <w:u w:val="single"/>
        </w:rPr>
        <w:fldChar w:fldCharType="separate"/>
      </w:r>
      <w:r w:rsidR="008D7705">
        <w:rPr>
          <w:color w:val="000000"/>
          <w:u w:val="single"/>
        </w:rPr>
        <w:t>2.1(b)</w:t>
      </w:r>
      <w:r>
        <w:rPr>
          <w:color w:val="000000"/>
          <w:u w:val="single"/>
        </w:rPr>
        <w:fldChar w:fldCharType="end"/>
      </w:r>
      <w:r>
        <w:t xml:space="preserve">. All Selling Expenses relating to Registrable Securities registered pursuant to this </w:t>
      </w:r>
      <w:r>
        <w:rPr>
          <w:u w:val="single"/>
        </w:rPr>
        <w:t xml:space="preserve">Section </w:t>
      </w:r>
      <w:r>
        <w:rPr>
          <w:u w:val="single"/>
        </w:rPr>
        <w:fldChar w:fldCharType="begin"/>
      </w:r>
      <w:r>
        <w:rPr>
          <w:u w:val="single"/>
        </w:rPr>
        <w:instrText xml:space="preserve"> REF _Ref42252471 \w \h\*MERGEFORMAT </w:instrText>
      </w:r>
      <w:r>
        <w:rPr>
          <w:u w:val="single"/>
        </w:rPr>
      </w:r>
      <w:r>
        <w:rPr>
          <w:u w:val="single"/>
        </w:rPr>
        <w:fldChar w:fldCharType="separate"/>
      </w:r>
      <w:r w:rsidR="008D7705">
        <w:rPr>
          <w:u w:val="single"/>
        </w:rPr>
        <w:t>2</w:t>
      </w:r>
      <w:r>
        <w:rPr>
          <w:u w:val="single"/>
        </w:rPr>
        <w:fldChar w:fldCharType="end"/>
      </w:r>
      <w:r>
        <w:t xml:space="preserve"> </w:t>
      </w:r>
      <w:bookmarkStart w:id="164" w:name="_cp_text_1_69"/>
      <w:r>
        <w:t xml:space="preserve">(other than fees and disbursements of counsel to any Holder, other than the Selling Holder Counsel, which shall be borne solely by the Holder engaging such counsel) </w:t>
      </w:r>
      <w:bookmarkEnd w:id="164"/>
      <w:r>
        <w:t>shall be borne and paid by the Holders pro rata on the basis of the number of Registrable Securities registered on their behalf.</w:t>
      </w:r>
      <w:bookmarkEnd w:id="162"/>
    </w:p>
    <w:p w14:paraId="0B713837" w14:textId="77777777" w:rsidR="005F1A1F" w:rsidRPr="005F1A1F" w:rsidRDefault="00914B3A">
      <w:pPr>
        <w:pStyle w:val="Heading2"/>
        <w:rPr>
          <w:vanish/>
          <w:specVanish/>
        </w:rPr>
      </w:pPr>
      <w:bookmarkStart w:id="165" w:name="_Ref42252495"/>
      <w:r>
        <w:t>Delay of Registration</w:t>
      </w:r>
    </w:p>
    <w:p w14:paraId="11864603" w14:textId="7A88CB25" w:rsidR="007E4E59" w:rsidRPr="005F1A1F" w:rsidRDefault="00466086" w:rsidP="007D1021">
      <w:pPr>
        <w:pStyle w:val="HeadingPara2"/>
      </w:pPr>
      <w:r>
        <w:t xml:space="preserve">. No Holder shall have any right to obtain or seek an injunction restraining or otherwise delaying any registration pursuant to this Agreement as the result of any controversy that might arise with respect to the interpretation or implementation of this </w:t>
      </w:r>
      <w:r>
        <w:rPr>
          <w:u w:val="single"/>
        </w:rPr>
        <w:t xml:space="preserve">Section </w:t>
      </w:r>
      <w:r>
        <w:rPr>
          <w:u w:val="single"/>
        </w:rPr>
        <w:fldChar w:fldCharType="begin"/>
      </w:r>
      <w:r>
        <w:rPr>
          <w:u w:val="single"/>
        </w:rPr>
        <w:instrText xml:space="preserve"> REF _Ref42252471 \w \h\*MERGEFORMAT </w:instrText>
      </w:r>
      <w:r>
        <w:rPr>
          <w:u w:val="single"/>
        </w:rPr>
      </w:r>
      <w:r>
        <w:rPr>
          <w:u w:val="single"/>
        </w:rPr>
        <w:fldChar w:fldCharType="separate"/>
      </w:r>
      <w:r w:rsidR="008D7705">
        <w:rPr>
          <w:u w:val="single"/>
        </w:rPr>
        <w:t>2</w:t>
      </w:r>
      <w:r>
        <w:rPr>
          <w:u w:val="single"/>
        </w:rPr>
        <w:fldChar w:fldCharType="end"/>
      </w:r>
      <w:r>
        <w:t>.</w:t>
      </w:r>
      <w:bookmarkEnd w:id="165"/>
    </w:p>
    <w:p w14:paraId="6738A51F" w14:textId="77777777" w:rsidR="007D1021" w:rsidRPr="007D1021" w:rsidRDefault="00914B3A">
      <w:pPr>
        <w:pStyle w:val="Heading2"/>
        <w:rPr>
          <w:vanish/>
          <w:specVanish/>
        </w:rPr>
      </w:pPr>
      <w:bookmarkStart w:id="166" w:name="_Ref145424816"/>
      <w:bookmarkStart w:id="167" w:name="_Ref42252496"/>
      <w:r>
        <w:t>Indemnification</w:t>
      </w:r>
      <w:bookmarkEnd w:id="166"/>
    </w:p>
    <w:p w14:paraId="032393C5" w14:textId="58F89734" w:rsidR="007E4E59" w:rsidRPr="007D1021" w:rsidRDefault="00466086" w:rsidP="007D1021">
      <w:pPr>
        <w:pStyle w:val="HeadingPara2"/>
      </w:pPr>
      <w:r>
        <w:t xml:space="preserve">. If any Registrable Securities are included in a registration statement under this </w:t>
      </w:r>
      <w:r>
        <w:rPr>
          <w:u w:val="single"/>
        </w:rPr>
        <w:t xml:space="preserve">Section </w:t>
      </w:r>
      <w:r>
        <w:rPr>
          <w:u w:val="single"/>
        </w:rPr>
        <w:fldChar w:fldCharType="begin"/>
      </w:r>
      <w:r>
        <w:rPr>
          <w:u w:val="single"/>
        </w:rPr>
        <w:instrText xml:space="preserve"> REF _Ref42252471 \w \h\*MERGEFORMAT </w:instrText>
      </w:r>
      <w:r>
        <w:rPr>
          <w:u w:val="single"/>
        </w:rPr>
      </w:r>
      <w:r>
        <w:rPr>
          <w:u w:val="single"/>
        </w:rPr>
        <w:fldChar w:fldCharType="separate"/>
      </w:r>
      <w:r w:rsidR="008D7705">
        <w:rPr>
          <w:u w:val="single"/>
        </w:rPr>
        <w:t>2</w:t>
      </w:r>
      <w:r>
        <w:rPr>
          <w:u w:val="single"/>
        </w:rPr>
        <w:fldChar w:fldCharType="end"/>
      </w:r>
      <w:r>
        <w:t>:</w:t>
      </w:r>
      <w:bookmarkEnd w:id="167"/>
    </w:p>
    <w:p w14:paraId="06E8A990" w14:textId="0EC96DAD" w:rsidR="00914B3A" w:rsidRPr="000D36C4" w:rsidRDefault="00914B3A">
      <w:pPr>
        <w:pStyle w:val="Heading3"/>
      </w:pPr>
      <w:bookmarkStart w:id="168" w:name="_Ref42252497"/>
      <w:r>
        <w:t xml:space="preserve">To the extent permitted by law, the Company will indemnify and hold harmless each selling Holder, and the partners, members, officers, directors, and </w:t>
      </w:r>
      <w:bookmarkStart w:id="169" w:name="_9kMON5YVt46678Bec5pmsx2sm1G"/>
      <w:r>
        <w:t>stockholders</w:t>
      </w:r>
      <w:bookmarkEnd w:id="169"/>
      <w:r>
        <w:t xml:space="preserve"> of each such Holder; legal counsel and accountants for each such Holder; any underwriter (as defined in the Securities Act) for each such Holder; and each Person, if any, who controls such Holder or underwriter within the meaning of the Securities Act or the Exchange Act, against any Damages, and the Company will pay to each such Holder, underwriter, controlling Person, or other aforementioned Person any legal or other expenses reasonably incurred thereby in connection with investigating or defending any claim or proceeding from which Damages may result, as such expenses are incurred; </w:t>
      </w:r>
      <w:r>
        <w:rPr>
          <w:u w:val="words"/>
        </w:rPr>
        <w:t>provided</w:t>
      </w:r>
      <w:r>
        <w:t>,</w:t>
      </w:r>
      <w:r>
        <w:rPr>
          <w:u w:val="words"/>
        </w:rPr>
        <w:t xml:space="preserve"> however</w:t>
      </w:r>
      <w:r>
        <w:t xml:space="preserve">, that the indemnity agreement contained in this </w:t>
      </w:r>
      <w:r>
        <w:rPr>
          <w:u w:val="single"/>
        </w:rPr>
        <w:t xml:space="preserve">Section </w:t>
      </w:r>
      <w:r>
        <w:rPr>
          <w:u w:val="single"/>
        </w:rPr>
        <w:fldChar w:fldCharType="begin"/>
      </w:r>
      <w:r>
        <w:rPr>
          <w:u w:val="single"/>
        </w:rPr>
        <w:instrText xml:space="preserve"> REF _Ref42252497 \w \h\*MERGEFORMAT </w:instrText>
      </w:r>
      <w:r>
        <w:rPr>
          <w:u w:val="single"/>
        </w:rPr>
      </w:r>
      <w:r>
        <w:rPr>
          <w:u w:val="single"/>
        </w:rPr>
        <w:fldChar w:fldCharType="separate"/>
      </w:r>
      <w:r w:rsidR="008D7705">
        <w:rPr>
          <w:u w:val="single"/>
        </w:rPr>
        <w:t>2.8(a)</w:t>
      </w:r>
      <w:r>
        <w:rPr>
          <w:u w:val="single"/>
        </w:rPr>
        <w:fldChar w:fldCharType="end"/>
      </w:r>
      <w:r>
        <w:t xml:space="preserve"> shall not apply to amounts paid in settlement of any such claim or proceeding if such settlement is effected without the consent of the Company, which consent shall not be unreasonably withheld, nor shall the Company be liable for any Damages to the extent that they arise out of or are based upon actions or omissions made in reliance upon and in conformity with written information </w:t>
      </w:r>
      <w:r>
        <w:lastRenderedPageBreak/>
        <w:t>furnished by or on behalf of any such Holder, underwriter, controlling Person, or other aforementioned Person expressly for use in connection with such registration.</w:t>
      </w:r>
      <w:bookmarkEnd w:id="168"/>
    </w:p>
    <w:p w14:paraId="26BDA73F" w14:textId="38E78A28" w:rsidR="00914B3A" w:rsidRPr="000D36C4" w:rsidRDefault="00914B3A">
      <w:pPr>
        <w:pStyle w:val="Heading3"/>
      </w:pPr>
      <w:bookmarkStart w:id="170" w:name="_Ref42252498"/>
      <w:r>
        <w:t>To the extent permitted by law, each selling Holder, severally and not jointly, will indemnify and hold harmless the Company, and each of its directors, each of its officers who has signed the registration statement, each Person (if any), who controls the Company within the meaning of the Securities Act, legal counsel and accountants for the Company, any underwriter (as defined in the Securities Act), any other Holder selling securities in such registration statement, and any controlling Person of any such underwriter or other Holder, against any Damages, in each case only to the extent that such Damages arise out of or are based upon actions or omissions made in reliance upon and in conformity with written information furnished by or on behalf of such selling Holder expressly for use in connection with such registration</w:t>
      </w:r>
      <w:bookmarkStart w:id="171" w:name="_cp_text_1_71"/>
      <w:r>
        <w:t xml:space="preserve"> prior to the sale of Registrable Securities to the Person asserting the claim</w:t>
      </w:r>
      <w:bookmarkEnd w:id="171"/>
      <w:r>
        <w:t xml:space="preserve">; and each such selling Holder will pay to the Company and each other aforementioned Person any legal or other expenses reasonably incurred thereby in connection with investigating or defending any claim or proceeding from which Damages may result, as such expenses are incurred; </w:t>
      </w:r>
      <w:r>
        <w:rPr>
          <w:u w:val="words"/>
        </w:rPr>
        <w:t>provided</w:t>
      </w:r>
      <w:r>
        <w:t>,</w:t>
      </w:r>
      <w:r>
        <w:rPr>
          <w:u w:val="words"/>
        </w:rPr>
        <w:t xml:space="preserve"> however</w:t>
      </w:r>
      <w:r>
        <w:t xml:space="preserve">, that the indemnity agreement contained in this </w:t>
      </w:r>
      <w:r>
        <w:rPr>
          <w:u w:val="single"/>
        </w:rPr>
        <w:t xml:space="preserve">Section </w:t>
      </w:r>
      <w:r>
        <w:rPr>
          <w:u w:val="single"/>
        </w:rPr>
        <w:fldChar w:fldCharType="begin"/>
      </w:r>
      <w:r>
        <w:rPr>
          <w:u w:val="single"/>
        </w:rPr>
        <w:instrText xml:space="preserve"> REF _Ref42252498 \w \h\*MERGEFORMAT </w:instrText>
      </w:r>
      <w:r>
        <w:rPr>
          <w:u w:val="single"/>
        </w:rPr>
      </w:r>
      <w:r>
        <w:rPr>
          <w:u w:val="single"/>
        </w:rPr>
        <w:fldChar w:fldCharType="separate"/>
      </w:r>
      <w:r w:rsidR="008D7705">
        <w:rPr>
          <w:u w:val="single"/>
        </w:rPr>
        <w:t>2.8(b)</w:t>
      </w:r>
      <w:r>
        <w:rPr>
          <w:u w:val="single"/>
        </w:rPr>
        <w:fldChar w:fldCharType="end"/>
      </w:r>
      <w:r>
        <w:t xml:space="preserve"> shall not apply to amounts paid in settlement of any such claim or proceeding if such settlement is effected without the consent of the Holder, which consent shall not be unreasonably withheld; and </w:t>
      </w:r>
      <w:r>
        <w:rPr>
          <w:u w:val="words"/>
        </w:rPr>
        <w:t>provided further</w:t>
      </w:r>
      <w:r>
        <w:t xml:space="preserve"> that in no event shall the aggregate amounts payable by any Holder by way of indemnity or contribution under </w:t>
      </w:r>
      <w:r>
        <w:rPr>
          <w:u w:val="single"/>
        </w:rPr>
        <w:t xml:space="preserve">Sections </w:t>
      </w:r>
      <w:r>
        <w:rPr>
          <w:u w:val="single"/>
        </w:rPr>
        <w:fldChar w:fldCharType="begin"/>
      </w:r>
      <w:r>
        <w:rPr>
          <w:u w:val="single"/>
        </w:rPr>
        <w:instrText xml:space="preserve"> REF _Ref42252498 \w \h\*MERGEFORMAT </w:instrText>
      </w:r>
      <w:r>
        <w:rPr>
          <w:u w:val="single"/>
        </w:rPr>
      </w:r>
      <w:r>
        <w:rPr>
          <w:u w:val="single"/>
        </w:rPr>
        <w:fldChar w:fldCharType="separate"/>
      </w:r>
      <w:r w:rsidR="008D7705">
        <w:rPr>
          <w:u w:val="single"/>
        </w:rPr>
        <w:t>2.8(b)</w:t>
      </w:r>
      <w:r>
        <w:rPr>
          <w:u w:val="single"/>
        </w:rPr>
        <w:fldChar w:fldCharType="end"/>
      </w:r>
      <w:r>
        <w:t xml:space="preserve"> and </w:t>
      </w:r>
      <w:r>
        <w:fldChar w:fldCharType="begin"/>
      </w:r>
      <w:r>
        <w:instrText xml:space="preserve"> REF _Ref42252500 \w \h\*MERGEFORMAT </w:instrText>
      </w:r>
      <w:r>
        <w:fldChar w:fldCharType="separate"/>
      </w:r>
      <w:r w:rsidR="008D7705" w:rsidRPr="008D7705">
        <w:rPr>
          <w:u w:val="single"/>
        </w:rPr>
        <w:t>2.8(d</w:t>
      </w:r>
      <w:r w:rsidR="008D7705">
        <w:t>)</w:t>
      </w:r>
      <w:r>
        <w:fldChar w:fldCharType="end"/>
      </w:r>
      <w:r>
        <w:t xml:space="preserve"> exceed the proceeds from the offering received by such Holder (net of any Selling Expenses paid by such Holder), except in the case of fraud or willful misconduct by such Holder.</w:t>
      </w:r>
      <w:bookmarkEnd w:id="170"/>
    </w:p>
    <w:p w14:paraId="54C5F39E" w14:textId="6766B16E" w:rsidR="00914B3A" w:rsidRPr="000D36C4" w:rsidRDefault="00914B3A">
      <w:pPr>
        <w:pStyle w:val="Heading3"/>
      </w:pPr>
      <w:bookmarkStart w:id="172" w:name="_Ref42252499"/>
      <w:r>
        <w:t xml:space="preserve">Promptly after receipt by an indemnified party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sidR="008D7705">
        <w:rPr>
          <w:color w:val="000000"/>
          <w:u w:val="single"/>
        </w:rPr>
        <w:t>2.8</w:t>
      </w:r>
      <w:r>
        <w:rPr>
          <w:color w:val="000000"/>
          <w:u w:val="single"/>
        </w:rPr>
        <w:fldChar w:fldCharType="end"/>
      </w:r>
      <w:r>
        <w:t xml:space="preserve"> of notice of the commencement of any action (including any governmental action) for which a party may be entitled to indemnification hereunder, such indemnified party will, if a claim in respect thereof is to be made against any indemnifying party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sidR="008D7705">
        <w:rPr>
          <w:color w:val="000000"/>
          <w:u w:val="single"/>
        </w:rPr>
        <w:t>2.8</w:t>
      </w:r>
      <w:r>
        <w:rPr>
          <w:color w:val="000000"/>
          <w:u w:val="single"/>
        </w:rPr>
        <w:fldChar w:fldCharType="end"/>
      </w:r>
      <w:r>
        <w:t xml:space="preserve">, give the indemnifying party notice of the commencement thereof. The indemnifying party shall have the right to participate in such action and, to the extent the indemnifying party so desires, participate jointly with any other indemnifying party to which notice has been given, and to assume the defense thereof with counsel mutually satisfactory to the parties; </w:t>
      </w:r>
      <w:r>
        <w:rPr>
          <w:u w:val="words"/>
        </w:rPr>
        <w:t>provided</w:t>
      </w:r>
      <w:r>
        <w:t>,</w:t>
      </w:r>
      <w:r>
        <w:rPr>
          <w:u w:val="words"/>
        </w:rPr>
        <w:t xml:space="preserve"> however</w:t>
      </w:r>
      <w:r>
        <w:t xml:space="preserve">, that an indemnified party (together with all other indemnified parties that may be represented without conflict by one counsel) shall have the right to retain one separate counsel, with the fees and expenses to be paid by the indemnifying party, if representation of such indemnified party by the counsel retained by the indemnifying party would be inappropriate due to actual or potential differing interests between such indemnified party and any other party represented by such counsel in such action. The failure to give notice to the indemnifying party within a reasonable time of the commencement of any such action shall relieve such indemnifying party of any liability to the indemnified party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sidR="008D7705">
        <w:rPr>
          <w:color w:val="000000"/>
          <w:u w:val="single"/>
        </w:rPr>
        <w:t>2.8</w:t>
      </w:r>
      <w:r>
        <w:rPr>
          <w:color w:val="000000"/>
          <w:u w:val="single"/>
        </w:rPr>
        <w:fldChar w:fldCharType="end"/>
      </w:r>
      <w:r>
        <w:t xml:space="preserve">, only to the extent that such failure materially prejudices the indemnifying party’s ability to defend such action. The failure to give notice to the indemnifying party will not relieve it of any liability that it may have to any indemnified party otherwise than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sidR="008D7705">
        <w:rPr>
          <w:color w:val="000000"/>
          <w:u w:val="single"/>
        </w:rPr>
        <w:t>2.8</w:t>
      </w:r>
      <w:r>
        <w:rPr>
          <w:color w:val="000000"/>
          <w:u w:val="single"/>
        </w:rPr>
        <w:fldChar w:fldCharType="end"/>
      </w:r>
      <w:r>
        <w:t>.</w:t>
      </w:r>
      <w:bookmarkEnd w:id="172"/>
    </w:p>
    <w:p w14:paraId="491FD9E3" w14:textId="617CC496" w:rsidR="00914B3A" w:rsidRPr="000D36C4" w:rsidRDefault="00914B3A">
      <w:pPr>
        <w:pStyle w:val="Heading3"/>
      </w:pPr>
      <w:bookmarkStart w:id="173" w:name="_Ref42252500"/>
      <w:r>
        <w:t xml:space="preserve">To provide for just and equitable contribution to joint liability under the Securities Act in any case in which either: (i) any party otherwise entitled to indemnification hereunder makes a claim for indemnification pursuant to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sidR="008D7705">
        <w:rPr>
          <w:color w:val="000000"/>
          <w:u w:val="single"/>
        </w:rPr>
        <w:t>2.8</w:t>
      </w:r>
      <w:r>
        <w:rPr>
          <w:color w:val="000000"/>
          <w:u w:val="single"/>
        </w:rPr>
        <w:fldChar w:fldCharType="end"/>
      </w:r>
      <w:r>
        <w:t xml:space="preserve"> but it is judicially determined (by the entry of a final judgment or decree by a court of competent jurisdiction and the expiration of time to appeal or the denial of the last right of appeal) that such indemnification may not be enforced in such case, notwithstanding the fact that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sidR="008D7705">
        <w:rPr>
          <w:color w:val="000000"/>
          <w:u w:val="single"/>
        </w:rPr>
        <w:t>2.8</w:t>
      </w:r>
      <w:r>
        <w:rPr>
          <w:color w:val="000000"/>
          <w:u w:val="single"/>
        </w:rPr>
        <w:fldChar w:fldCharType="end"/>
      </w:r>
      <w:r>
        <w:t xml:space="preserve"> provides for indemnification in such case, or (ii) contribution under the Securities Act may be required on the part of any party hereto for which indemnification is provided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sidR="008D7705">
        <w:rPr>
          <w:color w:val="000000"/>
          <w:u w:val="single"/>
        </w:rPr>
        <w:t>2.8</w:t>
      </w:r>
      <w:r>
        <w:rPr>
          <w:color w:val="000000"/>
          <w:u w:val="single"/>
        </w:rPr>
        <w:fldChar w:fldCharType="end"/>
      </w:r>
      <w:r>
        <w:t xml:space="preserve">, then, and in each such case, such parties will contribute to the aggregate losses, claims, damages, liabilities, or expenses to which they may be subject (after contribution from others) in such proportion as is appropriate to reflect the relative fault of each of the indemnifying party and the indemnified party in connection with the statements, omissions, or other actions that resulted in such loss, claim, damage, </w:t>
      </w:r>
      <w:r>
        <w:lastRenderedPageBreak/>
        <w:t xml:space="preserve">liability, or expense, as well as to reflect any other relevant equitable considerations. The relative fault of the indemnifying party and of the indemnified party shall be determined by reference to, among other things, whether the untrue or allegedly untrue statement of a material fact, or the omission or alleged omission of a material fact, relates to information supplied by the indemnifying party or by the indemnified party and the parties’ relative intent, knowledge, access to information, and opportunity to correct or prevent such statement or omission; </w:t>
      </w:r>
      <w:r>
        <w:rPr>
          <w:u w:val="words"/>
        </w:rPr>
        <w:t>provided</w:t>
      </w:r>
      <w:r>
        <w:t>,</w:t>
      </w:r>
      <w:r>
        <w:rPr>
          <w:u w:val="words"/>
        </w:rPr>
        <w:t xml:space="preserve"> however</w:t>
      </w:r>
      <w:r>
        <w:t xml:space="preserve">, that, in any such case (x) no Holder will be required to contribute any amount in excess of the public offering price of all such Registrable Securities offered and sold by such Holder pursuant to such registration statement, and (y) no Person guilty of fraudulent misrepresentation (within the meaning of Section 11(f) of the Securities Act) will be entitled to contribution from any Person who was not guilty of such fraudulent misrepresentation; and </w:t>
      </w:r>
      <w:r>
        <w:rPr>
          <w:u w:val="words"/>
        </w:rPr>
        <w:t>provided further</w:t>
      </w:r>
      <w:r>
        <w:t xml:space="preserve"> that in no event shall a Holder’s liability pursuant to this </w:t>
      </w:r>
      <w:r>
        <w:rPr>
          <w:u w:val="single"/>
        </w:rPr>
        <w:t xml:space="preserve">Section </w:t>
      </w:r>
      <w:r>
        <w:rPr>
          <w:u w:val="single"/>
        </w:rPr>
        <w:fldChar w:fldCharType="begin"/>
      </w:r>
      <w:r>
        <w:rPr>
          <w:u w:val="single"/>
        </w:rPr>
        <w:instrText xml:space="preserve"> REF _Ref42252500 \w \h\*MERGEFORMAT </w:instrText>
      </w:r>
      <w:r>
        <w:rPr>
          <w:u w:val="single"/>
        </w:rPr>
      </w:r>
      <w:r>
        <w:rPr>
          <w:u w:val="single"/>
        </w:rPr>
        <w:fldChar w:fldCharType="separate"/>
      </w:r>
      <w:r w:rsidR="008D7705">
        <w:rPr>
          <w:u w:val="single"/>
        </w:rPr>
        <w:t>2.8(d)</w:t>
      </w:r>
      <w:r>
        <w:rPr>
          <w:u w:val="single"/>
        </w:rPr>
        <w:fldChar w:fldCharType="end"/>
      </w:r>
      <w:r>
        <w:t xml:space="preserve">, when combined with the amounts paid or payable by such Holder pursuant to </w:t>
      </w:r>
      <w:r>
        <w:rPr>
          <w:u w:val="single"/>
        </w:rPr>
        <w:t xml:space="preserve">Section </w:t>
      </w:r>
      <w:r>
        <w:rPr>
          <w:u w:val="single"/>
        </w:rPr>
        <w:fldChar w:fldCharType="begin"/>
      </w:r>
      <w:r>
        <w:rPr>
          <w:u w:val="single"/>
        </w:rPr>
        <w:instrText xml:space="preserve"> REF _Ref42252498 \w \h\*MERGEFORMAT </w:instrText>
      </w:r>
      <w:r>
        <w:rPr>
          <w:u w:val="single"/>
        </w:rPr>
      </w:r>
      <w:r>
        <w:rPr>
          <w:u w:val="single"/>
        </w:rPr>
        <w:fldChar w:fldCharType="separate"/>
      </w:r>
      <w:r w:rsidR="008D7705">
        <w:rPr>
          <w:u w:val="single"/>
        </w:rPr>
        <w:t>2.8(b)</w:t>
      </w:r>
      <w:r>
        <w:rPr>
          <w:u w:val="single"/>
        </w:rPr>
        <w:fldChar w:fldCharType="end"/>
      </w:r>
      <w:r>
        <w:t>, exceed the proceeds from the offering received by such Holder (net of any Selling Expenses paid by such Holder), except in the case of willful misconduct or fraud by such Holder.</w:t>
      </w:r>
      <w:bookmarkEnd w:id="173"/>
    </w:p>
    <w:p w14:paraId="65F6C7C2" w14:textId="1D890315" w:rsidR="00914B3A" w:rsidRPr="000D36C4" w:rsidRDefault="00914B3A">
      <w:pPr>
        <w:pStyle w:val="Heading3"/>
      </w:pPr>
      <w:bookmarkStart w:id="174" w:name="_Ref42252501"/>
      <w:r>
        <w:t xml:space="preserve">Notwithstanding the foregoing, to the extent that the provisions on indemnification and contribution contained in the underwriting agreement entered into in connection with the underwritten public offering are in conflict with the foregoing provisions, the provisions in the underwriting agreement shall control; </w:t>
      </w:r>
      <w:r>
        <w:rPr>
          <w:u w:val="words"/>
        </w:rPr>
        <w:t>provided</w:t>
      </w:r>
      <w:r>
        <w:t>,</w:t>
      </w:r>
      <w:r>
        <w:rPr>
          <w:u w:val="words"/>
        </w:rPr>
        <w:t xml:space="preserve"> however</w:t>
      </w:r>
      <w:r>
        <w:t xml:space="preserve">, that any matter expressly provided for or addressed by the provisions of this </w:t>
      </w:r>
      <w:r>
        <w:rPr>
          <w:u w:val="single"/>
        </w:rPr>
        <w:t xml:space="preserve">Section </w:t>
      </w:r>
      <w:r>
        <w:rPr>
          <w:u w:val="single"/>
        </w:rPr>
        <w:fldChar w:fldCharType="begin"/>
      </w:r>
      <w:r>
        <w:rPr>
          <w:u w:val="single"/>
        </w:rPr>
        <w:instrText xml:space="preserve"> REF _Ref145424816 \w \h  \* MERGEFORMAT </w:instrText>
      </w:r>
      <w:r>
        <w:rPr>
          <w:u w:val="single"/>
        </w:rPr>
      </w:r>
      <w:r>
        <w:rPr>
          <w:u w:val="single"/>
        </w:rPr>
        <w:fldChar w:fldCharType="separate"/>
      </w:r>
      <w:r w:rsidR="008D7705">
        <w:rPr>
          <w:u w:val="single"/>
        </w:rPr>
        <w:t>2.8</w:t>
      </w:r>
      <w:r>
        <w:rPr>
          <w:u w:val="single"/>
        </w:rPr>
        <w:fldChar w:fldCharType="end"/>
      </w:r>
      <w:r>
        <w:t xml:space="preserve"> that is not expressly provided for or addressed by the underwriting agreement shall be controlled by the foregoing provisions.</w:t>
      </w:r>
      <w:bookmarkEnd w:id="174"/>
    </w:p>
    <w:p w14:paraId="475A45B4" w14:textId="1D309C76" w:rsidR="00914B3A" w:rsidRPr="000D36C4" w:rsidRDefault="00914B3A">
      <w:pPr>
        <w:pStyle w:val="Heading3"/>
      </w:pPr>
      <w:bookmarkStart w:id="175" w:name="_Ref42252502"/>
      <w:r>
        <w:t xml:space="preserve">Unless otherwise superseded by an underwriting agreement entered into in connection with the underwritten public offering, the obligations of the Company and Holders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sidR="008D7705">
        <w:rPr>
          <w:color w:val="000000"/>
          <w:u w:val="single"/>
        </w:rPr>
        <w:t>2.8</w:t>
      </w:r>
      <w:r>
        <w:rPr>
          <w:color w:val="000000"/>
          <w:u w:val="single"/>
        </w:rPr>
        <w:fldChar w:fldCharType="end"/>
      </w:r>
      <w:r>
        <w:t xml:space="preserve"> shall survive the completion of any offering of Registrable Securities in a registration under this </w:t>
      </w:r>
      <w:r>
        <w:rPr>
          <w:u w:val="single"/>
        </w:rPr>
        <w:t xml:space="preserve">Section </w:t>
      </w:r>
      <w:r>
        <w:rPr>
          <w:u w:val="single"/>
        </w:rPr>
        <w:fldChar w:fldCharType="begin"/>
      </w:r>
      <w:r>
        <w:rPr>
          <w:u w:val="single"/>
        </w:rPr>
        <w:instrText xml:space="preserve"> REF _Ref42252471 \w \h\*MERGEFORMAT </w:instrText>
      </w:r>
      <w:r>
        <w:rPr>
          <w:u w:val="single"/>
        </w:rPr>
      </w:r>
      <w:r>
        <w:rPr>
          <w:u w:val="single"/>
        </w:rPr>
        <w:fldChar w:fldCharType="separate"/>
      </w:r>
      <w:r w:rsidR="008D7705">
        <w:rPr>
          <w:u w:val="single"/>
        </w:rPr>
        <w:t>2</w:t>
      </w:r>
      <w:r>
        <w:rPr>
          <w:u w:val="single"/>
        </w:rPr>
        <w:fldChar w:fldCharType="end"/>
      </w:r>
      <w:r>
        <w:t>, and otherwise shall survive the termination of this Agreement or any provision(s) of this Agreement.</w:t>
      </w:r>
      <w:bookmarkEnd w:id="175"/>
    </w:p>
    <w:p w14:paraId="6D30D744" w14:textId="77777777" w:rsidR="007D1021" w:rsidRPr="007D1021" w:rsidRDefault="00914B3A">
      <w:pPr>
        <w:pStyle w:val="Heading2"/>
        <w:rPr>
          <w:vanish/>
          <w:specVanish/>
        </w:rPr>
      </w:pPr>
      <w:bookmarkStart w:id="176" w:name="_Ref42252503"/>
      <w:r>
        <w:t>Reports Under Exchange Act</w:t>
      </w:r>
    </w:p>
    <w:p w14:paraId="05BF337C" w14:textId="77777777" w:rsidR="007E4E59" w:rsidRPr="007D1021" w:rsidRDefault="00466086" w:rsidP="007D1021">
      <w:pPr>
        <w:pStyle w:val="HeadingPara2"/>
      </w:pPr>
      <w:r>
        <w:t>. With a view to making available to the Holders the benefits of SEC Rule 144 and any other rule or regulation of the SEC that may at any time permit a Holder to sell securities of the Company to the public without registration or pursuant to a registration on Form S-3, the Company shall:</w:t>
      </w:r>
      <w:bookmarkEnd w:id="176"/>
    </w:p>
    <w:p w14:paraId="1326BF31" w14:textId="2EFA8451" w:rsidR="00914B3A" w:rsidRPr="000D36C4" w:rsidRDefault="00914B3A">
      <w:pPr>
        <w:pStyle w:val="Heading3"/>
      </w:pPr>
      <w:bookmarkStart w:id="177" w:name="_Ref42252504"/>
      <w:r>
        <w:t>make and keep available adequate current public information, as those terms are understood and defined in SEC Rule 144, at all times after the effective date of the registration statement filed by the Company for the IPO;</w:t>
      </w:r>
      <w:bookmarkEnd w:id="177"/>
    </w:p>
    <w:p w14:paraId="5081758B" w14:textId="77777777" w:rsidR="00914B3A" w:rsidRPr="000D36C4" w:rsidRDefault="00914B3A">
      <w:pPr>
        <w:pStyle w:val="Heading3"/>
      </w:pPr>
      <w:bookmarkStart w:id="178" w:name="_Ref42252505"/>
      <w:r>
        <w:t>use commercially reasonable efforts to file with the SEC in a timely manner all reports and other documents required of the Company under the Securities Act and the Exchange Act (at any time after the Company has become subject to such reporting requirements); and</w:t>
      </w:r>
      <w:bookmarkEnd w:id="178"/>
    </w:p>
    <w:p w14:paraId="11873EEC" w14:textId="7E982CC5" w:rsidR="00914B3A" w:rsidRPr="000D36C4" w:rsidRDefault="00914B3A">
      <w:pPr>
        <w:pStyle w:val="Heading3"/>
      </w:pPr>
      <w:bookmarkStart w:id="179" w:name="_Ref42252506"/>
      <w:r>
        <w:t>furnish to any Holder, so long as the Holder owns any Registrable Securities, forthwith upon request (i) to the extent accurate, a written statement by the Company that it has complied with the reporting requirements of SEC Rule 144 (at any time after 90 days after the effective date of the registration statement filed by the Company for the IPO), the Securities Act, and the Exchange Act (at any time after the Company has become subject to such reporting requirements), or that it qualifies as a registrant whose securities may be resold pursuant to Form S-3 (at any time after the Company so qualifies); and (ii) such other information as may be reasonably requested in availing any Holder of any rule or regulation of the SEC that permits the selling of any such securities without registration (at any time after the Company has become subject to the reporting requirements under the Exchange Act) or pursuant to Form S-3 (at any time after the Company so qualifies to use such form).</w:t>
      </w:r>
      <w:bookmarkEnd w:id="179"/>
    </w:p>
    <w:p w14:paraId="0C85AD05" w14:textId="77777777" w:rsidR="007D1021" w:rsidRPr="007D1021" w:rsidRDefault="00914B3A">
      <w:pPr>
        <w:pStyle w:val="Heading2"/>
        <w:rPr>
          <w:vanish/>
          <w:specVanish/>
        </w:rPr>
      </w:pPr>
      <w:bookmarkStart w:id="180" w:name="_Ref42252507"/>
      <w:r>
        <w:lastRenderedPageBreak/>
        <w:t>Limitations on Subsequent Registration Rights</w:t>
      </w:r>
    </w:p>
    <w:p w14:paraId="7F4B3EA7" w14:textId="2D926EC6" w:rsidR="007E4E59" w:rsidRPr="007D1021" w:rsidRDefault="00466086" w:rsidP="007D1021">
      <w:pPr>
        <w:pStyle w:val="HeadingPara2"/>
      </w:pPr>
      <w:r>
        <w:t xml:space="preserve">. From and after the date of this Agreement, the Company shall not, without the prior written consent of the </w:t>
      </w:r>
      <w:r w:rsidR="00244FFE">
        <w:t>Requisite Holders</w:t>
      </w:r>
      <w:r>
        <w:t xml:space="preserve">, enter into any agreement with any </w:t>
      </w:r>
      <w:bookmarkStart w:id="181" w:name="_9kMJI5YVt46678GYMxnhw"/>
      <w:bookmarkStart w:id="182" w:name="_9kMJI5YVt46679BSMxnhw"/>
      <w:r>
        <w:t>holder</w:t>
      </w:r>
      <w:bookmarkEnd w:id="181"/>
      <w:bookmarkEnd w:id="182"/>
      <w:r>
        <w:t xml:space="preserve"> or prospective </w:t>
      </w:r>
      <w:bookmarkStart w:id="183" w:name="_9kMKJ5YVt46678GYMxnhw"/>
      <w:bookmarkStart w:id="184" w:name="_9kMKJ5YVt46679BSMxnhw"/>
      <w:r>
        <w:t>holder</w:t>
      </w:r>
      <w:bookmarkEnd w:id="183"/>
      <w:bookmarkEnd w:id="184"/>
      <w:r>
        <w:t xml:space="preserve"> of any securities of the Company that would (i) allow such holder or prospective holder to include such securities in any registration unless, under the terms of such agreement, such holder or prospective holder may include such securities in any such registration only to the extent that the inclusion of such securities will not reduce the number of the Registrable Securities of the Holders that are included; or (ii) allow such holder or prospective holder to initiate a demand for registration of any securities held by such holder or prospective holder; </w:t>
      </w:r>
      <w:r>
        <w:rPr>
          <w:u w:val="single"/>
        </w:rPr>
        <w:t>provided</w:t>
      </w:r>
      <w:r>
        <w:t xml:space="preserve"> that this limitation shall not apply to Registrable Securities acquired by any additional Investor that becomes a party to this Agreement in accordance with </w:t>
      </w:r>
      <w:r>
        <w:rPr>
          <w:u w:val="single"/>
        </w:rPr>
        <w:t xml:space="preserve">Section </w:t>
      </w:r>
      <w:r>
        <w:rPr>
          <w:color w:val="000000"/>
          <w:u w:val="single"/>
        </w:rPr>
        <w:fldChar w:fldCharType="begin"/>
      </w:r>
      <w:r>
        <w:rPr>
          <w:color w:val="000000"/>
          <w:u w:val="single"/>
        </w:rPr>
        <w:instrText xml:space="preserve"> REF _Ref42252576 \r \h \* MERGEFORMAT </w:instrText>
      </w:r>
      <w:r>
        <w:rPr>
          <w:color w:val="000000"/>
          <w:u w:val="single"/>
        </w:rPr>
      </w:r>
      <w:r>
        <w:rPr>
          <w:color w:val="000000"/>
          <w:u w:val="single"/>
        </w:rPr>
        <w:fldChar w:fldCharType="separate"/>
      </w:r>
      <w:r w:rsidR="008D7705">
        <w:rPr>
          <w:color w:val="000000"/>
          <w:u w:val="single"/>
        </w:rPr>
        <w:t>6.9</w:t>
      </w:r>
      <w:r>
        <w:rPr>
          <w:color w:val="000000"/>
          <w:u w:val="single"/>
        </w:rPr>
        <w:fldChar w:fldCharType="end"/>
      </w:r>
      <w:r>
        <w:t>.</w:t>
      </w:r>
      <w:bookmarkEnd w:id="180"/>
    </w:p>
    <w:p w14:paraId="04AF8276" w14:textId="77777777" w:rsidR="004B558A" w:rsidRPr="000D36C4" w:rsidRDefault="00FB64F2">
      <w:pPr>
        <w:pStyle w:val="Heading2"/>
        <w:rPr>
          <w:vanish/>
          <w:u w:val="none"/>
          <w:specVanish/>
        </w:rPr>
      </w:pPr>
      <w:bookmarkStart w:id="185" w:name="_Ref42252508"/>
      <w:bookmarkStart w:id="186" w:name="_Hlk145412241"/>
      <w:r>
        <w:t>“</w:t>
      </w:r>
      <w:bookmarkStart w:id="187" w:name="_9kR3WTr1AB4BGXBnymwlgvquwzr"/>
      <w:r>
        <w:t>Market Stand-off</w:t>
      </w:r>
      <w:bookmarkEnd w:id="187"/>
      <w:r>
        <w:t>” Agreement</w:t>
      </w:r>
    </w:p>
    <w:p w14:paraId="5C2C8AA9" w14:textId="41D81350" w:rsidR="007D5F8B" w:rsidRPr="000D36C4" w:rsidRDefault="00FB64F2" w:rsidP="000A7B80">
      <w:pPr>
        <w:pStyle w:val="HeadingPara2"/>
      </w:pPr>
      <w:r>
        <w:t>. Each Holder hereby agrees that it will not, without the prior written consent of the managing underwriter, during the period commencing on the date of the final prospectus relating to the registration by the Company for its own behalf of shares of its Common Stock or any other equity securities under the Securities Act on a registration statement (other than an Excluded Registration) on Form S-1, and ending on the date specified by the Company and the managing underwriter (such period not to exceed 180 days in the case of the IPO</w:t>
      </w:r>
      <w:r w:rsidR="00254A98">
        <w:t xml:space="preserve">. </w:t>
      </w:r>
      <w:r w:rsidR="00254A98" w:rsidRPr="000D36C4">
        <w:t>or, if the Company is not then an emerging growth company as defined in the applicable SEC regulations, such other period as may be requested by the Company or an underwriter to accommodate regulatory restrictions on (1) the publication or other distribution of research reports and (2) analyst recommendations and opinions, including, but not limited to, the restrictions contained in applicable FINRA rules, or any successor provisions or amendments thereto</w:t>
      </w:r>
      <w:r>
        <w:t xml:space="preserve">), (i) lend; offer; pledge; sell; contract to sell; sell any option or contract to purchase; purchase any option or contract to sell; grant any option, right, or warrant to purchase; or otherwise transfer or dispose of, directly or indirectly, any shares of Common Stock or any securities convertible into or exercisable or exchangeable (directly or indirectly) for Common Stock held immediately before the effective date of the registration statement for such offering or (ii) enter into any swap, hedging, or other transaction or arrangement that transfers, or is designed to transfer, to another, in whole or in part, any of the economic consequences of ownership, directly or indirectly, of such securities, whether or not any such transaction or arrangement described in </w:t>
      </w:r>
      <w:r>
        <w:rPr>
          <w:u w:val="single"/>
        </w:rPr>
        <w:t>clause (i</w:t>
      </w:r>
      <w:r>
        <w:t>) or (</w:t>
      </w:r>
      <w:r>
        <w:rPr>
          <w:u w:val="single"/>
        </w:rPr>
        <w:t>ii</w:t>
      </w:r>
      <w:r>
        <w:t xml:space="preserve">) above is to be settled by delivery of Common Stock or other securities, in cash, or otherwise. The foregoing provisions of this </w:t>
      </w:r>
      <w:r>
        <w:rPr>
          <w:u w:val="single"/>
        </w:rPr>
        <w:t xml:space="preserve">Section </w:t>
      </w:r>
      <w:r>
        <w:rPr>
          <w:color w:val="000000"/>
          <w:u w:val="single"/>
        </w:rPr>
        <w:fldChar w:fldCharType="begin"/>
      </w:r>
      <w:r>
        <w:rPr>
          <w:color w:val="000000"/>
          <w:u w:val="single"/>
        </w:rPr>
        <w:instrText xml:space="preserve"> REF _Ref42252508 \r \h \* MERGEFORMAT </w:instrText>
      </w:r>
      <w:r>
        <w:rPr>
          <w:color w:val="000000"/>
          <w:u w:val="single"/>
        </w:rPr>
      </w:r>
      <w:r>
        <w:rPr>
          <w:color w:val="000000"/>
          <w:u w:val="single"/>
        </w:rPr>
        <w:fldChar w:fldCharType="separate"/>
      </w:r>
      <w:r w:rsidR="008D7705">
        <w:rPr>
          <w:color w:val="000000"/>
          <w:u w:val="single"/>
        </w:rPr>
        <w:t>2.11</w:t>
      </w:r>
      <w:r>
        <w:rPr>
          <w:color w:val="000000"/>
          <w:u w:val="single"/>
        </w:rPr>
        <w:fldChar w:fldCharType="end"/>
      </w:r>
      <w:r>
        <w:t xml:space="preserve"> shall apply only to the IPO, shall not apply to the sale of any shares to an underwriter pursuant to an underwriting agreement or to the establishment of a trading plan pursuant to Rule 10b5-1, </w:t>
      </w:r>
      <w:r>
        <w:rPr>
          <w:u w:val="single"/>
        </w:rPr>
        <w:t>provided</w:t>
      </w:r>
      <w:r>
        <w:t xml:space="preserve"> that such plan does not permit transfers during the restricted period, or the transfer of any shares to any trust for the direct or indirect benefit of the Holder or one or more of the Holder’s Immediate Family Members, </w:t>
      </w:r>
      <w:r>
        <w:rPr>
          <w:u w:val="single"/>
        </w:rPr>
        <w:t>provided</w:t>
      </w:r>
      <w:r>
        <w:t xml:space="preserve"> that the trustee of the trust agrees to be bound in writing by the restrictions set forth herein, and </w:t>
      </w:r>
      <w:r>
        <w:rPr>
          <w:u w:val="words"/>
        </w:rPr>
        <w:t>provided further</w:t>
      </w:r>
      <w:r>
        <w:t xml:space="preserve"> that any such transfer shall not involve a disposition for value, and shall be applicable to the Holders only if all officers and directors of the Company are subject to the same restrictions and the Company uses commercially reasonable efforts to obtain a similar agreement from all </w:t>
      </w:r>
      <w:bookmarkStart w:id="188" w:name="_9kMPO5YVt46678Bec5pmsx2sm1G"/>
      <w:r>
        <w:t>stockholders</w:t>
      </w:r>
      <w:bookmarkEnd w:id="188"/>
      <w:r>
        <w:t xml:space="preserve"> individually owning more than 1% of the Company’s outstanding Common Stock (after giving effect to the conversion into Common Stock of all outstanding Preferred Stock)</w:t>
      </w:r>
      <w:bookmarkEnd w:id="15"/>
      <w:r>
        <w:t xml:space="preserve">. The underwriters in connection with such registration are intended third-party beneficiaries of this </w:t>
      </w:r>
      <w:r>
        <w:rPr>
          <w:u w:val="single"/>
        </w:rPr>
        <w:t xml:space="preserve">Section </w:t>
      </w:r>
      <w:r>
        <w:rPr>
          <w:color w:val="000000"/>
          <w:u w:val="single"/>
        </w:rPr>
        <w:fldChar w:fldCharType="begin"/>
      </w:r>
      <w:r>
        <w:rPr>
          <w:color w:val="000000"/>
          <w:u w:val="single"/>
        </w:rPr>
        <w:instrText xml:space="preserve"> REF _Ref42252508 \r \h \* MERGEFORMAT </w:instrText>
      </w:r>
      <w:r>
        <w:rPr>
          <w:color w:val="000000"/>
          <w:u w:val="single"/>
        </w:rPr>
      </w:r>
      <w:r>
        <w:rPr>
          <w:color w:val="000000"/>
          <w:u w:val="single"/>
        </w:rPr>
        <w:fldChar w:fldCharType="separate"/>
      </w:r>
      <w:r w:rsidR="008D7705">
        <w:rPr>
          <w:color w:val="000000"/>
          <w:u w:val="single"/>
        </w:rPr>
        <w:t>2.11</w:t>
      </w:r>
      <w:r>
        <w:rPr>
          <w:color w:val="000000"/>
          <w:u w:val="single"/>
        </w:rPr>
        <w:fldChar w:fldCharType="end"/>
      </w:r>
      <w:r>
        <w:t xml:space="preserve"> and shall have the right, power and authority to enforce the provisions hereof as though they were a party hereto. Each Holder further agrees to execute such agreements as may be reasonably requested by the underwriters in connection with such registration that are consistent with this </w:t>
      </w:r>
      <w:r>
        <w:rPr>
          <w:u w:val="single"/>
        </w:rPr>
        <w:t xml:space="preserve">Section </w:t>
      </w:r>
      <w:r>
        <w:rPr>
          <w:color w:val="000000"/>
          <w:u w:val="single"/>
        </w:rPr>
        <w:fldChar w:fldCharType="begin"/>
      </w:r>
      <w:r>
        <w:rPr>
          <w:color w:val="000000"/>
          <w:u w:val="single"/>
        </w:rPr>
        <w:instrText xml:space="preserve"> REF _Ref42252508 \r \h \* MERGEFORMAT </w:instrText>
      </w:r>
      <w:r>
        <w:rPr>
          <w:color w:val="000000"/>
          <w:u w:val="single"/>
        </w:rPr>
      </w:r>
      <w:r>
        <w:rPr>
          <w:color w:val="000000"/>
          <w:u w:val="single"/>
        </w:rPr>
        <w:fldChar w:fldCharType="separate"/>
      </w:r>
      <w:r w:rsidR="008D7705">
        <w:rPr>
          <w:color w:val="000000"/>
          <w:u w:val="single"/>
        </w:rPr>
        <w:t>2.11</w:t>
      </w:r>
      <w:r>
        <w:rPr>
          <w:color w:val="000000"/>
          <w:u w:val="single"/>
        </w:rPr>
        <w:fldChar w:fldCharType="end"/>
      </w:r>
      <w:r>
        <w:t xml:space="preserve">. Any discretionary waiver or termination of the restrictions of any or all of such agreements by the Company or the underwriters shall apply pro rata to all Company </w:t>
      </w:r>
      <w:bookmarkStart w:id="189" w:name="_9kMHzG6ZWu57789Cfd6qnty3tn2H"/>
      <w:r>
        <w:t>stockholders</w:t>
      </w:r>
      <w:bookmarkEnd w:id="189"/>
      <w:r>
        <w:t xml:space="preserve"> that are subject to such agreements, based on the number of shares subject to such agreements</w:t>
      </w:r>
      <w:bookmarkStart w:id="190" w:name="_Ref42252509"/>
      <w:bookmarkEnd w:id="185"/>
      <w:r w:rsidR="00254A98">
        <w:t>.</w:t>
      </w:r>
    </w:p>
    <w:p w14:paraId="33D04C2A" w14:textId="77777777" w:rsidR="000A7B80" w:rsidRPr="000A7B80" w:rsidRDefault="00914B3A">
      <w:pPr>
        <w:pStyle w:val="Heading2"/>
        <w:numPr>
          <w:ilvl w:val="1"/>
          <w:numId w:val="11"/>
        </w:numPr>
        <w:rPr>
          <w:vanish/>
          <w:specVanish/>
        </w:rPr>
      </w:pPr>
      <w:bookmarkStart w:id="191" w:name="_Ref145424575"/>
      <w:r>
        <w:t>Restrictions on Transfer</w:t>
      </w:r>
      <w:bookmarkEnd w:id="191"/>
    </w:p>
    <w:p w14:paraId="5906A7C5" w14:textId="696CEE1E" w:rsidR="007E4E59" w:rsidRPr="000D36C4" w:rsidRDefault="00914B3A" w:rsidP="000A7B80">
      <w:pPr>
        <w:pStyle w:val="HeadingPara2"/>
        <w:rPr>
          <w:vanish/>
        </w:rPr>
      </w:pPr>
      <w:r>
        <w:t>.</w:t>
      </w:r>
      <w:bookmarkEnd w:id="190"/>
    </w:p>
    <w:p w14:paraId="6F5F1977" w14:textId="0B1F8A87" w:rsidR="00914B3A" w:rsidRPr="000D36C4" w:rsidRDefault="00914B3A" w:rsidP="000A7B80">
      <w:pPr>
        <w:pStyle w:val="Heading3"/>
        <w:spacing w:after="240"/>
      </w:pPr>
      <w:bookmarkStart w:id="192" w:name="_Ref42252510"/>
      <w:r>
        <w:t xml:space="preserve">The Preferred Stock and the Registrable Securities shall not be sold, pledged, or otherwise transferred, and the Company shall not recognize and shall issue stop-transfer instructions to its </w:t>
      </w:r>
      <w:r>
        <w:lastRenderedPageBreak/>
        <w:t>transfer agent with respect to any such sale, pledge, or transfer, except upon the conditions specified in this Agreement, which conditions are intended to ensure compliance with the provisions of the Securities Act and all other applicable U.S. laws and regulations. A transferring Holder will cause any proposed purchaser, pledgee, or transferee of the Preferred Stock and the Registrable Securities held by such Holder to agree to take and hold such securities subject to the provisions and upon the conditions specified in this Agreement.</w:t>
      </w:r>
      <w:bookmarkStart w:id="193" w:name="_cp_text_1_72"/>
      <w:bookmarkEnd w:id="192"/>
      <w:r>
        <w:t xml:space="preserve"> Notwithstanding the foregoing, the Company shall not require any transferee of shares pursuant to an effective registration statement or, following the IPO, SEC Rule 144, in each case, to be bound by the terms of this </w:t>
      </w:r>
      <w:r>
        <w:rPr>
          <w:u w:val="single"/>
        </w:rPr>
        <w:t>Section </w:t>
      </w:r>
      <w:r>
        <w:rPr>
          <w:u w:val="single"/>
        </w:rPr>
        <w:fldChar w:fldCharType="begin"/>
      </w:r>
      <w:r>
        <w:rPr>
          <w:u w:val="single"/>
        </w:rPr>
        <w:instrText xml:space="preserve"> REF _Ref145424575 \w \h  \* MERGEFORMAT </w:instrText>
      </w:r>
      <w:r>
        <w:rPr>
          <w:u w:val="single"/>
        </w:rPr>
      </w:r>
      <w:r>
        <w:rPr>
          <w:u w:val="single"/>
        </w:rPr>
        <w:fldChar w:fldCharType="separate"/>
      </w:r>
      <w:r w:rsidR="008D7705">
        <w:rPr>
          <w:u w:val="single"/>
        </w:rPr>
        <w:t>2.12</w:t>
      </w:r>
      <w:r>
        <w:rPr>
          <w:u w:val="single"/>
        </w:rPr>
        <w:fldChar w:fldCharType="end"/>
      </w:r>
      <w:r>
        <w:rPr>
          <w:lang w:val="x-none"/>
        </w:rPr>
        <w:t xml:space="preserve">. </w:t>
      </w:r>
      <w:bookmarkEnd w:id="186"/>
      <w:bookmarkEnd w:id="193"/>
    </w:p>
    <w:p w14:paraId="2E60CF76" w14:textId="0AA05520" w:rsidR="00BA5E00" w:rsidRPr="000D36C4" w:rsidRDefault="00914B3A" w:rsidP="000A7B80">
      <w:pPr>
        <w:pStyle w:val="Heading3"/>
        <w:spacing w:after="240"/>
      </w:pPr>
      <w:bookmarkStart w:id="194" w:name="_Ref42252511"/>
      <w:r>
        <w:t xml:space="preserve">Each certificate, instrument, or book entry representing (i) the Preferred Stock, (ii) the Registrable Securities, and (iii) any other securities issued in respect of the securities referenced in clauses (i) and (ii), upon any stock split, stock dividend, recapitalization, merger, consolidation, or similar event, shall (unless otherwise permitted by the provisions of </w:t>
      </w:r>
      <w:r>
        <w:rPr>
          <w:u w:val="single"/>
        </w:rPr>
        <w:t xml:space="preserve">Section </w:t>
      </w:r>
      <w:r>
        <w:rPr>
          <w:u w:val="single"/>
        </w:rPr>
        <w:fldChar w:fldCharType="begin"/>
      </w:r>
      <w:r>
        <w:rPr>
          <w:u w:val="single"/>
        </w:rPr>
        <w:instrText xml:space="preserve"> REF _Ref42252512 \w \h\*MERGEFORMAT </w:instrText>
      </w:r>
      <w:r>
        <w:rPr>
          <w:u w:val="single"/>
        </w:rPr>
      </w:r>
      <w:r>
        <w:rPr>
          <w:u w:val="single"/>
        </w:rPr>
        <w:fldChar w:fldCharType="separate"/>
      </w:r>
      <w:r w:rsidR="008D7705">
        <w:rPr>
          <w:u w:val="single"/>
        </w:rPr>
        <w:t>2.12(c)</w:t>
      </w:r>
      <w:r>
        <w:rPr>
          <w:u w:val="single"/>
        </w:rPr>
        <w:fldChar w:fldCharType="end"/>
      </w:r>
      <w:r>
        <w:t>) be notated with a legend substantially in the following form:</w:t>
      </w:r>
      <w:bookmarkEnd w:id="194"/>
    </w:p>
    <w:p w14:paraId="5303A4A1" w14:textId="77777777" w:rsidR="00914B3A" w:rsidRPr="000D36C4" w:rsidRDefault="00914B3A" w:rsidP="00445EDB">
      <w:pPr>
        <w:pStyle w:val="BodyText"/>
        <w:ind w:firstLine="0"/>
      </w:pPr>
      <w:r>
        <w:t>THE SECURITIES REPRESENTED HEREBY HAVE BEEN ACQUIRED FOR INVESTMENT AND HAVE NOT BEEN REGISTERED UNDER THE SECURITIES ACT OF 1933. SUCH SHARES MAY NOT BE SOLD, PLEDGED, OR TRANSFERRED IN THE ABSENCE OF SUCH REGISTRATION OR A VALID EXEMPTION FROM THE REGISTRATION AND PROSPECTUS DELIVERY REQUIREMENTS OF SAID ACT.</w:t>
      </w:r>
    </w:p>
    <w:p w14:paraId="4DCF8842" w14:textId="77777777" w:rsidR="00914B3A" w:rsidRPr="000D36C4" w:rsidRDefault="00914B3A" w:rsidP="00445EDB">
      <w:pPr>
        <w:pStyle w:val="BodyText"/>
        <w:ind w:firstLine="0"/>
      </w:pPr>
      <w:r>
        <w:t>THE SECURITIES REPRESENTED HEREBY MAY BE TRANSFERRED ONLY IN ACCORDANCE WITH THE TERMS OF AN AGREEMENT BETWEEN THE COMPANY AND THE STOCKHOLDER, A COPY OF WHICH IS ON FILE WITH THE SECRETARY OF THE COMPANY.</w:t>
      </w:r>
    </w:p>
    <w:p w14:paraId="2DAB28AA" w14:textId="5563C0BA" w:rsidR="00914B3A" w:rsidRPr="000D36C4" w:rsidRDefault="00914B3A" w:rsidP="00445EDB">
      <w:pPr>
        <w:pStyle w:val="BodyText"/>
      </w:pPr>
      <w:r>
        <w:t xml:space="preserve">The Holders consent to the Company making a notation in its records and giving instructions to any transfer agent of the Restricted Securities in order to implement the restrictions on transfer set forth in this </w:t>
      </w:r>
      <w:r>
        <w:rPr>
          <w:u w:val="single"/>
        </w:rPr>
        <w:t xml:space="preserve">Section </w:t>
      </w:r>
      <w:r>
        <w:rPr>
          <w:u w:val="single"/>
        </w:rPr>
        <w:fldChar w:fldCharType="begin"/>
      </w:r>
      <w:r>
        <w:rPr>
          <w:u w:val="single"/>
        </w:rPr>
        <w:instrText xml:space="preserve"> REF _Ref145424575 \w \h  \* MERGEFORMAT </w:instrText>
      </w:r>
      <w:r>
        <w:rPr>
          <w:u w:val="single"/>
        </w:rPr>
      </w:r>
      <w:r>
        <w:rPr>
          <w:u w:val="single"/>
        </w:rPr>
        <w:fldChar w:fldCharType="separate"/>
      </w:r>
      <w:r w:rsidR="008D7705">
        <w:rPr>
          <w:u w:val="single"/>
        </w:rPr>
        <w:t>2.12</w:t>
      </w:r>
      <w:r>
        <w:rPr>
          <w:u w:val="single"/>
        </w:rPr>
        <w:fldChar w:fldCharType="end"/>
      </w:r>
      <w:r>
        <w:t>.</w:t>
      </w:r>
    </w:p>
    <w:p w14:paraId="1A43CFB0" w14:textId="763B6E1F" w:rsidR="00AB672A" w:rsidRPr="000D36C4" w:rsidRDefault="00914B3A">
      <w:pPr>
        <w:pStyle w:val="Heading3"/>
      </w:pPr>
      <w:bookmarkStart w:id="195" w:name="_Ref42252512"/>
      <w:r>
        <w:t xml:space="preserve">The </w:t>
      </w:r>
      <w:bookmarkStart w:id="196" w:name="_9kMH4L6ZWu57789HZNyoix"/>
      <w:bookmarkStart w:id="197" w:name="_9kMH4L6ZWu5778ACTNyoix"/>
      <w:r>
        <w:t>holder</w:t>
      </w:r>
      <w:bookmarkEnd w:id="196"/>
      <w:bookmarkEnd w:id="197"/>
      <w:r>
        <w:t xml:space="preserve"> of such Restricted Securities, by acceptance of ownership thereof, agrees to comply in all respects with the provisions of this </w:t>
      </w:r>
      <w:r>
        <w:rPr>
          <w:u w:val="single"/>
        </w:rPr>
        <w:t xml:space="preserve">Section </w:t>
      </w:r>
      <w:r>
        <w:rPr>
          <w:u w:val="single"/>
        </w:rPr>
        <w:fldChar w:fldCharType="begin"/>
      </w:r>
      <w:r>
        <w:rPr>
          <w:u w:val="single"/>
        </w:rPr>
        <w:instrText xml:space="preserve"> REF _Ref42252471 \w \h  \* MERGEFORMAT </w:instrText>
      </w:r>
      <w:r>
        <w:rPr>
          <w:u w:val="single"/>
        </w:rPr>
      </w:r>
      <w:r>
        <w:rPr>
          <w:u w:val="single"/>
        </w:rPr>
        <w:fldChar w:fldCharType="separate"/>
      </w:r>
      <w:r w:rsidR="008D7705">
        <w:rPr>
          <w:u w:val="single"/>
        </w:rPr>
        <w:t>2</w:t>
      </w:r>
      <w:r>
        <w:rPr>
          <w:u w:val="single"/>
        </w:rPr>
        <w:fldChar w:fldCharType="end"/>
      </w:r>
      <w:r>
        <w:t xml:space="preserve">. Before any proposed sale, pledge, or transfer of any Restricted Securities, unless there is in effect a registration statement under the Securities Act covering the proposed transaction or following the IPO, the transfer is made pursuant to SEC Rule 144, the Holder thereof shall give notice to the Company of such Holder’s intention to effect such sale, pledge, or transfer, </w:t>
      </w:r>
      <w:r>
        <w:rPr>
          <w:u w:val="single"/>
        </w:rPr>
        <w:t>provided</w:t>
      </w:r>
      <w:r>
        <w:t xml:space="preserve"> that no such notice shall be required in connection if the intended sale, pledge or transfer complies with SEC Rule 144. Each such notice shall describe the manner and circumstances of the proposed sale, pledge, or transfer in sufficient detail and, if reasonably requested by the Company, shall be accompanied at such Holder’s expense by either (i) a written opinion of legal counsel who shall, and whose legal opinion shall, be reasonably satisfactory to the Company, addressed to the Company, to the effect that the proposed transaction may be effected without registration under the Securities Act; (ii) a “no action” letter from the SEC to the effect that the proposed sale, pledge, or transfer of such Restricted Securities without registration will not result in a recommendation by the staff of the SEC that action be taken with respect thereto; or (iii) any other evidence reasonably satisfactory to counsel to the Company to the effect that the proposed sale, pledge, or transfer of the Restricted Securities may be effected without registration under the Securities Act, whereupon the Holder of such Restricted Securities shall be entitled to sell, pledge, or transfer such Restricted Securities in accordance with the terms of the notice given by the Holder to the Company. The Company will not require such a notice, legal opinion or “no action” letter (x) in any transaction in compliance with SEC Rule 144; or (y) in any transaction in which such Holder distributes Restricted Securities to an Affiliate of such Holder for no consideration; </w:t>
      </w:r>
      <w:r>
        <w:rPr>
          <w:u w:val="single"/>
        </w:rPr>
        <w:t>provided</w:t>
      </w:r>
      <w:r>
        <w:t xml:space="preserve"> that </w:t>
      </w:r>
      <w:bookmarkStart w:id="198" w:name="_cp_text_1_75"/>
      <w:r>
        <w:t xml:space="preserve">with respect to transfers under the foregoing clause (y), </w:t>
      </w:r>
      <w:bookmarkEnd w:id="198"/>
      <w:r>
        <w:t xml:space="preserve">each transferee agrees in writing to be subject to the terms of this </w:t>
      </w:r>
      <w:r>
        <w:rPr>
          <w:u w:val="single"/>
        </w:rPr>
        <w:t xml:space="preserve">Section </w:t>
      </w:r>
      <w:r>
        <w:rPr>
          <w:u w:val="single"/>
        </w:rPr>
        <w:fldChar w:fldCharType="begin"/>
      </w:r>
      <w:r>
        <w:rPr>
          <w:u w:val="single"/>
        </w:rPr>
        <w:instrText xml:space="preserve"> REF _Ref145424575 \w \h  \* MERGEFORMAT </w:instrText>
      </w:r>
      <w:r>
        <w:rPr>
          <w:u w:val="single"/>
        </w:rPr>
      </w:r>
      <w:r>
        <w:rPr>
          <w:u w:val="single"/>
        </w:rPr>
        <w:fldChar w:fldCharType="separate"/>
      </w:r>
      <w:r w:rsidR="008D7705">
        <w:rPr>
          <w:u w:val="single"/>
        </w:rPr>
        <w:t>2.12</w:t>
      </w:r>
      <w:r>
        <w:rPr>
          <w:u w:val="single"/>
        </w:rPr>
        <w:fldChar w:fldCharType="end"/>
      </w:r>
      <w:r>
        <w:t xml:space="preserve">. Each certificate, instrument, or book entry representing the Restricted Securities transferred </w:t>
      </w:r>
      <w:r>
        <w:lastRenderedPageBreak/>
        <w:t xml:space="preserve">as above provided shall be notated with, except if such transfer is made pursuant to SEC Rule 144, the appropriate restrictive legend set forth in </w:t>
      </w:r>
      <w:r>
        <w:rPr>
          <w:u w:val="single"/>
        </w:rPr>
        <w:t xml:space="preserve">Section </w:t>
      </w:r>
      <w:r>
        <w:rPr>
          <w:u w:val="single"/>
        </w:rPr>
        <w:fldChar w:fldCharType="begin"/>
      </w:r>
      <w:r>
        <w:rPr>
          <w:u w:val="single"/>
        </w:rPr>
        <w:instrText xml:space="preserve"> REF _Ref42252511 \w \h\*MERGEFORMAT </w:instrText>
      </w:r>
      <w:r>
        <w:rPr>
          <w:u w:val="single"/>
        </w:rPr>
      </w:r>
      <w:r>
        <w:rPr>
          <w:u w:val="single"/>
        </w:rPr>
        <w:fldChar w:fldCharType="separate"/>
      </w:r>
      <w:r w:rsidR="008D7705">
        <w:rPr>
          <w:u w:val="single"/>
        </w:rPr>
        <w:t>2.12(b)</w:t>
      </w:r>
      <w:r>
        <w:rPr>
          <w:u w:val="single"/>
        </w:rPr>
        <w:fldChar w:fldCharType="end"/>
      </w:r>
      <w:r>
        <w:t>, except that such certificate, instrument, or book entry shall not be notated with such restrictive legend if, in the opinion of counsel for such Holder and the Company, such legend is not required in order to establish compliance with any provisions of the Securities Act and the Company will use commercially reasonable efforts to cause any such legend to be removed.</w:t>
      </w:r>
      <w:bookmarkStart w:id="199" w:name="_Ref42252513"/>
      <w:bookmarkEnd w:id="195"/>
    </w:p>
    <w:p w14:paraId="368342D1" w14:textId="77777777" w:rsidR="004B558A" w:rsidRPr="000D36C4" w:rsidRDefault="00466086" w:rsidP="004C212A">
      <w:pPr>
        <w:pStyle w:val="Heading2"/>
        <w:keepNext/>
        <w:numPr>
          <w:ilvl w:val="1"/>
          <w:numId w:val="5"/>
        </w:numPr>
        <w:rPr>
          <w:vanish/>
          <w:specVanish/>
        </w:rPr>
      </w:pPr>
      <w:bookmarkStart w:id="200" w:name="_Ref151469462"/>
      <w:r>
        <w:t>Termination and Suspension of Registration Rights</w:t>
      </w:r>
      <w:bookmarkEnd w:id="200"/>
    </w:p>
    <w:p w14:paraId="64A72863" w14:textId="77777777" w:rsidR="00D41DE1" w:rsidRPr="000D36C4" w:rsidRDefault="00466086" w:rsidP="004C212A">
      <w:pPr>
        <w:keepNext/>
      </w:pPr>
      <w:r>
        <w:t>.</w:t>
      </w:r>
    </w:p>
    <w:p w14:paraId="7BC53D58" w14:textId="701D5289" w:rsidR="007E4E59" w:rsidRPr="000D36C4" w:rsidRDefault="00466086">
      <w:pPr>
        <w:pStyle w:val="Heading3"/>
      </w:pPr>
      <w:r>
        <w:t xml:space="preserve">The right of any Holder to request registration or inclusion of Registrable Securities in any registration pursuant to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sidR="008D7705">
        <w:rPr>
          <w:color w:val="000000"/>
          <w:u w:val="single"/>
        </w:rPr>
        <w:t>2.1</w:t>
      </w:r>
      <w:r>
        <w:rPr>
          <w:color w:val="000000"/>
          <w:u w:val="single"/>
        </w:rPr>
        <w:fldChar w:fldCharType="end"/>
      </w:r>
      <w:r>
        <w:t xml:space="preserve"> or </w:t>
      </w:r>
      <w:r>
        <w:rPr>
          <w:color w:val="000000"/>
          <w:u w:val="single"/>
        </w:rPr>
        <w:fldChar w:fldCharType="begin"/>
      </w:r>
      <w:r>
        <w:rPr>
          <w:color w:val="000000"/>
          <w:u w:val="single"/>
        </w:rPr>
        <w:instrText xml:space="preserve"> REF _Ref42252477 \r \h \* MERGEFORMAT </w:instrText>
      </w:r>
      <w:r>
        <w:rPr>
          <w:color w:val="000000"/>
          <w:u w:val="single"/>
        </w:rPr>
      </w:r>
      <w:r>
        <w:rPr>
          <w:color w:val="000000"/>
          <w:u w:val="single"/>
        </w:rPr>
        <w:fldChar w:fldCharType="separate"/>
      </w:r>
      <w:r w:rsidR="008D7705">
        <w:rPr>
          <w:color w:val="000000"/>
          <w:u w:val="single"/>
        </w:rPr>
        <w:t>2.2</w:t>
      </w:r>
      <w:r>
        <w:rPr>
          <w:color w:val="000000"/>
          <w:u w:val="single"/>
        </w:rPr>
        <w:fldChar w:fldCharType="end"/>
      </w:r>
      <w:r>
        <w:t xml:space="preserve"> shall terminate, as to such Holder, upon the earliest to occur of:</w:t>
      </w:r>
      <w:bookmarkEnd w:id="199"/>
    </w:p>
    <w:p w14:paraId="58CF61F0" w14:textId="4A3F0696" w:rsidR="00914B3A" w:rsidRPr="000D36C4" w:rsidRDefault="00914B3A">
      <w:pPr>
        <w:pStyle w:val="Heading4"/>
      </w:pPr>
      <w:bookmarkStart w:id="201" w:name="_Ref42252514"/>
      <w:r>
        <w:t xml:space="preserve">the </w:t>
      </w:r>
      <w:bookmarkStart w:id="202" w:name="_9kMIH5YVt466789MEx50wv"/>
      <w:r>
        <w:t>closing</w:t>
      </w:r>
      <w:bookmarkEnd w:id="202"/>
      <w:r>
        <w:t xml:space="preserve"> of a Deemed Liquidation Event;</w:t>
      </w:r>
      <w:r w:rsidR="000E4994">
        <w:t xml:space="preserve"> </w:t>
      </w:r>
      <w:bookmarkEnd w:id="201"/>
    </w:p>
    <w:p w14:paraId="26ED0F87" w14:textId="1E8C4DC6" w:rsidR="00914B3A" w:rsidRPr="000D36C4" w:rsidRDefault="00914B3A">
      <w:pPr>
        <w:pStyle w:val="Heading4"/>
      </w:pPr>
      <w:bookmarkStart w:id="203" w:name="_Ref42252515"/>
      <w:r>
        <w:t>such time after consummation of an IPO, when the Holder (A) together with its “affiliates” (as determined under SEC Rule 144) holds less than 1% of the outstanding capital stock of the Company and (B) may immediately sell all of the Holder’s Registrable Securities under SEC Rule 144 without volume limitation, or another similar exemption under the Securities Act is available for the sale of all of such Holder’s shares without limitation, during a three-month period without registration;</w:t>
      </w:r>
      <w:r w:rsidR="000E4994">
        <w:t xml:space="preserve"> and</w:t>
      </w:r>
      <w:bookmarkEnd w:id="203"/>
    </w:p>
    <w:p w14:paraId="6F7971A0" w14:textId="3ACC1F2D" w:rsidR="00DB66CC" w:rsidRPr="000D36C4" w:rsidRDefault="00914B3A">
      <w:pPr>
        <w:pStyle w:val="Heading4"/>
      </w:pPr>
      <w:bookmarkStart w:id="204" w:name="_Ref42252516"/>
      <w:r>
        <w:t xml:space="preserve">the </w:t>
      </w:r>
      <w:r w:rsidR="00254A98">
        <w:t>fourth</w:t>
      </w:r>
      <w:r>
        <w:t xml:space="preserve"> anniversary of the IPO</w:t>
      </w:r>
      <w:bookmarkStart w:id="205" w:name="_cp_text_1_103"/>
      <w:r w:rsidR="000E4994">
        <w:t>.</w:t>
      </w:r>
    </w:p>
    <w:p w14:paraId="2109012F" w14:textId="3617DB03" w:rsidR="00914B3A" w:rsidRPr="000D36C4" w:rsidRDefault="00D41DE1">
      <w:pPr>
        <w:pStyle w:val="Heading3"/>
      </w:pPr>
      <w:r>
        <w:t xml:space="preserve">The right of any Holder to request registration or inclusion of Registrable Securities in any registration pursuant to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sidR="008D7705">
        <w:rPr>
          <w:color w:val="000000"/>
          <w:u w:val="single"/>
        </w:rPr>
        <w:t>2.1</w:t>
      </w:r>
      <w:r>
        <w:rPr>
          <w:color w:val="000000"/>
          <w:u w:val="single"/>
        </w:rPr>
        <w:fldChar w:fldCharType="end"/>
      </w:r>
      <w:r>
        <w:t xml:space="preserve"> or </w:t>
      </w:r>
      <w:r>
        <w:rPr>
          <w:color w:val="000000"/>
          <w:u w:val="single"/>
        </w:rPr>
        <w:fldChar w:fldCharType="begin"/>
      </w:r>
      <w:r>
        <w:rPr>
          <w:color w:val="000000"/>
          <w:u w:val="single"/>
        </w:rPr>
        <w:instrText xml:space="preserve"> REF _Ref42252477 \r \h \* MERGEFORMAT </w:instrText>
      </w:r>
      <w:r>
        <w:rPr>
          <w:color w:val="000000"/>
          <w:u w:val="single"/>
        </w:rPr>
      </w:r>
      <w:r>
        <w:rPr>
          <w:color w:val="000000"/>
          <w:u w:val="single"/>
        </w:rPr>
        <w:fldChar w:fldCharType="separate"/>
      </w:r>
      <w:r w:rsidR="008D7705">
        <w:rPr>
          <w:color w:val="000000"/>
          <w:u w:val="single"/>
        </w:rPr>
        <w:t>2.2</w:t>
      </w:r>
      <w:r>
        <w:rPr>
          <w:color w:val="000000"/>
          <w:u w:val="single"/>
        </w:rPr>
        <w:fldChar w:fldCharType="end"/>
      </w:r>
      <w:r>
        <w:t xml:space="preserve"> shall be suspended during any time </w:t>
      </w:r>
      <w:r>
        <w:rPr>
          <w:color w:val="000000" w:themeColor="text1"/>
        </w:rPr>
        <w:t>as such Holder is a Sanctioned Party</w:t>
      </w:r>
      <w:r>
        <w:t>.</w:t>
      </w:r>
      <w:bookmarkEnd w:id="204"/>
      <w:bookmarkEnd w:id="205"/>
    </w:p>
    <w:p w14:paraId="717F3DDD" w14:textId="43D4CFDF" w:rsidR="00914B3A" w:rsidRPr="000D36C4" w:rsidRDefault="00914B3A">
      <w:pPr>
        <w:pStyle w:val="Heading1"/>
        <w:rPr>
          <w:szCs w:val="22"/>
        </w:rPr>
      </w:pPr>
      <w:bookmarkStart w:id="206" w:name="_Ref42252517"/>
      <w:r>
        <w:rPr>
          <w:szCs w:val="22"/>
          <w:u w:val="single"/>
        </w:rPr>
        <w:t>Information Rights</w:t>
      </w:r>
      <w:r>
        <w:rPr>
          <w:szCs w:val="22"/>
        </w:rPr>
        <w:t>.</w:t>
      </w:r>
      <w:bookmarkEnd w:id="206"/>
    </w:p>
    <w:p w14:paraId="397546AA" w14:textId="77777777" w:rsidR="00914B3A" w:rsidRPr="000D36C4" w:rsidRDefault="00914B3A">
      <w:pPr>
        <w:pStyle w:val="Heading2"/>
        <w:rPr>
          <w:vanish/>
          <w:specVanish/>
        </w:rPr>
      </w:pPr>
      <w:bookmarkStart w:id="207" w:name="_Ref145425266"/>
      <w:bookmarkStart w:id="208" w:name="_Ref42252518"/>
      <w:r>
        <w:t>Delivery of Financial Statements</w:t>
      </w:r>
      <w:bookmarkEnd w:id="207"/>
    </w:p>
    <w:p w14:paraId="6324B981" w14:textId="0B032060" w:rsidR="007E4E59" w:rsidRPr="007D1021" w:rsidRDefault="00466086" w:rsidP="007D1021">
      <w:pPr>
        <w:pStyle w:val="HeadingPara2"/>
      </w:pPr>
      <w:r>
        <w:t xml:space="preserve">. </w:t>
      </w:r>
      <w:bookmarkEnd w:id="16"/>
      <w:bookmarkEnd w:id="208"/>
    </w:p>
    <w:p w14:paraId="422813B7" w14:textId="3A6C882B" w:rsidR="00523207" w:rsidRDefault="00523207">
      <w:pPr>
        <w:pStyle w:val="Heading3"/>
      </w:pPr>
      <w:bookmarkStart w:id="209" w:name="_Ref42252519"/>
      <w:r>
        <w:t xml:space="preserve">The Company shall deliver to each Major Investor, </w:t>
      </w:r>
      <w:r>
        <w:rPr>
          <w:u w:val="single"/>
        </w:rPr>
        <w:t>provided</w:t>
      </w:r>
      <w:r>
        <w:t xml:space="preserve"> that such Major Investor is </w:t>
      </w:r>
      <w:r w:rsidR="00890B7F">
        <w:t xml:space="preserve">not </w:t>
      </w:r>
      <w:r w:rsidR="00F051F3">
        <w:t xml:space="preserve">a </w:t>
      </w:r>
      <w:r>
        <w:t>Competitor:</w:t>
      </w:r>
    </w:p>
    <w:p w14:paraId="12ED6A39" w14:textId="4C4FF062" w:rsidR="00914B3A" w:rsidRPr="000D36C4" w:rsidRDefault="00914B3A" w:rsidP="004C212A">
      <w:pPr>
        <w:pStyle w:val="Heading4"/>
      </w:pPr>
      <w:r>
        <w:t>as soon as practicable, but in any event within 180 days after the end of each fiscal year of the Company (</w:t>
      </w:r>
      <w:r w:rsidR="00523207">
        <w:t>A</w:t>
      </w:r>
      <w:r>
        <w:t>) a balance sheet as of the end of such year, (</w:t>
      </w:r>
      <w:r w:rsidR="00523207">
        <w:t>B</w:t>
      </w:r>
      <w:r>
        <w:t>) statements of income and of cash flows for such year, and a comparison between (x) the actual amounts as of and for such fiscal year and (y) the comparable amounts for the prior year and as included in the Approved Annual Budget (as defined below) for such year, with an explanation of any material differences between such amounts and a schedule as to the sources and applications of funds for such year, and (</w:t>
      </w:r>
      <w:r w:rsidR="00523207">
        <w:t>C</w:t>
      </w:r>
      <w:r>
        <w:t xml:space="preserve">) a statement of </w:t>
      </w:r>
      <w:bookmarkStart w:id="210" w:name="_9kMH0H6ZWu57789Cfd6qnty3tn2H"/>
      <w:r>
        <w:t>stockholders’</w:t>
      </w:r>
      <w:bookmarkEnd w:id="210"/>
      <w:r>
        <w:t xml:space="preserve"> equity as of the end of such year, all such financial statements </w:t>
      </w:r>
      <w:r w:rsidR="00523207">
        <w:t>prepared in accordance with GAAP</w:t>
      </w:r>
      <w:r>
        <w:t>;</w:t>
      </w:r>
      <w:bookmarkEnd w:id="17"/>
      <w:bookmarkEnd w:id="209"/>
    </w:p>
    <w:p w14:paraId="3910D6D0" w14:textId="78E034A1" w:rsidR="00914B3A" w:rsidRPr="000D36C4" w:rsidRDefault="00914B3A" w:rsidP="004C212A">
      <w:pPr>
        <w:pStyle w:val="Heading4"/>
      </w:pPr>
      <w:bookmarkStart w:id="211" w:name="_Ref42252520"/>
      <w:r>
        <w:t>as soon as practicable, but in any event within 45 days after the end of each quarter of each fiscal year of the Company, unaudited statements of income and cash flows for such fiscal quarter, and an unaudited balance sheet</w:t>
      </w:r>
      <w:r w:rsidR="00254A98">
        <w:t xml:space="preserve"> </w:t>
      </w:r>
      <w:r>
        <w:t>and a statement of stockholders’ equity as of the end of such fiscal quarter, all prepared in accordance with GAAP (except that such financial statements may (</w:t>
      </w:r>
      <w:r w:rsidR="00523207">
        <w:t>A</w:t>
      </w:r>
      <w:r>
        <w:t>) be subject to normal year-end audit adjustments; and (</w:t>
      </w:r>
      <w:r w:rsidR="00523207">
        <w:t>B</w:t>
      </w:r>
      <w:r>
        <w:t>) not contain all notes thereto that may be required in accordance with GAAP);</w:t>
      </w:r>
      <w:bookmarkEnd w:id="211"/>
    </w:p>
    <w:p w14:paraId="560DB5B0" w14:textId="2B47C139" w:rsidR="00914B3A" w:rsidRPr="000D36C4" w:rsidRDefault="00914B3A" w:rsidP="004C212A">
      <w:pPr>
        <w:pStyle w:val="Heading4"/>
      </w:pPr>
      <w:bookmarkStart w:id="212" w:name="_Ref42252521"/>
      <w:r>
        <w:t xml:space="preserve">as soon as practicable, but in any event within 45 days after the end of each quarter of each fiscal year of the Company, a statement showing the number of shares of each class and series of capital stock and securities convertible into or exercisable for shares of capital stock outstanding </w:t>
      </w:r>
      <w:r>
        <w:lastRenderedPageBreak/>
        <w:t>at the end of the period, the Common Stock issuable upon conversion or exercise of any outstanding securities convertible or exercisable for Common Stock and the exchange ratio or exercise price applicable thereto, and the number of shares of issued stock options and stock options not yet issued but reserved for issuance, if any, all in sufficient detail as to permit the Major Investors to calculate their respective percentage equity ownership in the Company;</w:t>
      </w:r>
      <w:bookmarkEnd w:id="212"/>
    </w:p>
    <w:p w14:paraId="71A558FD" w14:textId="77777777" w:rsidR="00523207" w:rsidRDefault="00914B3A" w:rsidP="00523207">
      <w:pPr>
        <w:pStyle w:val="Heading4"/>
      </w:pPr>
      <w:bookmarkStart w:id="213" w:name="_Ref42252523"/>
      <w:r>
        <w:t>as soon as practicable, the Company’s Approved Annual Budget</w:t>
      </w:r>
      <w:r w:rsidR="00C86DC7">
        <w:t>.</w:t>
      </w:r>
    </w:p>
    <w:p w14:paraId="739218BF" w14:textId="5470E3AC" w:rsidR="00EF04F9" w:rsidRDefault="00EF04F9" w:rsidP="00EF04F9">
      <w:pPr>
        <w:pStyle w:val="Heading3"/>
      </w:pPr>
      <w:r>
        <w:rPr>
          <w:lang w:eastAsia="ko-KR"/>
        </w:rPr>
        <w:t xml:space="preserve">The Company shall, at least </w:t>
      </w:r>
      <w:r>
        <w:t>30 days before the end of each fiscal year</w:t>
      </w:r>
      <w:r>
        <w:rPr>
          <w:lang w:eastAsia="ko-KR"/>
        </w:rPr>
        <w:t xml:space="preserve">, prepare </w:t>
      </w:r>
      <w:r>
        <w:t>an annual budget and business plan for the next fiscal year, prepared on a monthly basis, including balance sheets, income statements, and statements of cash flow for such months (the “</w:t>
      </w:r>
      <w:r>
        <w:rPr>
          <w:b/>
          <w:bCs/>
        </w:rPr>
        <w:t>Budget</w:t>
      </w:r>
      <w:r>
        <w:t xml:space="preserve">”). The Company shall submit the Budget to the Board of Directors for approval and the Budget, as may be revised by the Board of Directors, </w:t>
      </w:r>
      <w:r>
        <w:rPr>
          <w:lang w:eastAsia="ko-KR"/>
        </w:rPr>
        <w:t>shall be approved by the Board of Directors (“</w:t>
      </w:r>
      <w:r>
        <w:rPr>
          <w:b/>
          <w:bCs/>
          <w:lang w:eastAsia="ko-KR"/>
        </w:rPr>
        <w:t>Approved</w:t>
      </w:r>
      <w:r>
        <w:rPr>
          <w:lang w:eastAsia="ko-KR"/>
        </w:rPr>
        <w:t xml:space="preserve"> </w:t>
      </w:r>
      <w:r>
        <w:rPr>
          <w:b/>
          <w:bCs/>
          <w:lang w:eastAsia="ko-KR"/>
        </w:rPr>
        <w:t>Annual Budget</w:t>
      </w:r>
      <w:r>
        <w:rPr>
          <w:lang w:eastAsia="ko-KR"/>
        </w:rPr>
        <w:t xml:space="preserve">”). </w:t>
      </w:r>
    </w:p>
    <w:p w14:paraId="763835AA" w14:textId="449DC4C2" w:rsidR="00523207" w:rsidRDefault="00523207" w:rsidP="00523207">
      <w:pPr>
        <w:pStyle w:val="Heading3"/>
      </w:pPr>
      <w:r>
        <w:t>If, for any period, the Company has any subsidiary whose accounts are consolidated with those of the Company, then in respect of such period the financial statements delivered pursuant to the foregoing sections shall be the consolidated and consolidating financial statements of the Company and all such consolidated subsidiaries.</w:t>
      </w:r>
    </w:p>
    <w:p w14:paraId="7816AE78" w14:textId="62A2EC09" w:rsidR="00523207" w:rsidRDefault="00523207" w:rsidP="00523207">
      <w:pPr>
        <w:pStyle w:val="Heading3"/>
      </w:pPr>
      <w:r>
        <w:t xml:space="preserve">If reasonably requested by a Major Investor, the Company shall provide the information required by, or reasonably requested pursuant to, this </w:t>
      </w:r>
      <w:r w:rsidRPr="00523207">
        <w:rPr>
          <w:u w:val="single"/>
        </w:rPr>
        <w:t xml:space="preserve">Section </w:t>
      </w:r>
      <w:r w:rsidRPr="00523207">
        <w:rPr>
          <w:color w:val="000000"/>
          <w:u w:val="single"/>
        </w:rPr>
        <w:fldChar w:fldCharType="begin"/>
      </w:r>
      <w:r w:rsidRPr="00523207">
        <w:rPr>
          <w:color w:val="000000"/>
          <w:u w:val="single"/>
        </w:rPr>
        <w:instrText xml:space="preserve"> REF _Ref42252518 \r \h \* MERGEFORMAT </w:instrText>
      </w:r>
      <w:r w:rsidRPr="00523207">
        <w:rPr>
          <w:color w:val="000000"/>
          <w:u w:val="single"/>
        </w:rPr>
      </w:r>
      <w:r w:rsidRPr="00523207">
        <w:rPr>
          <w:color w:val="000000"/>
          <w:u w:val="single"/>
        </w:rPr>
        <w:fldChar w:fldCharType="separate"/>
      </w:r>
      <w:r w:rsidR="008D7705">
        <w:rPr>
          <w:color w:val="000000"/>
          <w:u w:val="single"/>
        </w:rPr>
        <w:t>3.1</w:t>
      </w:r>
      <w:r w:rsidRPr="00523207">
        <w:rPr>
          <w:color w:val="000000"/>
          <w:u w:val="single"/>
        </w:rPr>
        <w:fldChar w:fldCharType="end"/>
      </w:r>
      <w:r>
        <w:t xml:space="preserve"> to such Major Investor by uploading the information to a portfolio management platform.</w:t>
      </w:r>
    </w:p>
    <w:p w14:paraId="5E9C711D" w14:textId="7D1FEF77" w:rsidR="00914B3A" w:rsidRPr="000D36C4" w:rsidRDefault="00523207" w:rsidP="00254A98">
      <w:pPr>
        <w:pStyle w:val="Heading3"/>
      </w:pPr>
      <w:r>
        <w:t xml:space="preserve">Notwithstanding anything else in this </w:t>
      </w:r>
      <w:r w:rsidRPr="00523207">
        <w:rPr>
          <w:u w:val="single"/>
        </w:rPr>
        <w:t xml:space="preserve">Section </w:t>
      </w:r>
      <w:r w:rsidRPr="00523207">
        <w:rPr>
          <w:color w:val="000000"/>
          <w:u w:val="single"/>
        </w:rPr>
        <w:fldChar w:fldCharType="begin"/>
      </w:r>
      <w:r w:rsidRPr="00523207">
        <w:rPr>
          <w:color w:val="000000"/>
          <w:u w:val="single"/>
        </w:rPr>
        <w:instrText xml:space="preserve"> REF _Ref42252518 \r \h \* MERGEFORMAT </w:instrText>
      </w:r>
      <w:r w:rsidRPr="00523207">
        <w:rPr>
          <w:color w:val="000000"/>
          <w:u w:val="single"/>
        </w:rPr>
      </w:r>
      <w:r w:rsidRPr="00523207">
        <w:rPr>
          <w:color w:val="000000"/>
          <w:u w:val="single"/>
        </w:rPr>
        <w:fldChar w:fldCharType="separate"/>
      </w:r>
      <w:r w:rsidR="008D7705">
        <w:rPr>
          <w:color w:val="000000"/>
          <w:u w:val="single"/>
        </w:rPr>
        <w:t>3.1</w:t>
      </w:r>
      <w:r w:rsidRPr="00523207">
        <w:rPr>
          <w:color w:val="000000"/>
          <w:u w:val="single"/>
        </w:rPr>
        <w:fldChar w:fldCharType="end"/>
      </w:r>
      <w:r>
        <w:t xml:space="preserve"> to the contrary, the Company may cease providing the information set forth in this </w:t>
      </w:r>
      <w:r w:rsidRPr="00523207">
        <w:rPr>
          <w:u w:val="single"/>
        </w:rPr>
        <w:t xml:space="preserve">Section </w:t>
      </w:r>
      <w:r w:rsidRPr="00523207">
        <w:rPr>
          <w:color w:val="000000"/>
          <w:u w:val="single"/>
        </w:rPr>
        <w:fldChar w:fldCharType="begin"/>
      </w:r>
      <w:r w:rsidRPr="00523207">
        <w:rPr>
          <w:color w:val="000000"/>
          <w:u w:val="single"/>
        </w:rPr>
        <w:instrText xml:space="preserve"> REF _Ref42252518 \r \h \* MERGEFORMAT </w:instrText>
      </w:r>
      <w:r w:rsidRPr="00523207">
        <w:rPr>
          <w:color w:val="000000"/>
          <w:u w:val="single"/>
        </w:rPr>
      </w:r>
      <w:r w:rsidRPr="00523207">
        <w:rPr>
          <w:color w:val="000000"/>
          <w:u w:val="single"/>
        </w:rPr>
        <w:fldChar w:fldCharType="separate"/>
      </w:r>
      <w:r w:rsidR="008D7705">
        <w:rPr>
          <w:color w:val="000000"/>
          <w:u w:val="single"/>
        </w:rPr>
        <w:t>3.1</w:t>
      </w:r>
      <w:r w:rsidRPr="00523207">
        <w:rPr>
          <w:color w:val="000000"/>
          <w:u w:val="single"/>
        </w:rPr>
        <w:fldChar w:fldCharType="end"/>
      </w:r>
      <w:r>
        <w:t xml:space="preserve"> during the period starting with the date </w:t>
      </w:r>
      <w:r w:rsidR="009A5F80">
        <w:t>45</w:t>
      </w:r>
      <w:r>
        <w:t xml:space="preserve"> days before the Company’s good-faith estimate of the date of filing of a registration statement if it reasonably concludes it must do so to comply with the SEC rules applicable to such registration statement and related offering; </w:t>
      </w:r>
      <w:r w:rsidRPr="00523207">
        <w:rPr>
          <w:u w:val="single"/>
        </w:rPr>
        <w:t>provided</w:t>
      </w:r>
      <w:r>
        <w:t xml:space="preserve"> that the Company’s covenants under this </w:t>
      </w:r>
      <w:r w:rsidRPr="00523207">
        <w:rPr>
          <w:u w:val="single"/>
        </w:rPr>
        <w:t xml:space="preserve">Section </w:t>
      </w:r>
      <w:r w:rsidRPr="00523207">
        <w:rPr>
          <w:color w:val="000000"/>
          <w:u w:val="single"/>
        </w:rPr>
        <w:fldChar w:fldCharType="begin"/>
      </w:r>
      <w:r w:rsidRPr="00523207">
        <w:rPr>
          <w:color w:val="000000"/>
          <w:u w:val="single"/>
        </w:rPr>
        <w:instrText xml:space="preserve"> REF _Ref42252518 \r \h \* MERGEFORMAT </w:instrText>
      </w:r>
      <w:r w:rsidRPr="00523207">
        <w:rPr>
          <w:color w:val="000000"/>
          <w:u w:val="single"/>
        </w:rPr>
      </w:r>
      <w:r w:rsidRPr="00523207">
        <w:rPr>
          <w:color w:val="000000"/>
          <w:u w:val="single"/>
        </w:rPr>
        <w:fldChar w:fldCharType="separate"/>
      </w:r>
      <w:r w:rsidR="008D7705">
        <w:rPr>
          <w:color w:val="000000"/>
          <w:u w:val="single"/>
        </w:rPr>
        <w:t>3.1</w:t>
      </w:r>
      <w:r w:rsidRPr="00523207">
        <w:rPr>
          <w:color w:val="000000"/>
          <w:u w:val="single"/>
        </w:rPr>
        <w:fldChar w:fldCharType="end"/>
      </w:r>
      <w:r>
        <w:t xml:space="preserve"> shall be reinstated at such time as the Company is no longer actively employing its commercially reasonable efforts to cause such registration statement to become effective.</w:t>
      </w:r>
      <w:bookmarkEnd w:id="213"/>
    </w:p>
    <w:p w14:paraId="32AC40CD" w14:textId="77777777" w:rsidR="00BA5E00" w:rsidRPr="000D36C4" w:rsidRDefault="00914B3A">
      <w:pPr>
        <w:pStyle w:val="Heading2"/>
        <w:rPr>
          <w:vanish/>
          <w:u w:val="none"/>
          <w:specVanish/>
        </w:rPr>
      </w:pPr>
      <w:bookmarkStart w:id="214" w:name="_Ref145425274"/>
      <w:bookmarkStart w:id="215" w:name="_Ref42252526"/>
      <w:r>
        <w:t>Inspection</w:t>
      </w:r>
      <w:bookmarkEnd w:id="214"/>
    </w:p>
    <w:p w14:paraId="153EB518" w14:textId="29AB7090" w:rsidR="007433BF" w:rsidRPr="007D1021" w:rsidRDefault="00914B3A" w:rsidP="007D1021">
      <w:pPr>
        <w:pStyle w:val="HeadingPara2"/>
      </w:pPr>
      <w:r>
        <w:t>. The Company shall permit each Major Investor (</w:t>
      </w:r>
      <w:r>
        <w:rPr>
          <w:u w:val="single"/>
        </w:rPr>
        <w:t>provided</w:t>
      </w:r>
      <w:r>
        <w:t xml:space="preserve"> that the Board of Directors has not reasonably determined that such Major Investor is a Competitor), at such Major Investor’s expense, to visit and inspect the Company’s properties; examine its books of account and records; and discuss the Company’s affairs, finances, and accounts with its officers, during normal business hours of the Company as may be reasonably requested by the Major Investor</w:t>
      </w:r>
      <w:r w:rsidR="004D7EBE">
        <w:t xml:space="preserve"> in connection with monitoring or making decisions with respect to its investment in the Company</w:t>
      </w:r>
      <w:r>
        <w:t xml:space="preserve">; </w:t>
      </w:r>
      <w:r>
        <w:rPr>
          <w:u w:val="single"/>
        </w:rPr>
        <w:t>provided</w:t>
      </w:r>
      <w:r>
        <w:t xml:space="preserve">, </w:t>
      </w:r>
      <w:r>
        <w:rPr>
          <w:u w:val="single"/>
        </w:rPr>
        <w:t>however</w:t>
      </w:r>
      <w:r>
        <w:t xml:space="preserve">, that the Company shall not be obligated pursuant to this </w:t>
      </w:r>
      <w:r>
        <w:rPr>
          <w:u w:val="single"/>
        </w:rPr>
        <w:t xml:space="preserve">Section </w:t>
      </w:r>
      <w:r>
        <w:rPr>
          <w:color w:val="000000"/>
          <w:u w:val="single"/>
        </w:rPr>
        <w:fldChar w:fldCharType="begin"/>
      </w:r>
      <w:r>
        <w:rPr>
          <w:color w:val="000000"/>
          <w:u w:val="single"/>
        </w:rPr>
        <w:instrText xml:space="preserve"> REF _Ref42252526 \r \h \* MERGEFORMAT </w:instrText>
      </w:r>
      <w:r>
        <w:rPr>
          <w:color w:val="000000"/>
          <w:u w:val="single"/>
        </w:rPr>
      </w:r>
      <w:r>
        <w:rPr>
          <w:color w:val="000000"/>
          <w:u w:val="single"/>
        </w:rPr>
        <w:fldChar w:fldCharType="separate"/>
      </w:r>
      <w:r w:rsidR="008D7705">
        <w:rPr>
          <w:color w:val="000000"/>
          <w:u w:val="single"/>
        </w:rPr>
        <w:t>3.2</w:t>
      </w:r>
      <w:r>
        <w:rPr>
          <w:color w:val="000000"/>
          <w:u w:val="single"/>
        </w:rPr>
        <w:fldChar w:fldCharType="end"/>
      </w:r>
      <w:r>
        <w:t xml:space="preserve"> to </w:t>
      </w:r>
      <w:r w:rsidR="004D7EBE">
        <w:t xml:space="preserve">(a) create any new information or materials or (b) </w:t>
      </w:r>
      <w:r>
        <w:t>provide access to any information that it reasonably and in good faith considers to be a trade secret or confidential information or the disclosure of which would adversely affect the attorney-client privilege between the Company and its counsel.</w:t>
      </w:r>
      <w:bookmarkStart w:id="216" w:name="_Ref42252527"/>
      <w:bookmarkEnd w:id="215"/>
    </w:p>
    <w:p w14:paraId="6663A815" w14:textId="2C281571" w:rsidR="00BA5E00" w:rsidRPr="000D36C4" w:rsidRDefault="00914B3A">
      <w:pPr>
        <w:pStyle w:val="Heading2"/>
        <w:rPr>
          <w:vanish/>
          <w:specVanish/>
        </w:rPr>
      </w:pPr>
      <w:bookmarkStart w:id="217" w:name="_Ref42252528"/>
      <w:bookmarkEnd w:id="216"/>
      <w:r>
        <w:t>Termination of Information Rights</w:t>
      </w:r>
    </w:p>
    <w:p w14:paraId="1834181B" w14:textId="755D7B48" w:rsidR="00233248" w:rsidRPr="007D1021" w:rsidRDefault="00914B3A" w:rsidP="007D1021">
      <w:pPr>
        <w:pStyle w:val="HeadingPara2"/>
      </w:pPr>
      <w:r>
        <w:t xml:space="preserve">. The covenants set forth in </w:t>
      </w:r>
      <w:r>
        <w:rPr>
          <w:u w:val="single"/>
        </w:rPr>
        <w:t xml:space="preserve">Sections </w:t>
      </w:r>
      <w:r>
        <w:rPr>
          <w:u w:val="single"/>
        </w:rPr>
        <w:fldChar w:fldCharType="begin"/>
      </w:r>
      <w:r>
        <w:rPr>
          <w:u w:val="single"/>
        </w:rPr>
        <w:instrText xml:space="preserve"> REF _Ref42252518 \r \h \* MERGEFORMAT </w:instrText>
      </w:r>
      <w:r>
        <w:rPr>
          <w:u w:val="single"/>
        </w:rPr>
      </w:r>
      <w:r>
        <w:rPr>
          <w:u w:val="single"/>
        </w:rPr>
        <w:fldChar w:fldCharType="separate"/>
      </w:r>
      <w:r w:rsidR="008D7705">
        <w:rPr>
          <w:u w:val="single"/>
        </w:rPr>
        <w:t>3.1</w:t>
      </w:r>
      <w:r>
        <w:rPr>
          <w:u w:val="single"/>
        </w:rPr>
        <w:fldChar w:fldCharType="end"/>
      </w:r>
      <w:r>
        <w:t>,</w:t>
      </w:r>
      <w:r w:rsidR="00254A98">
        <w:t xml:space="preserve"> </w:t>
      </w:r>
      <w:r>
        <w:t xml:space="preserve">and </w:t>
      </w:r>
      <w:r>
        <w:rPr>
          <w:u w:val="single"/>
        </w:rPr>
        <w:fldChar w:fldCharType="begin"/>
      </w:r>
      <w:r>
        <w:rPr>
          <w:u w:val="single"/>
        </w:rPr>
        <w:instrText xml:space="preserve"> REF _Ref42252526 \r \h \* MERGEFORMAT </w:instrText>
      </w:r>
      <w:r>
        <w:rPr>
          <w:u w:val="single"/>
        </w:rPr>
      </w:r>
      <w:r>
        <w:rPr>
          <w:u w:val="single"/>
        </w:rPr>
        <w:fldChar w:fldCharType="separate"/>
      </w:r>
      <w:r w:rsidR="008D7705">
        <w:rPr>
          <w:u w:val="single"/>
        </w:rPr>
        <w:t>3.2</w:t>
      </w:r>
      <w:r>
        <w:rPr>
          <w:u w:val="single"/>
        </w:rPr>
        <w:fldChar w:fldCharType="end"/>
      </w:r>
      <w:r>
        <w:t xml:space="preserve"> shall terminate and be of no further force or effect (i) immediately before the consummation of the IPO</w:t>
      </w:r>
      <w:bookmarkStart w:id="218" w:name="_Ref42252631"/>
      <w:r>
        <w:t>;</w:t>
      </w:r>
      <w:bookmarkEnd w:id="218"/>
      <w:r>
        <w:t xml:space="preserve"> (ii) with respect to any Investor that is or becomes </w:t>
      </w:r>
      <w:r>
        <w:rPr>
          <w:color w:val="000000" w:themeColor="text1"/>
        </w:rPr>
        <w:t xml:space="preserve">a Sanctioned Party, for so long as such Investor is a Sanctioned Party; </w:t>
      </w:r>
      <w:r>
        <w:t xml:space="preserve">(iii) when the Company first becomes subject to the periodic reporting requirements of Section 12(g) or 15(d) of the Exchange Act, or (iv) upon the </w:t>
      </w:r>
      <w:bookmarkStart w:id="219" w:name="_9kMJI5YVt466789MEx50wv"/>
      <w:r>
        <w:t>closing</w:t>
      </w:r>
      <w:bookmarkEnd w:id="219"/>
      <w:r>
        <w:t xml:space="preserve"> of a Deemed Liquidation Event, whichever event occurs first</w:t>
      </w:r>
      <w:bookmarkStart w:id="220" w:name="_cp_text_1_109"/>
      <w:r>
        <w:t xml:space="preserve">; </w:t>
      </w:r>
      <w:r>
        <w:rPr>
          <w:u w:val="single"/>
        </w:rPr>
        <w:t>provided</w:t>
      </w:r>
      <w:r>
        <w:t xml:space="preserve">, that, with respect to clause (iv), the covenants set forth in </w:t>
      </w:r>
      <w:r>
        <w:rPr>
          <w:u w:val="single"/>
        </w:rPr>
        <w:t xml:space="preserve">Section </w:t>
      </w:r>
      <w:r>
        <w:rPr>
          <w:u w:val="single"/>
        </w:rPr>
        <w:fldChar w:fldCharType="begin"/>
      </w:r>
      <w:r>
        <w:rPr>
          <w:u w:val="single"/>
        </w:rPr>
        <w:instrText xml:space="preserve"> REF _Ref42252518 \r \h \* MERGEFORMAT </w:instrText>
      </w:r>
      <w:r>
        <w:rPr>
          <w:u w:val="single"/>
        </w:rPr>
      </w:r>
      <w:r>
        <w:rPr>
          <w:u w:val="single"/>
        </w:rPr>
        <w:fldChar w:fldCharType="separate"/>
      </w:r>
      <w:r w:rsidR="008D7705">
        <w:rPr>
          <w:u w:val="single"/>
        </w:rPr>
        <w:t>3.1</w:t>
      </w:r>
      <w:r>
        <w:rPr>
          <w:u w:val="single"/>
        </w:rPr>
        <w:fldChar w:fldCharType="end"/>
      </w:r>
      <w:r>
        <w:t xml:space="preserve"> shall only terminate if the consideration received by the Investors in such Deemed Liquidation Event is </w:t>
      </w:r>
      <w:bookmarkStart w:id="221" w:name="_cp_text_4_110"/>
      <w:bookmarkEnd w:id="220"/>
      <w:r>
        <w:t xml:space="preserve">in the </w:t>
      </w:r>
      <w:bookmarkStart w:id="222" w:name="_cp_text_1_111"/>
      <w:bookmarkEnd w:id="221"/>
      <w:r>
        <w:t xml:space="preserve">form of cash and/or publicly traded securities or if the Investors receive financial information from the acquiring </w:t>
      </w:r>
      <w:bookmarkStart w:id="223" w:name="_9kMLK5YVt46679COHy0poD"/>
      <w:bookmarkStart w:id="224" w:name="_9kMLK5YVt4667ACNHy0poD"/>
      <w:r>
        <w:t>company</w:t>
      </w:r>
      <w:bookmarkEnd w:id="223"/>
      <w:bookmarkEnd w:id="224"/>
      <w:r>
        <w:t xml:space="preserve"> or other successor to the Company comparable to those set forth in </w:t>
      </w:r>
      <w:r>
        <w:rPr>
          <w:u w:val="single"/>
        </w:rPr>
        <w:t xml:space="preserve">Section </w:t>
      </w:r>
      <w:r>
        <w:rPr>
          <w:u w:val="single"/>
        </w:rPr>
        <w:fldChar w:fldCharType="begin"/>
      </w:r>
      <w:r>
        <w:rPr>
          <w:u w:val="single"/>
        </w:rPr>
        <w:instrText xml:space="preserve"> REF _Ref42252518 \r \h \* MERGEFORMAT </w:instrText>
      </w:r>
      <w:r>
        <w:rPr>
          <w:u w:val="single"/>
        </w:rPr>
      </w:r>
      <w:r>
        <w:rPr>
          <w:u w:val="single"/>
        </w:rPr>
        <w:fldChar w:fldCharType="separate"/>
      </w:r>
      <w:r w:rsidR="008D7705">
        <w:rPr>
          <w:u w:val="single"/>
        </w:rPr>
        <w:t>3.1</w:t>
      </w:r>
      <w:r>
        <w:rPr>
          <w:u w:val="single"/>
        </w:rPr>
        <w:fldChar w:fldCharType="end"/>
      </w:r>
      <w:r>
        <w:t>.</w:t>
      </w:r>
      <w:bookmarkStart w:id="225" w:name="_Ref42252529"/>
      <w:bookmarkEnd w:id="217"/>
      <w:bookmarkEnd w:id="222"/>
    </w:p>
    <w:p w14:paraId="218D7B8F" w14:textId="77777777" w:rsidR="00BA5E00" w:rsidRPr="000D36C4" w:rsidRDefault="00914B3A">
      <w:pPr>
        <w:pStyle w:val="Heading2"/>
        <w:rPr>
          <w:vanish/>
          <w:u w:val="none"/>
          <w:specVanish/>
        </w:rPr>
      </w:pPr>
      <w:bookmarkStart w:id="226" w:name="_Ref137654445"/>
      <w:r>
        <w:lastRenderedPageBreak/>
        <w:t>Confidentiality</w:t>
      </w:r>
      <w:bookmarkEnd w:id="226"/>
    </w:p>
    <w:p w14:paraId="4BC9D5D2" w14:textId="091EB36F" w:rsidR="00233248" w:rsidRPr="000D36C4" w:rsidRDefault="00914B3A" w:rsidP="007D1021">
      <w:pPr>
        <w:pStyle w:val="HeadingPara2"/>
      </w:pPr>
      <w:r>
        <w:t xml:space="preserve">. Each Investor agrees that such Investor will keep confidential and will not disclose, divulge, or use for any purpose (other than to monitor or make decisions with respect to its investment in the Company) any confidential information obtained from the Company (including notice of the Company’s intention to file a registration statement), unless such confidential information (a) is known or becomes known to the public in general (other than as a result of a breach of this </w:t>
      </w:r>
      <w:r>
        <w:rPr>
          <w:u w:val="single"/>
        </w:rPr>
        <w:t xml:space="preserve">Section </w:t>
      </w:r>
      <w:r>
        <w:rPr>
          <w:color w:val="000000"/>
          <w:u w:val="single"/>
        </w:rPr>
        <w:fldChar w:fldCharType="begin"/>
      </w:r>
      <w:r>
        <w:rPr>
          <w:u w:val="single"/>
        </w:rPr>
        <w:instrText xml:space="preserve"> REF _Ref137654445 \r \h </w:instrText>
      </w:r>
      <w:r>
        <w:rPr>
          <w:color w:val="000000"/>
          <w:u w:val="single"/>
        </w:rPr>
        <w:instrText xml:space="preserve"> \* MERGEFORMAT </w:instrText>
      </w:r>
      <w:r>
        <w:rPr>
          <w:color w:val="000000"/>
          <w:u w:val="single"/>
        </w:rPr>
      </w:r>
      <w:r>
        <w:rPr>
          <w:color w:val="000000"/>
          <w:u w:val="single"/>
        </w:rPr>
        <w:fldChar w:fldCharType="separate"/>
      </w:r>
      <w:r w:rsidR="008D7705">
        <w:rPr>
          <w:u w:val="single"/>
        </w:rPr>
        <w:t>3.4</w:t>
      </w:r>
      <w:r>
        <w:rPr>
          <w:color w:val="000000"/>
          <w:u w:val="single"/>
        </w:rPr>
        <w:fldChar w:fldCharType="end"/>
      </w:r>
      <w:r>
        <w:t xml:space="preserve"> by such Investor), (b) is or has been independently developed or conceived by such Investor without use of the Company’s confidential information, or (c) is or has been made known or disclosed to such Investor by a third party without a breach of any obligation of confidentiality such third party may have to the Company; </w:t>
      </w:r>
      <w:r>
        <w:rPr>
          <w:u w:val="words"/>
        </w:rPr>
        <w:t>provided</w:t>
      </w:r>
      <w:r>
        <w:t>,</w:t>
      </w:r>
      <w:r>
        <w:rPr>
          <w:u w:val="words"/>
        </w:rPr>
        <w:t xml:space="preserve"> however</w:t>
      </w:r>
      <w:r>
        <w:t xml:space="preserve">, that an Investor may disclose confidential information (i) to its attorneys, accountants, consultants, and other professionals to the extent reasonably necessary to obtain their services in connection with monitoring its investment in the Company; (ii) to any prospective purchaser of any Registrable Securities from such Investor, if such prospective purchaser agrees to be bound by the provisions of this </w:t>
      </w:r>
      <w:r>
        <w:rPr>
          <w:u w:val="single"/>
        </w:rPr>
        <w:t xml:space="preserve">Section </w:t>
      </w:r>
      <w:r>
        <w:rPr>
          <w:color w:val="000000"/>
          <w:u w:val="single"/>
        </w:rPr>
        <w:fldChar w:fldCharType="begin"/>
      </w:r>
      <w:r>
        <w:rPr>
          <w:u w:val="single"/>
        </w:rPr>
        <w:instrText xml:space="preserve"> REF _Ref137654445 \r \h </w:instrText>
      </w:r>
      <w:r>
        <w:rPr>
          <w:color w:val="000000"/>
          <w:u w:val="single"/>
        </w:rPr>
        <w:instrText xml:space="preserve"> \* MERGEFORMAT </w:instrText>
      </w:r>
      <w:r>
        <w:rPr>
          <w:color w:val="000000"/>
          <w:u w:val="single"/>
        </w:rPr>
      </w:r>
      <w:r>
        <w:rPr>
          <w:color w:val="000000"/>
          <w:u w:val="single"/>
        </w:rPr>
        <w:fldChar w:fldCharType="separate"/>
      </w:r>
      <w:r w:rsidR="008D7705">
        <w:rPr>
          <w:u w:val="single"/>
        </w:rPr>
        <w:t>3.4</w:t>
      </w:r>
      <w:r>
        <w:rPr>
          <w:color w:val="000000"/>
          <w:u w:val="single"/>
        </w:rPr>
        <w:fldChar w:fldCharType="end"/>
      </w:r>
      <w:r>
        <w:t xml:space="preserve">; (iii) to any </w:t>
      </w:r>
      <w:bookmarkEnd w:id="18"/>
      <w:r>
        <w:t xml:space="preserve">Affiliate, </w:t>
      </w:r>
      <w:r w:rsidR="00B77037">
        <w:t xml:space="preserve">existing or prospective </w:t>
      </w:r>
      <w:r>
        <w:t xml:space="preserve">partner, member, </w:t>
      </w:r>
      <w:bookmarkStart w:id="227" w:name="_9kMH3K6ZWu57789Cfd6qnty3tn2H"/>
      <w:r>
        <w:t>stockholder</w:t>
      </w:r>
      <w:bookmarkEnd w:id="227"/>
      <w:r>
        <w:t xml:space="preserve">, or wholly owned subsidiary of such Investor in the ordinary course of business, </w:t>
      </w:r>
      <w:r>
        <w:rPr>
          <w:u w:val="single"/>
        </w:rPr>
        <w:t>provided</w:t>
      </w:r>
      <w:r>
        <w:t xml:space="preserve"> that such Investor informs such Person that such information is confidential and directs such Person to maintain the confidentiality of such information; or (iv) as may otherwise be required by law, regulation, rule, court order or subpoena, </w:t>
      </w:r>
      <w:r>
        <w:rPr>
          <w:u w:val="single"/>
        </w:rPr>
        <w:t>provided</w:t>
      </w:r>
      <w:r>
        <w:t xml:space="preserve"> that such Investor promptly notifies the Company of such disclosure and takes reasonable steps to minimize the extent of any such required disclosure.</w:t>
      </w:r>
      <w:bookmarkEnd w:id="225"/>
    </w:p>
    <w:p w14:paraId="20B88BE3" w14:textId="77777777" w:rsidR="00914B3A" w:rsidRPr="000D36C4" w:rsidRDefault="00914B3A">
      <w:pPr>
        <w:pStyle w:val="Heading1"/>
        <w:rPr>
          <w:szCs w:val="22"/>
        </w:rPr>
      </w:pPr>
      <w:bookmarkStart w:id="228" w:name="_Ref42252531"/>
      <w:r>
        <w:rPr>
          <w:szCs w:val="22"/>
          <w:u w:val="single"/>
        </w:rPr>
        <w:t>Rights to Future Stock Issuances</w:t>
      </w:r>
      <w:r>
        <w:rPr>
          <w:szCs w:val="22"/>
        </w:rPr>
        <w:t>.</w:t>
      </w:r>
      <w:bookmarkEnd w:id="228"/>
    </w:p>
    <w:p w14:paraId="62DB524A" w14:textId="77777777" w:rsidR="00914B3A" w:rsidRPr="000D36C4" w:rsidRDefault="00914B3A">
      <w:pPr>
        <w:pStyle w:val="Heading2"/>
        <w:rPr>
          <w:vanish/>
          <w:specVanish/>
        </w:rPr>
      </w:pPr>
      <w:bookmarkStart w:id="229" w:name="_Ref145425540"/>
      <w:bookmarkStart w:id="230" w:name="_Ref42252532"/>
      <w:r>
        <w:t>Right of First Offer</w:t>
      </w:r>
      <w:bookmarkEnd w:id="229"/>
    </w:p>
    <w:p w14:paraId="12F0BE06" w14:textId="364950C1" w:rsidR="007E4E59" w:rsidRPr="000D36C4" w:rsidRDefault="00466086" w:rsidP="007D1021">
      <w:pPr>
        <w:pStyle w:val="HeadingPara2"/>
      </w:pPr>
      <w:r>
        <w:t xml:space="preserve">. Subject to the terms and conditions of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sidR="008D7705">
        <w:rPr>
          <w:color w:val="000000"/>
          <w:u w:val="single"/>
        </w:rPr>
        <w:t>4.1</w:t>
      </w:r>
      <w:r>
        <w:rPr>
          <w:color w:val="000000"/>
          <w:u w:val="single"/>
        </w:rPr>
        <w:fldChar w:fldCharType="end"/>
      </w:r>
      <w:r>
        <w:t xml:space="preserve"> and applicable securities laws, if the Company proposes to offer or sell any New Securities, the Company shall first offer such New Securities to each Major Investor. A Major Investor shall be entitled to apportion the right of first offer hereby granted to it in such proportions as it deems appropriate, among (i) itself, (ii) its Affiliates and (iii) its beneficial interest </w:t>
      </w:r>
      <w:bookmarkStart w:id="231" w:name="_9kMH5M6ZWu57789HZNyoix"/>
      <w:bookmarkStart w:id="232" w:name="_9kMH5M6ZWu5778ACTNyoix"/>
      <w:r>
        <w:t>holders</w:t>
      </w:r>
      <w:bookmarkEnd w:id="231"/>
      <w:bookmarkEnd w:id="232"/>
      <w:r>
        <w:t>, such as limited partners, members or any other Person having “beneficial ownership,” as such term is defined in Rule 13d-3 promulgated under the Exchange Act, of such Major Investor (“</w:t>
      </w:r>
      <w:r>
        <w:rPr>
          <w:b/>
        </w:rPr>
        <w:t>Investor Beneficial Owners</w:t>
      </w:r>
      <w:r>
        <w:t xml:space="preserve">”); </w:t>
      </w:r>
      <w:r>
        <w:rPr>
          <w:u w:val="single"/>
        </w:rPr>
        <w:t>provided</w:t>
      </w:r>
      <w:r>
        <w:t xml:space="preserve"> that each such Affiliate or Investor Beneficial Owner is not a Competitor or FOIA Party, unless such party’s purchase of New Securities is otherwise consented to by the Board of Directors (</w:t>
      </w:r>
      <w:r>
        <w:rPr>
          <w:u w:val="single"/>
        </w:rPr>
        <w:t>provided</w:t>
      </w:r>
      <w:r>
        <w:t xml:space="preserve"> that any Competitor or FOIA Party shall not be entitled to any rights as a Major Investor under </w:t>
      </w:r>
      <w:r>
        <w:rPr>
          <w:u w:val="single"/>
        </w:rPr>
        <w:t xml:space="preserve">Sections </w:t>
      </w:r>
      <w:r>
        <w:rPr>
          <w:color w:val="000000"/>
          <w:u w:val="single"/>
        </w:rPr>
        <w:fldChar w:fldCharType="begin"/>
      </w:r>
      <w:r>
        <w:rPr>
          <w:color w:val="000000"/>
          <w:u w:val="single"/>
        </w:rPr>
        <w:instrText xml:space="preserve"> REF _Ref42252518 \r \h \* MERGEFORMAT </w:instrText>
      </w:r>
      <w:r>
        <w:rPr>
          <w:color w:val="000000"/>
          <w:u w:val="single"/>
        </w:rPr>
      </w:r>
      <w:r>
        <w:rPr>
          <w:color w:val="000000"/>
          <w:u w:val="single"/>
        </w:rPr>
        <w:fldChar w:fldCharType="separate"/>
      </w:r>
      <w:r w:rsidR="008D7705">
        <w:rPr>
          <w:color w:val="000000"/>
          <w:u w:val="single"/>
        </w:rPr>
        <w:t>3.1</w:t>
      </w:r>
      <w:r>
        <w:rPr>
          <w:color w:val="000000"/>
          <w:u w:val="single"/>
        </w:rPr>
        <w:fldChar w:fldCharType="end"/>
      </w:r>
      <w:r>
        <w:t xml:space="preserve">, </w:t>
      </w:r>
      <w:r>
        <w:rPr>
          <w:color w:val="000000"/>
          <w:u w:val="single"/>
        </w:rPr>
        <w:fldChar w:fldCharType="begin"/>
      </w:r>
      <w:r>
        <w:rPr>
          <w:color w:val="000000"/>
          <w:u w:val="single"/>
        </w:rPr>
        <w:instrText xml:space="preserve"> REF _Ref42252526 \r \h \* MERGEFORMAT </w:instrText>
      </w:r>
      <w:r>
        <w:rPr>
          <w:color w:val="000000"/>
          <w:u w:val="single"/>
        </w:rPr>
      </w:r>
      <w:r>
        <w:rPr>
          <w:color w:val="000000"/>
          <w:u w:val="single"/>
        </w:rPr>
        <w:fldChar w:fldCharType="separate"/>
      </w:r>
      <w:r w:rsidR="008D7705">
        <w:rPr>
          <w:color w:val="000000"/>
          <w:u w:val="single"/>
        </w:rPr>
        <w:t>3.2</w:t>
      </w:r>
      <w:r>
        <w:rPr>
          <w:color w:val="000000"/>
          <w:u w:val="single"/>
        </w:rPr>
        <w:fldChar w:fldCharType="end"/>
      </w:r>
      <w:r>
        <w:t xml:space="preserve"> and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sidR="008D7705">
        <w:rPr>
          <w:color w:val="000000"/>
          <w:u w:val="single"/>
        </w:rPr>
        <w:t>4.1</w:t>
      </w:r>
      <w:r>
        <w:rPr>
          <w:color w:val="000000"/>
          <w:u w:val="single"/>
        </w:rPr>
        <w:fldChar w:fldCharType="end"/>
      </w:r>
      <w:r>
        <w:t xml:space="preserve"> hereof) and </w:t>
      </w:r>
      <w:r>
        <w:rPr>
          <w:u w:val="single"/>
        </w:rPr>
        <w:t xml:space="preserve">provided </w:t>
      </w:r>
      <w:r>
        <w:t>that the Company shall not be obligated to offer or sell any New Securities to any person or entity</w:t>
      </w:r>
      <w:bookmarkStart w:id="233" w:name="_Hlk136867592"/>
      <w:r>
        <w:t xml:space="preserve"> that is a Sanctioned Party</w:t>
      </w:r>
      <w:bookmarkEnd w:id="233"/>
      <w:r>
        <w:t>.</w:t>
      </w:r>
      <w:bookmarkEnd w:id="230"/>
    </w:p>
    <w:p w14:paraId="38B69730" w14:textId="77777777" w:rsidR="00914B3A" w:rsidRPr="000D36C4" w:rsidRDefault="00914B3A">
      <w:pPr>
        <w:pStyle w:val="Heading3"/>
      </w:pPr>
      <w:bookmarkStart w:id="234" w:name="_Ref42252533"/>
      <w:r>
        <w:t>The Company shall give notice (the “</w:t>
      </w:r>
      <w:r>
        <w:rPr>
          <w:b/>
        </w:rPr>
        <w:t>Offer Notice</w:t>
      </w:r>
      <w:r>
        <w:t>”) to each Major Investor, stating (i) its bona fide intention to offer such New Securities, (ii) the number of such New Securities to be offered, and (iii) the price and terms, if any, upon which it proposes to offer such New Securities.</w:t>
      </w:r>
      <w:bookmarkEnd w:id="234"/>
    </w:p>
    <w:p w14:paraId="4FD2F051" w14:textId="184DDD89" w:rsidR="00914B3A" w:rsidRPr="000D36C4" w:rsidRDefault="00914B3A">
      <w:pPr>
        <w:pStyle w:val="Heading3"/>
      </w:pPr>
      <w:bookmarkStart w:id="235" w:name="_Ref42252534"/>
      <w:r>
        <w:t>By notification to the Company within 20 days after the Offer Notice is given, each Major Investor may elect to purchase or otherwise acquire, at the price and on the terms specified in the Offer Notice, up to that portion of such New Securities which equals the proportion that</w:t>
      </w:r>
      <w:r w:rsidR="006055DE">
        <w:t xml:space="preserve"> (x)</w:t>
      </w:r>
      <w:r>
        <w:t xml:space="preserve"> the Common Stock then held by such Major Investor (including all shares of Common Stock then issuable (directly or indirectly) upon conversion and/or exercise, as applicable, of the Preferred Stock and any other Derivative Securities then held by such Major Investor) bears to</w:t>
      </w:r>
      <w:r w:rsidR="006055DE">
        <w:t xml:space="preserve"> (y)</w:t>
      </w:r>
      <w:r>
        <w:t xml:space="preserve"> the total Common Stock of the Company then outstanding (assuming full conversion and/or exercise, as applicable, of all Preferred Stock and any other Derivative Securities then outstanding).</w:t>
      </w:r>
      <w:bookmarkEnd w:id="19"/>
      <w:r>
        <w:t xml:space="preserve"> At the expiration of such 20 day period, the Company shall promptly notify each Major Investor that elects to purchase or acquire all the shares available to it (each, a “</w:t>
      </w:r>
      <w:r>
        <w:rPr>
          <w:b/>
        </w:rPr>
        <w:t>Fully Exercising Investor</w:t>
      </w:r>
      <w:r>
        <w:t xml:space="preserve">”) of any other Major Investor’s failure to do likewise. During the ten-day period commencing after the Company has given such notice, each Fully Exercising Investor may, by giving notice to the Company, elect to purchase or acquire, in addition to the number of shares specified above, up to that portion of the New Securities for which Major Investors were entitled to subscribe but that were not subscribed for by the Major Investors which is equal to the proportion that the Common Stock </w:t>
      </w:r>
      <w:r>
        <w:lastRenderedPageBreak/>
        <w:t>issued and held, or issuable (directly or indirectly) upon conversion and/or exercise, as applicable, of Preferred Stock and any other Derivative Securities then held, by such Fully Exercising Investor bears to the Common Stock issued and held, or issuable (directly or indirectly) upon conversion and/or exercise, as applicable, of the Preferred Stock and any other Derivative Securities then held, by all Fully Exercising Investors who wish to purchase such unsubscribed shares.</w:t>
      </w:r>
      <w:bookmarkEnd w:id="20"/>
      <w:r>
        <w:t xml:space="preserve"> The </w:t>
      </w:r>
      <w:bookmarkStart w:id="236" w:name="_9kMKJ5YVt466789MEx50wv"/>
      <w:r>
        <w:t>closing</w:t>
      </w:r>
      <w:bookmarkEnd w:id="236"/>
      <w:r>
        <w:t xml:space="preserve"> of any sale pursuant to this </w:t>
      </w:r>
      <w:r>
        <w:rPr>
          <w:u w:val="single"/>
        </w:rPr>
        <w:t xml:space="preserve">Section </w:t>
      </w:r>
      <w:r>
        <w:rPr>
          <w:u w:val="single"/>
        </w:rPr>
        <w:fldChar w:fldCharType="begin"/>
      </w:r>
      <w:r>
        <w:rPr>
          <w:u w:val="single"/>
        </w:rPr>
        <w:instrText xml:space="preserve"> REF _Ref42252534 \w \h\*MERGEFORMAT </w:instrText>
      </w:r>
      <w:r>
        <w:rPr>
          <w:u w:val="single"/>
        </w:rPr>
      </w:r>
      <w:r>
        <w:rPr>
          <w:u w:val="single"/>
        </w:rPr>
        <w:fldChar w:fldCharType="separate"/>
      </w:r>
      <w:r w:rsidR="008D7705">
        <w:rPr>
          <w:u w:val="single"/>
        </w:rPr>
        <w:t>4.1(b)</w:t>
      </w:r>
      <w:r>
        <w:rPr>
          <w:u w:val="single"/>
        </w:rPr>
        <w:fldChar w:fldCharType="end"/>
      </w:r>
      <w:r>
        <w:t xml:space="preserve"> shall occur within the later of 120 days of the date that the Offer Notice is given and the date of initial sale of New Securities pursuant to </w:t>
      </w:r>
      <w:r>
        <w:rPr>
          <w:u w:val="single"/>
        </w:rPr>
        <w:t xml:space="preserve">Section </w:t>
      </w:r>
      <w:r>
        <w:rPr>
          <w:u w:val="single"/>
        </w:rPr>
        <w:fldChar w:fldCharType="begin"/>
      </w:r>
      <w:r>
        <w:rPr>
          <w:u w:val="single"/>
        </w:rPr>
        <w:instrText xml:space="preserve"> REF _Ref42252535 \w \h\*MERGEFORMAT </w:instrText>
      </w:r>
      <w:r>
        <w:rPr>
          <w:u w:val="single"/>
        </w:rPr>
      </w:r>
      <w:r>
        <w:rPr>
          <w:u w:val="single"/>
        </w:rPr>
        <w:fldChar w:fldCharType="separate"/>
      </w:r>
      <w:r w:rsidR="008D7705">
        <w:rPr>
          <w:u w:val="single"/>
        </w:rPr>
        <w:t>4.1(c)</w:t>
      </w:r>
      <w:r>
        <w:rPr>
          <w:u w:val="single"/>
        </w:rPr>
        <w:fldChar w:fldCharType="end"/>
      </w:r>
      <w:r>
        <w:t>.</w:t>
      </w:r>
      <w:bookmarkEnd w:id="235"/>
    </w:p>
    <w:p w14:paraId="6A5A3222" w14:textId="036DF304" w:rsidR="00914B3A" w:rsidRPr="000D36C4" w:rsidRDefault="00914B3A">
      <w:pPr>
        <w:pStyle w:val="Heading3"/>
      </w:pPr>
      <w:bookmarkStart w:id="237" w:name="_Ref42252535"/>
      <w:r>
        <w:t xml:space="preserve">If all New Securities referred to in the Offer Notice are not elected to be purchased or acquired as provided in </w:t>
      </w:r>
      <w:r>
        <w:rPr>
          <w:u w:val="single"/>
        </w:rPr>
        <w:t xml:space="preserve">Section </w:t>
      </w:r>
      <w:r>
        <w:rPr>
          <w:u w:val="single"/>
        </w:rPr>
        <w:fldChar w:fldCharType="begin"/>
      </w:r>
      <w:r>
        <w:rPr>
          <w:u w:val="single"/>
        </w:rPr>
        <w:instrText xml:space="preserve"> REF _Ref42252534 \w \h\*MERGEFORMAT </w:instrText>
      </w:r>
      <w:r>
        <w:rPr>
          <w:u w:val="single"/>
        </w:rPr>
      </w:r>
      <w:r>
        <w:rPr>
          <w:u w:val="single"/>
        </w:rPr>
        <w:fldChar w:fldCharType="separate"/>
      </w:r>
      <w:r w:rsidR="008D7705">
        <w:rPr>
          <w:u w:val="single"/>
        </w:rPr>
        <w:t>4.1(b)</w:t>
      </w:r>
      <w:r>
        <w:rPr>
          <w:u w:val="single"/>
        </w:rPr>
        <w:fldChar w:fldCharType="end"/>
      </w:r>
      <w:r>
        <w:t xml:space="preserve">, the Company may, during the 120 day period following the expiration of the periods provided in </w:t>
      </w:r>
      <w:r>
        <w:rPr>
          <w:u w:val="single"/>
        </w:rPr>
        <w:t xml:space="preserve">Section </w:t>
      </w:r>
      <w:r>
        <w:rPr>
          <w:u w:val="single"/>
        </w:rPr>
        <w:fldChar w:fldCharType="begin"/>
      </w:r>
      <w:r>
        <w:rPr>
          <w:u w:val="single"/>
        </w:rPr>
        <w:instrText xml:space="preserve"> REF _Ref42252534 \w \h\*MERGEFORMAT </w:instrText>
      </w:r>
      <w:r>
        <w:rPr>
          <w:u w:val="single"/>
        </w:rPr>
      </w:r>
      <w:r>
        <w:rPr>
          <w:u w:val="single"/>
        </w:rPr>
        <w:fldChar w:fldCharType="separate"/>
      </w:r>
      <w:r w:rsidR="008D7705">
        <w:rPr>
          <w:u w:val="single"/>
        </w:rPr>
        <w:t>4.1(b)</w:t>
      </w:r>
      <w:r>
        <w:rPr>
          <w:u w:val="single"/>
        </w:rPr>
        <w:fldChar w:fldCharType="end"/>
      </w:r>
      <w:r>
        <w:t xml:space="preserve">, offer and sell the remaining unsubscribed portion of such New Securities to any Person or Persons at a price not less than, and upon terms no more favorable to the offeree than, those specified in the Offer Notice. If the Company does not enter into an agreement for the sale of the New Securities within such period, or if such agreement is not consummated within 30 days of the execution thereof, the right provided hereunder shall be deemed to be revived and such New Securities shall not be offered unless first reoffered to the Major Investors in accordance with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sidR="008D7705">
        <w:rPr>
          <w:color w:val="000000"/>
          <w:u w:val="single"/>
        </w:rPr>
        <w:t>4.1</w:t>
      </w:r>
      <w:r>
        <w:rPr>
          <w:color w:val="000000"/>
          <w:u w:val="single"/>
        </w:rPr>
        <w:fldChar w:fldCharType="end"/>
      </w:r>
      <w:r>
        <w:t>.</w:t>
      </w:r>
      <w:bookmarkEnd w:id="237"/>
    </w:p>
    <w:p w14:paraId="214232F9" w14:textId="14C865F4" w:rsidR="00914B3A" w:rsidRPr="000D36C4" w:rsidRDefault="00914B3A">
      <w:pPr>
        <w:pStyle w:val="Heading3"/>
      </w:pPr>
      <w:bookmarkStart w:id="238" w:name="_Ref42252536"/>
      <w:r>
        <w:t xml:space="preserve">The right of first offer in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sidR="008D7705">
        <w:rPr>
          <w:color w:val="000000"/>
          <w:u w:val="single"/>
        </w:rPr>
        <w:t>4.1</w:t>
      </w:r>
      <w:r>
        <w:rPr>
          <w:color w:val="000000"/>
          <w:u w:val="single"/>
        </w:rPr>
        <w:fldChar w:fldCharType="end"/>
      </w:r>
      <w:r>
        <w:t xml:space="preserve"> shall not be applicable to (i) </w:t>
      </w:r>
      <w:bookmarkStart w:id="239" w:name="_9kR3WTr1AB4CEMQxnz7xiXTk1H69Aw7"/>
      <w:r>
        <w:t>Exempted Securities</w:t>
      </w:r>
      <w:bookmarkEnd w:id="239"/>
      <w:r>
        <w:t xml:space="preserve"> (as defined in the Certificate of Incorporation); (ii) shares of Common Stock issued in the IPO; and (iii) the issuance of shares of Preferred Stock pursuant to the Purchase Agreement.</w:t>
      </w:r>
      <w:bookmarkEnd w:id="238"/>
    </w:p>
    <w:p w14:paraId="15804E33" w14:textId="77777777" w:rsidR="00914B3A" w:rsidRPr="000D36C4" w:rsidRDefault="00914B3A">
      <w:pPr>
        <w:pStyle w:val="Heading2"/>
        <w:rPr>
          <w:vanish/>
          <w:specVanish/>
        </w:rPr>
      </w:pPr>
      <w:bookmarkStart w:id="240" w:name="_Ref42252539"/>
      <w:r>
        <w:t>Termination</w:t>
      </w:r>
    </w:p>
    <w:p w14:paraId="7644C9E0" w14:textId="4FE2BB58" w:rsidR="00914B3A" w:rsidRPr="000D36C4" w:rsidRDefault="00466086" w:rsidP="00002F2F">
      <w:pPr>
        <w:pStyle w:val="HeadingPara2"/>
      </w:pPr>
      <w:r>
        <w:t xml:space="preserve">. The covenants set forth in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sidR="008D7705">
        <w:rPr>
          <w:color w:val="000000"/>
          <w:u w:val="single"/>
        </w:rPr>
        <w:t>4.1</w:t>
      </w:r>
      <w:r>
        <w:rPr>
          <w:color w:val="000000"/>
          <w:u w:val="single"/>
        </w:rPr>
        <w:fldChar w:fldCharType="end"/>
      </w:r>
      <w:r>
        <w:t xml:space="preserve"> shall terminate and be of no further force or effect (i) immediately before the consummation of the IPO, or (ii) upon the </w:t>
      </w:r>
      <w:bookmarkStart w:id="241" w:name="_9kMLK5YVt466789MEx50wv"/>
      <w:r>
        <w:t>closing</w:t>
      </w:r>
      <w:bookmarkEnd w:id="241"/>
      <w:r>
        <w:t xml:space="preserve"> of a Deemed Liquidation Event </w:t>
      </w:r>
      <w:bookmarkStart w:id="242" w:name="_Hlk114019935"/>
      <w:r w:rsidR="009A5F80">
        <w:t>i</w:t>
      </w:r>
      <w:r>
        <w:t xml:space="preserve">n which the consideration received by the Investors in such Deemed Liquidation Event is in the form of cash and/or publicly traded securities, or if the Investors receive participation rights from the acquiring company or other successor to the Company reasonably comparable to those set forth in </w:t>
      </w:r>
      <w:r>
        <w:rPr>
          <w:u w:val="single"/>
        </w:rPr>
        <w:t xml:space="preserve">this Section </w:t>
      </w:r>
      <w:r>
        <w:rPr>
          <w:u w:val="single"/>
        </w:rPr>
        <w:fldChar w:fldCharType="begin"/>
      </w:r>
      <w:r>
        <w:rPr>
          <w:u w:val="single"/>
        </w:rPr>
        <w:instrText xml:space="preserve"> REF _Ref42252531 \w \h </w:instrText>
      </w:r>
      <w:r>
        <w:rPr>
          <w:u w:val="single"/>
        </w:rPr>
      </w:r>
      <w:r>
        <w:rPr>
          <w:u w:val="single"/>
        </w:rPr>
        <w:fldChar w:fldCharType="separate"/>
      </w:r>
      <w:r w:rsidR="008D7705">
        <w:rPr>
          <w:u w:val="single"/>
        </w:rPr>
        <w:t>4</w:t>
      </w:r>
      <w:r>
        <w:rPr>
          <w:u w:val="single"/>
        </w:rPr>
        <w:fldChar w:fldCharType="end"/>
      </w:r>
      <w:r>
        <w:t xml:space="preserve"> </w:t>
      </w:r>
      <w:bookmarkEnd w:id="242"/>
      <w:r>
        <w:t>whichever event occurs first.</w:t>
      </w:r>
      <w:bookmarkEnd w:id="21"/>
      <w:bookmarkEnd w:id="22"/>
      <w:bookmarkEnd w:id="240"/>
    </w:p>
    <w:p w14:paraId="72F878BD" w14:textId="77777777" w:rsidR="00E84BF0" w:rsidRDefault="00914B3A" w:rsidP="00BB7ED9">
      <w:pPr>
        <w:pStyle w:val="Heading1"/>
        <w:rPr>
          <w:szCs w:val="22"/>
        </w:rPr>
      </w:pPr>
      <w:bookmarkStart w:id="243" w:name="_Ref42252540"/>
      <w:r>
        <w:rPr>
          <w:szCs w:val="22"/>
          <w:u w:val="single"/>
        </w:rPr>
        <w:t>Additional Covenants</w:t>
      </w:r>
      <w:r>
        <w:rPr>
          <w:szCs w:val="22"/>
        </w:rPr>
        <w:t>.</w:t>
      </w:r>
      <w:bookmarkEnd w:id="243"/>
    </w:p>
    <w:p w14:paraId="4323D8C1" w14:textId="5ECFAA11" w:rsidR="00E84BF0" w:rsidRPr="00BB7ED9" w:rsidRDefault="00E84BF0" w:rsidP="00E84BF0">
      <w:pPr>
        <w:pStyle w:val="Heading2"/>
        <w:rPr>
          <w:vanish/>
          <w:specVanish/>
        </w:rPr>
      </w:pPr>
      <w:r>
        <w:t>Bylaws</w:t>
      </w:r>
    </w:p>
    <w:p w14:paraId="51858DDE" w14:textId="0794398F" w:rsidR="00BB7ED9" w:rsidRPr="00E84BF0" w:rsidRDefault="00E84BF0" w:rsidP="00E84BF0">
      <w:pPr>
        <w:pStyle w:val="Heading2"/>
        <w:numPr>
          <w:ilvl w:val="0"/>
          <w:numId w:val="0"/>
        </w:numPr>
        <w:ind w:left="720"/>
        <w:rPr>
          <w:u w:val="none"/>
        </w:rPr>
      </w:pPr>
      <w:r w:rsidRPr="00E84BF0">
        <w:rPr>
          <w:u w:val="none"/>
        </w:rPr>
        <w:t xml:space="preserve">. Unless otherwise approved by the </w:t>
      </w:r>
      <w:r>
        <w:rPr>
          <w:u w:val="none"/>
        </w:rPr>
        <w:t>Requisite Holders</w:t>
      </w:r>
      <w:r w:rsidRPr="00E84BF0">
        <w:rPr>
          <w:u w:val="none"/>
        </w:rPr>
        <w:t>,</w:t>
      </w:r>
      <w:bookmarkStart w:id="244" w:name="_Ref162993663"/>
      <w:bookmarkStart w:id="245" w:name="_Ref42252542"/>
      <w:r>
        <w:rPr>
          <w:u w:val="none"/>
        </w:rPr>
        <w:t xml:space="preserve"> the Company shall not amend its Bylaws to amend, modify or terminate the Right of First Refusal over transfers of Common Stock in favor of the Company. </w:t>
      </w:r>
    </w:p>
    <w:p w14:paraId="39E124F6" w14:textId="77777777" w:rsidR="00BB7ED9" w:rsidRPr="00BB7ED9" w:rsidRDefault="00914B3A" w:rsidP="00BB7ED9">
      <w:pPr>
        <w:pStyle w:val="Heading2"/>
        <w:rPr>
          <w:vanish/>
          <w:u w:val="none"/>
          <w:specVanish/>
        </w:rPr>
      </w:pPr>
      <w:r>
        <w:t>Employee Agreements</w:t>
      </w:r>
      <w:bookmarkEnd w:id="244"/>
      <w:r w:rsidR="00466086" w:rsidRPr="00BB7ED9">
        <w:rPr>
          <w:u w:val="none"/>
        </w:rPr>
        <w:t>.</w:t>
      </w:r>
    </w:p>
    <w:p w14:paraId="708C2636" w14:textId="77777777" w:rsidR="00BB7ED9" w:rsidRDefault="00466086" w:rsidP="00BB7ED9">
      <w:pPr>
        <w:pStyle w:val="Heading2"/>
        <w:numPr>
          <w:ilvl w:val="0"/>
          <w:numId w:val="0"/>
        </w:numPr>
        <w:rPr>
          <w:u w:val="none"/>
        </w:rPr>
      </w:pPr>
      <w:r w:rsidRPr="00BB7ED9">
        <w:rPr>
          <w:u w:val="none"/>
        </w:rPr>
        <w:t xml:space="preserve"> Unless otherwise approved by the Board of Directors, the Company </w:t>
      </w:r>
      <w:r w:rsidR="00221C89" w:rsidRPr="00BB7ED9">
        <w:rPr>
          <w:u w:val="none"/>
        </w:rPr>
        <w:t xml:space="preserve">(a) </w:t>
      </w:r>
      <w:r w:rsidRPr="00BB7ED9">
        <w:rPr>
          <w:u w:val="none"/>
        </w:rPr>
        <w:t>will cause each Person now or hereafter employed by it or by any subsidiary (or engaged by the Company or any subsidiary as a consultant/independent contractor) with access to confidential information and/or trade secrets to enter into a nondisclosure, proprietary rights assignment agreement</w:t>
      </w:r>
      <w:r w:rsidR="00221C89" w:rsidRPr="00BB7ED9">
        <w:rPr>
          <w:u w:val="none"/>
        </w:rPr>
        <w:t>;</w:t>
      </w:r>
      <w:r w:rsidR="00B77037" w:rsidRPr="00BB7ED9">
        <w:rPr>
          <w:u w:val="none"/>
        </w:rPr>
        <w:t xml:space="preserve"> and</w:t>
      </w:r>
      <w:r w:rsidR="00221C89" w:rsidRPr="00BB7ED9">
        <w:rPr>
          <w:u w:val="none"/>
        </w:rPr>
        <w:t xml:space="preserve"> (b)</w:t>
      </w:r>
      <w:bookmarkEnd w:id="23"/>
      <w:r w:rsidRPr="00BB7ED9">
        <w:rPr>
          <w:u w:val="none"/>
        </w:rPr>
        <w:t xml:space="preserve"> shall not amend, modify, terminate, waive, or otherwise alter, in whole or in part, any of the above-referenced agreements or any restricted stock agreement between the Company and any employee</w:t>
      </w:r>
      <w:r w:rsidR="00221C89" w:rsidRPr="00BB7ED9">
        <w:rPr>
          <w:u w:val="none"/>
        </w:rPr>
        <w:t>.</w:t>
      </w:r>
      <w:bookmarkEnd w:id="245"/>
    </w:p>
    <w:p w14:paraId="0EA1F49F" w14:textId="77777777" w:rsidR="00BB7ED9" w:rsidRPr="00BB7ED9" w:rsidRDefault="00BB7ED9" w:rsidP="00BB7ED9">
      <w:pPr>
        <w:pStyle w:val="Heading2"/>
        <w:rPr>
          <w:vanish/>
          <w:specVanish/>
        </w:rPr>
      </w:pPr>
      <w:bookmarkStart w:id="246" w:name="_Ref42252543"/>
      <w:r w:rsidRPr="000D36C4">
        <w:t>Employee Stock</w:t>
      </w:r>
    </w:p>
    <w:p w14:paraId="20BF8BDB" w14:textId="2682F429" w:rsidR="00CD1FD9" w:rsidRPr="00BB7ED9" w:rsidRDefault="00BB7ED9" w:rsidP="00BB7ED9">
      <w:pPr>
        <w:pStyle w:val="HeadingPara2"/>
      </w:pPr>
      <w:r w:rsidRPr="000D36C4">
        <w:t xml:space="preserve">. Unless otherwise approved by the Board of Directors, all employees of the Company who purchase, receive options to purchase, or receive awards of shares of the Company’s capital stock after the date hereof shall be required to execute restricted stock or option agreements, as applicable, providing for (i) vesting of shares over a four year period, with the first 25% of such shares vesting following 12 months of continued employment or service, and the remaining shares vesting in equal monthly installments over the following 36 months, and (ii) a market stand-off provision substantially similar to that in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_Ref42252508 \r \h \* MERGEFORMAT </w:instrText>
      </w:r>
      <w:r w:rsidRPr="000D36C4">
        <w:rPr>
          <w:color w:val="000000"/>
          <w:u w:val="single"/>
        </w:rPr>
      </w:r>
      <w:r w:rsidRPr="000D36C4">
        <w:rPr>
          <w:color w:val="000000"/>
          <w:u w:val="single"/>
        </w:rPr>
        <w:fldChar w:fldCharType="separate"/>
      </w:r>
      <w:r w:rsidR="008D7705">
        <w:rPr>
          <w:color w:val="000000"/>
          <w:u w:val="single"/>
        </w:rPr>
        <w:t>2.11</w:t>
      </w:r>
      <w:r w:rsidRPr="000D36C4">
        <w:rPr>
          <w:color w:val="000000"/>
          <w:u w:val="single"/>
        </w:rPr>
        <w:fldChar w:fldCharType="end"/>
      </w:r>
      <w:r w:rsidRPr="000D36C4">
        <w:t xml:space="preserve">. Without the prior approval by the Board of Directors, the Company shall not amend, modify, terminate, waive or otherwise alter, in whole or in part, any stock purchase, stock restriction or option agreement with any existing employee or service provider if such amendment would cause it to </w:t>
      </w:r>
      <w:r w:rsidRPr="000D36C4">
        <w:lastRenderedPageBreak/>
        <w:t xml:space="preserve">be inconsistent with this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_Ref42252543 \r \h \* MERGEFORMAT </w:instrText>
      </w:r>
      <w:r w:rsidRPr="000D36C4">
        <w:rPr>
          <w:color w:val="000000"/>
          <w:u w:val="single"/>
        </w:rPr>
      </w:r>
      <w:r w:rsidRPr="000D36C4">
        <w:rPr>
          <w:color w:val="000000"/>
          <w:u w:val="single"/>
        </w:rPr>
        <w:fldChar w:fldCharType="separate"/>
      </w:r>
      <w:r w:rsidR="008D7705">
        <w:rPr>
          <w:color w:val="000000"/>
          <w:u w:val="single"/>
        </w:rPr>
        <w:t>5.3</w:t>
      </w:r>
      <w:r w:rsidRPr="000D36C4">
        <w:rPr>
          <w:color w:val="000000"/>
          <w:u w:val="single"/>
        </w:rPr>
        <w:fldChar w:fldCharType="end"/>
      </w:r>
      <w:r w:rsidRPr="000D36C4">
        <w:t xml:space="preserve">. In addition, unless otherwise approved by the Board of Directors, the Company (x) shall not offer, allow or agree to any acceleration of vesting for its employees or consultants, and (y) shall retain (and not waive) a “right of first refusal” on employee transfers until the Company’s IPO, and shall have the right to repurchase unvested shares at cost upon termination of employment of a </w:t>
      </w:r>
      <w:bookmarkStart w:id="247" w:name="_9kMH7O6ZWu57789HZNyoix"/>
      <w:bookmarkStart w:id="248" w:name="_9kMH7O6ZWu5778ACTNyoix"/>
      <w:r w:rsidRPr="000D36C4">
        <w:t>holder</w:t>
      </w:r>
      <w:bookmarkEnd w:id="247"/>
      <w:bookmarkEnd w:id="248"/>
      <w:r w:rsidRPr="000D36C4">
        <w:t xml:space="preserve"> of restricted stock.</w:t>
      </w:r>
      <w:bookmarkEnd w:id="246"/>
    </w:p>
    <w:p w14:paraId="2B13E3AD" w14:textId="76FF386B" w:rsidR="00914B3A" w:rsidRPr="000D36C4" w:rsidRDefault="00914B3A">
      <w:pPr>
        <w:pStyle w:val="Heading2"/>
        <w:rPr>
          <w:vanish/>
          <w:specVanish/>
        </w:rPr>
      </w:pPr>
      <w:bookmarkStart w:id="249" w:name="_Ref140257873"/>
      <w:bookmarkStart w:id="250" w:name="_Ref42252544"/>
      <w:r>
        <w:t>Qualified Small Business Stock</w:t>
      </w:r>
      <w:bookmarkEnd w:id="249"/>
    </w:p>
    <w:p w14:paraId="06DE7B0A" w14:textId="291DCAF1" w:rsidR="00E66CAB" w:rsidRPr="000D36C4" w:rsidRDefault="00466086" w:rsidP="004C212A">
      <w:pPr>
        <w:pStyle w:val="HeadingPara2"/>
      </w:pPr>
      <w:r>
        <w:t xml:space="preserve">. </w:t>
      </w:r>
      <w:bookmarkStart w:id="251" w:name="_Hlk114651905"/>
      <w:r w:rsidR="002E5847">
        <w:t>The</w:t>
      </w:r>
      <w:r>
        <w:t xml:space="preserve"> Company shall use commercially reasonable efforts to refrain from taking any action that could reasonably be expected to cause the shares of Series A Preferred Stock</w:t>
      </w:r>
      <w:bookmarkEnd w:id="251"/>
      <w:r>
        <w:t>, as well as any shares into which such shares are converted, within the meaning of Section 1202(f) of the Internal Revenue Code (the “</w:t>
      </w:r>
      <w:r>
        <w:rPr>
          <w:b/>
          <w:bCs/>
        </w:rPr>
        <w:t>Code</w:t>
      </w:r>
      <w:r>
        <w:t xml:space="preserve">”), to fail to qualify as “qualified small business stock” as defined in Section 1202(c) of the Code; </w:t>
      </w:r>
      <w:r>
        <w:rPr>
          <w:u w:val="single"/>
        </w:rPr>
        <w:t>provided</w:t>
      </w:r>
      <w:r>
        <w:t xml:space="preserve">, </w:t>
      </w:r>
      <w:r>
        <w:rPr>
          <w:u w:val="single"/>
        </w:rPr>
        <w:t>however</w:t>
      </w:r>
      <w:r>
        <w:t xml:space="preserve">, that such requirement shall not be applicable if the Board of Directors determines, in its good-faith business judgment, that such qualification is inconsistent with the best interests of the Company. The Company shall submit to the Investors and to the Internal Revenue Service any reports that may be required under Section 1202(d)(1)(C) of the Code. In addition, within 20 business days after any Investor’s written request therefor, the Company shall deliver to such Investor a checklist in substantially the same form as </w:t>
      </w:r>
      <w:r>
        <w:rPr>
          <w:u w:val="single"/>
        </w:rPr>
        <w:t>Annex 1</w:t>
      </w:r>
      <w:r>
        <w:t>. The Company shall use commercially reasonable efforts to ensure the accuracy of any such checklist, but in no event shall the Company be liable to the Investors or any other person for any damages arising from any errors or inaccuracies in such report or checklist, unless made by the Company in a manner either grossly negligent or fraudulent.</w:t>
      </w:r>
      <w:bookmarkEnd w:id="250"/>
    </w:p>
    <w:p w14:paraId="0FCC210E" w14:textId="77777777" w:rsidR="00914B3A" w:rsidRPr="000D36C4" w:rsidRDefault="00914B3A">
      <w:pPr>
        <w:pStyle w:val="Heading2"/>
        <w:rPr>
          <w:vanish/>
          <w:specVanish/>
        </w:rPr>
      </w:pPr>
      <w:bookmarkStart w:id="252" w:name="_Ref42252560"/>
      <w:r>
        <w:rPr>
          <w:lang w:eastAsia="ko-KR"/>
        </w:rPr>
        <w:t>Right to Conduct Activities</w:t>
      </w:r>
    </w:p>
    <w:p w14:paraId="1CB53BBF" w14:textId="77777777" w:rsidR="00396D26" w:rsidRDefault="00466086" w:rsidP="007D1021">
      <w:pPr>
        <w:pStyle w:val="HeadingPara2"/>
        <w:rPr>
          <w:lang w:eastAsia="ko-KR"/>
        </w:rPr>
      </w:pPr>
      <w:r>
        <w:rPr>
          <w:lang w:eastAsia="ko-KR"/>
        </w:rPr>
        <w:t xml:space="preserve">. The Company hereby agrees and acknowledges that each </w:t>
      </w:r>
      <w:r w:rsidR="00FE57D9">
        <w:rPr>
          <w:lang w:eastAsia="ko-KR"/>
        </w:rPr>
        <w:t>Investor that is a venture capital fund or other investment fund</w:t>
      </w:r>
      <w:r>
        <w:rPr>
          <w:lang w:eastAsia="ko-KR"/>
        </w:rPr>
        <w:t xml:space="preserve"> (together with its Affiliates</w:t>
      </w:r>
      <w:r>
        <w:t>)</w:t>
      </w:r>
      <w:r>
        <w:rPr>
          <w:bCs/>
        </w:rPr>
        <w:t xml:space="preserve"> (each, a “</w:t>
      </w:r>
      <w:r>
        <w:rPr>
          <w:b/>
          <w:bCs/>
        </w:rPr>
        <w:t>Professional Investment Organization</w:t>
      </w:r>
      <w:r>
        <w:rPr>
          <w:bCs/>
        </w:rPr>
        <w:t>”</w:t>
      </w:r>
      <w:r>
        <w:rPr>
          <w:lang w:eastAsia="ko-KR"/>
        </w:rPr>
        <w:t xml:space="preserve">) is a professional investment organization, and as such reviews the business plans and related proprietary information of many enterprises, some of which may compete directly or indirectly with the Company’s business (as currently conducted or as currently propose to be conducted). </w:t>
      </w:r>
      <w:bookmarkStart w:id="253" w:name="_cp_text_1_134"/>
      <w:r>
        <w:rPr>
          <w:lang w:eastAsia="ko-KR"/>
        </w:rPr>
        <w:t xml:space="preserve">Nothing in this Agreement shall preclude or in any way restrict the </w:t>
      </w:r>
      <w:r>
        <w:t>Professional Investment Organization</w:t>
      </w:r>
      <w:r>
        <w:rPr>
          <w:lang w:eastAsia="ko-KR"/>
        </w:rPr>
        <w:t xml:space="preserve"> from evaluating or purchasing securities, including publicly traded securities, of a particular enterprise, or investing or participating in any particular enterprise whether or not such enterprise has products or services </w:t>
      </w:r>
      <w:r>
        <w:t>that</w:t>
      </w:r>
      <w:r>
        <w:rPr>
          <w:lang w:eastAsia="ko-KR"/>
        </w:rPr>
        <w:t xml:space="preserve"> compete with those of the Company; and the </w:t>
      </w:r>
      <w:bookmarkEnd w:id="253"/>
      <w:r>
        <w:rPr>
          <w:lang w:eastAsia="ko-KR"/>
        </w:rPr>
        <w:t xml:space="preserve">Company hereby agrees that, to the extent permitted under applicable law, </w:t>
      </w:r>
      <w:r>
        <w:t>no Professional Investment Organization</w:t>
      </w:r>
      <w:r>
        <w:rPr>
          <w:lang w:eastAsia="ko-KR"/>
        </w:rPr>
        <w:t xml:space="preserve"> shall be liable to the Company for any claim arising out of, or based upon, (i) the investment by such</w:t>
      </w:r>
      <w:r>
        <w:t xml:space="preserve"> Professional Investment Organization</w:t>
      </w:r>
      <w:r>
        <w:rPr>
          <w:lang w:eastAsia="ko-KR"/>
        </w:rPr>
        <w:t xml:space="preserve"> in any entity competitive with the Company, or (ii) actions taken by any partner, officer, employee or other representative of </w:t>
      </w:r>
      <w:r>
        <w:t>such Professional Investment Organization</w:t>
      </w:r>
      <w:r>
        <w:rPr>
          <w:lang w:eastAsia="ko-KR"/>
        </w:rPr>
        <w:t xml:space="preserve"> to assist any such competitive </w:t>
      </w:r>
      <w:bookmarkStart w:id="254" w:name="_9kMML5YVt46679COHy0poD"/>
      <w:bookmarkStart w:id="255" w:name="_9kMML5YVt4667ACNHy0poD"/>
      <w:r>
        <w:rPr>
          <w:lang w:eastAsia="ko-KR"/>
        </w:rPr>
        <w:t>company</w:t>
      </w:r>
      <w:bookmarkEnd w:id="254"/>
      <w:bookmarkEnd w:id="255"/>
      <w:r>
        <w:rPr>
          <w:lang w:eastAsia="ko-KR"/>
        </w:rPr>
        <w:t xml:space="preserve">, whether or not such action was taken as a member of the </w:t>
      </w:r>
      <w:bookmarkStart w:id="256" w:name="_9kMIH5YVt46679EPGmqusvLJ41n3GFK"/>
      <w:bookmarkStart w:id="257" w:name="_9kMIH5YVt4667ADNGmqusvLJ41n3GFK"/>
      <w:r>
        <w:rPr>
          <w:lang w:eastAsia="ko-KR"/>
        </w:rPr>
        <w:t>board of directors</w:t>
      </w:r>
      <w:bookmarkEnd w:id="256"/>
      <w:bookmarkEnd w:id="257"/>
      <w:r>
        <w:rPr>
          <w:lang w:eastAsia="ko-KR"/>
        </w:rPr>
        <w:t xml:space="preserve"> of such competitive </w:t>
      </w:r>
      <w:bookmarkStart w:id="258" w:name="_9kMNM5YVt46679COHy0poD"/>
      <w:bookmarkStart w:id="259" w:name="_9kMNM5YVt4667ACNHy0poD"/>
      <w:r>
        <w:rPr>
          <w:lang w:eastAsia="ko-KR"/>
        </w:rPr>
        <w:t>company</w:t>
      </w:r>
      <w:bookmarkEnd w:id="258"/>
      <w:bookmarkEnd w:id="259"/>
      <w:r>
        <w:rPr>
          <w:lang w:eastAsia="ko-KR"/>
        </w:rPr>
        <w:t xml:space="preserve"> or otherwise, and whether or not such action has a detrimental effect on the Company; </w:t>
      </w:r>
      <w:r>
        <w:rPr>
          <w:u w:val="words"/>
          <w:lang w:eastAsia="ko-KR"/>
        </w:rPr>
        <w:t>provided</w:t>
      </w:r>
      <w:r>
        <w:rPr>
          <w:lang w:eastAsia="ko-KR"/>
        </w:rPr>
        <w:t>,</w:t>
      </w:r>
      <w:r>
        <w:rPr>
          <w:u w:val="words"/>
          <w:lang w:eastAsia="ko-KR"/>
        </w:rPr>
        <w:t xml:space="preserve"> however</w:t>
      </w:r>
      <w:r>
        <w:rPr>
          <w:lang w:eastAsia="ko-KR"/>
        </w:rPr>
        <w:t xml:space="preserve">, that the foregoing shall not </w:t>
      </w:r>
      <w:r>
        <w:t xml:space="preserve">contravene the confidentiality obligations in </w:t>
      </w:r>
      <w:r>
        <w:rPr>
          <w:u w:val="single"/>
        </w:rPr>
        <w:t xml:space="preserve">Section </w:t>
      </w:r>
      <w:r>
        <w:rPr>
          <w:color w:val="000000"/>
          <w:u w:val="single"/>
        </w:rPr>
        <w:fldChar w:fldCharType="begin"/>
      </w:r>
      <w:r>
        <w:rPr>
          <w:u w:val="single"/>
        </w:rPr>
        <w:instrText xml:space="preserve"> REF _Ref137654445 \r \h </w:instrText>
      </w:r>
      <w:r>
        <w:rPr>
          <w:color w:val="000000"/>
          <w:u w:val="single"/>
        </w:rPr>
        <w:instrText xml:space="preserve"> \* MERGEFORMAT </w:instrText>
      </w:r>
      <w:r>
        <w:rPr>
          <w:color w:val="000000"/>
          <w:u w:val="single"/>
        </w:rPr>
      </w:r>
      <w:r>
        <w:rPr>
          <w:color w:val="000000"/>
          <w:u w:val="single"/>
        </w:rPr>
        <w:fldChar w:fldCharType="separate"/>
      </w:r>
      <w:r w:rsidR="008D7705">
        <w:rPr>
          <w:u w:val="single"/>
        </w:rPr>
        <w:t>3.4</w:t>
      </w:r>
      <w:r>
        <w:rPr>
          <w:color w:val="000000"/>
          <w:u w:val="single"/>
        </w:rPr>
        <w:fldChar w:fldCharType="end"/>
      </w:r>
      <w:r>
        <w:t xml:space="preserve"> or otherwise in this Agreement or </w:t>
      </w:r>
      <w:r>
        <w:rPr>
          <w:lang w:eastAsia="ko-KR"/>
        </w:rPr>
        <w:t>relieve any director or officer of the Company from any liability associated with such person’s fiduciary duties to the Company.</w:t>
      </w:r>
      <w:bookmarkEnd w:id="252"/>
    </w:p>
    <w:p w14:paraId="6FC1C156" w14:textId="77777777" w:rsidR="00396D26" w:rsidRPr="00396D26" w:rsidRDefault="00396D26" w:rsidP="00396D26">
      <w:pPr>
        <w:pStyle w:val="Heading2"/>
        <w:rPr>
          <w:vanish/>
          <w:u w:val="none"/>
          <w:specVanish/>
        </w:rPr>
      </w:pPr>
      <w:r>
        <w:rPr>
          <w:lang w:eastAsia="ko-KR"/>
        </w:rPr>
        <w:t>FCPA</w:t>
      </w:r>
    </w:p>
    <w:p w14:paraId="251CBD80" w14:textId="39266FEC" w:rsidR="007E4E59" w:rsidRPr="000D36C4" w:rsidRDefault="00396D26" w:rsidP="00396D26">
      <w:pPr>
        <w:pStyle w:val="HeadingPara2"/>
        <w:rPr>
          <w:lang w:eastAsia="ko-KR"/>
        </w:rPr>
      </w:pPr>
      <w:r>
        <w:rPr>
          <w:lang w:eastAsia="ko-KR"/>
        </w:rPr>
        <w:t xml:space="preserve">. </w:t>
      </w:r>
      <w:r>
        <w:t>T</w:t>
      </w:r>
      <w:r>
        <w:rPr>
          <w:lang w:eastAsia="ko-KR"/>
        </w:rPr>
        <w:t xml:space="preserve">he Company covenants that it shall not (and shall not permit any of its subsidiaries or Affiliates or any of its or their respective directors, officers, managers, employees, independent contractors, representatives or agents to) promise, authorize or make any payment to, or otherwise contribute any item of value to, directly or indirectly, to any third party, including any </w:t>
      </w:r>
      <w:bookmarkStart w:id="260" w:name="_9kR3WTr2664CMdQxeE9Nlpnonr"/>
      <w:r>
        <w:rPr>
          <w:lang w:eastAsia="ko-KR"/>
        </w:rPr>
        <w:t>Non-U.S. Official</w:t>
      </w:r>
      <w:bookmarkEnd w:id="260"/>
      <w:r>
        <w:rPr>
          <w:lang w:eastAsia="ko-KR"/>
        </w:rPr>
        <w:t xml:space="preserve"> (as such term is defined in the U.S. Foreign Corrupt Practices Act of 1977, as amended (the “</w:t>
      </w:r>
      <w:r>
        <w:rPr>
          <w:b/>
          <w:lang w:eastAsia="ko-KR"/>
        </w:rPr>
        <w:t>FCPA</w:t>
      </w:r>
      <w:r>
        <w:rPr>
          <w:lang w:eastAsia="ko-KR"/>
        </w:rPr>
        <w:t xml:space="preserve">”)), in each case, in violation of the FCPA, the U.K. Bribery Act, or any other applicable anti-bribery or anti-corruption law. </w:t>
      </w:r>
      <w:r>
        <w:t>T</w:t>
      </w:r>
      <w:r>
        <w:rPr>
          <w:lang w:eastAsia="ko-KR"/>
        </w:rPr>
        <w:t xml:space="preserve">he Company further covenants that it shall (and shall cause each of its subsidiaries and Affiliates to) cease all of its or their respective known activities, as well as remediate any known actions taken by the Company, its subsidiaries or Affiliates, or any of their respective directors, officers, managers, employees, independent contractors, representatives or agents in violation of the FCPA, the U.K. Bribery Act, or any other applicable anti-bribery or anti-corruption law. </w:t>
      </w:r>
      <w:r>
        <w:t>T</w:t>
      </w:r>
      <w:r>
        <w:rPr>
          <w:lang w:eastAsia="ko-KR"/>
        </w:rPr>
        <w:t xml:space="preserve">he Company further covenants that it shall (and shall cause each of its subsidiaries and Affiliates to) maintain commercially reasonable systems of </w:t>
      </w:r>
      <w:r>
        <w:rPr>
          <w:lang w:eastAsia="ko-KR"/>
        </w:rPr>
        <w:lastRenderedPageBreak/>
        <w:t xml:space="preserve">internal controls (including, but not limited to, accounting systems, purchasing systems and billing systems) to provide reasonable assurances regarding compliance with the FCPA, the U.K. Bribery Act, or any other applicable anti-bribery or anti-corruption law. Upon request by a Major Investor, the Company agrees to provide responsive information and/or certifications to such Major Investor concerning its compliance with applicable anti-corruption laws. The Company shall promptly notify each Major Investor if the Company becomes aware of any </w:t>
      </w:r>
      <w:bookmarkStart w:id="261" w:name="_9kR3WTr1AB4DELGoq3sgrsuAYC295B"/>
      <w:r>
        <w:rPr>
          <w:lang w:eastAsia="ko-KR"/>
        </w:rPr>
        <w:t>Enforcement Action</w:t>
      </w:r>
      <w:bookmarkEnd w:id="261"/>
      <w:r>
        <w:rPr>
          <w:lang w:eastAsia="ko-KR"/>
        </w:rPr>
        <w:t xml:space="preserve"> (as defined in the Purchase Agreement). </w:t>
      </w:r>
      <w:r>
        <w:t>T</w:t>
      </w:r>
      <w:r>
        <w:rPr>
          <w:lang w:eastAsia="ko-KR"/>
        </w:rPr>
        <w:t xml:space="preserve">he Company shall, and shall cause any direct or indirect subsidiary or entity controlled by it, whether now in existence or formed in the future to, make commercially reasonable efforts to comply with the FCPA. </w:t>
      </w:r>
      <w:r>
        <w:t>T</w:t>
      </w:r>
      <w:r>
        <w:rPr>
          <w:lang w:eastAsia="ko-KR"/>
        </w:rPr>
        <w:t>he Company shall use its commercially reasonable efforts to cause any direct or indirect subsidiary, whether now in existence or formed in the future, to comply in all material respects with all applicable laws.</w:t>
      </w:r>
    </w:p>
    <w:p w14:paraId="3CCEA773" w14:textId="19AC6190" w:rsidR="007E4E59" w:rsidRPr="000D36C4" w:rsidRDefault="00AD4FC9">
      <w:pPr>
        <w:pStyle w:val="Heading2"/>
        <w:rPr>
          <w:vanish/>
          <w:specVanish/>
        </w:rPr>
      </w:pPr>
      <w:bookmarkStart w:id="262" w:name="_Ref162993716"/>
      <w:r>
        <w:rPr>
          <w:lang w:eastAsia="ko-KR"/>
        </w:rPr>
        <w:t>Cybersecurity</w:t>
      </w:r>
      <w:bookmarkEnd w:id="262"/>
    </w:p>
    <w:p w14:paraId="5EFAACE9" w14:textId="503B9ABF" w:rsidR="00914B3A" w:rsidRPr="000D36C4" w:rsidRDefault="00914B3A" w:rsidP="007D1021">
      <w:pPr>
        <w:pStyle w:val="HeadingPara2"/>
      </w:pPr>
      <w:bookmarkStart w:id="263" w:name="_Ref42252563"/>
      <w:bookmarkEnd w:id="24"/>
      <w:bookmarkEnd w:id="25"/>
      <w:bookmarkEnd w:id="26"/>
      <w:bookmarkEnd w:id="27"/>
      <w:r>
        <w:rPr>
          <w:lang w:eastAsia="ko-KR"/>
        </w:rPr>
        <w:t xml:space="preserve">. </w:t>
      </w:r>
      <w:bookmarkEnd w:id="263"/>
      <w:r w:rsidR="005B7EB4">
        <w:t>T</w:t>
      </w:r>
      <w:r>
        <w:rPr>
          <w:lang w:eastAsia="ko-KR"/>
        </w:rPr>
        <w:t xml:space="preserve">he Company shall, within 180 days following the date of this Agreement, use commercially reasonable efforts to: (a) identify the Company’s confidential business information, trade secrets, and any information about identified or identifiable natural </w:t>
      </w:r>
      <w:bookmarkStart w:id="264" w:name="_9kMON5YVt46679FeKt862"/>
      <w:bookmarkStart w:id="265" w:name="_9kMON5YVt4667AEcKt862"/>
      <w:r>
        <w:rPr>
          <w:lang w:eastAsia="ko-KR"/>
        </w:rPr>
        <w:t>persons</w:t>
      </w:r>
      <w:bookmarkEnd w:id="264"/>
      <w:bookmarkEnd w:id="265"/>
      <w:r>
        <w:rPr>
          <w:lang w:eastAsia="ko-KR"/>
        </w:rPr>
        <w:t xml:space="preserve"> maintained, disclosed, or otherwise processed by or on behalf of the Company (collectively, “</w:t>
      </w:r>
      <w:r>
        <w:rPr>
          <w:b/>
          <w:lang w:eastAsia="ko-KR"/>
        </w:rPr>
        <w:t>Protected Data</w:t>
      </w:r>
      <w:r>
        <w:rPr>
          <w:lang w:eastAsia="ko-KR"/>
        </w:rPr>
        <w:t xml:space="preserve">”) </w:t>
      </w:r>
      <w:r>
        <w:rPr>
          <w:color w:val="000000"/>
        </w:rPr>
        <w:t>and the Company’s servers, laptops, desktops, cloud computing, containers, virtual environments, data centers, and/or other Company or vendor systems and applications that process Protected Data, or are used to provide, host or enable the Company’s operations or services (collectively, “</w:t>
      </w:r>
      <w:r>
        <w:rPr>
          <w:b/>
          <w:bCs/>
          <w:color w:val="000000"/>
        </w:rPr>
        <w:t>Systems</w:t>
      </w:r>
      <w:r>
        <w:rPr>
          <w:color w:val="000000"/>
        </w:rPr>
        <w:t xml:space="preserve">”); (b) restrict access </w:t>
      </w:r>
      <w:r>
        <w:rPr>
          <w:lang w:eastAsia="ko-KR"/>
        </w:rPr>
        <w:t xml:space="preserve">to Protected Data and Systems to those individuals or entities who have a need to access such Protected Data and Systems; (c) </w:t>
      </w:r>
      <w:r>
        <w:rPr>
          <w:color w:val="000000"/>
        </w:rPr>
        <w:t xml:space="preserve">conduct a commercially reasonable risk assessment to evaluate the potential risks, vulnerabilities, and threats to Protected Data and Systems; (d) </w:t>
      </w:r>
      <w:r>
        <w:rPr>
          <w:lang w:eastAsia="ko-KR"/>
        </w:rPr>
        <w:t>implement and maintain commercially reasonable physical, technical and administrative safeguards designed to protect the security, confidentiality, integrity and availability of all Protected Data and Systems, and (e) provide its applicable employees, agents, and contractors with privacy and security training as determined reasonably necessary by the Company.</w:t>
      </w:r>
    </w:p>
    <w:p w14:paraId="3694CF21" w14:textId="77777777" w:rsidR="00914B3A" w:rsidRPr="000D36C4" w:rsidRDefault="00914B3A">
      <w:pPr>
        <w:pStyle w:val="Heading2"/>
        <w:rPr>
          <w:vanish/>
          <w:specVanish/>
        </w:rPr>
      </w:pPr>
      <w:bookmarkStart w:id="266" w:name="_cp_blt_1_142"/>
      <w:bookmarkStart w:id="267" w:name="_cp_blt_2_141"/>
      <w:bookmarkStart w:id="268" w:name="_Ref42252564"/>
      <w:bookmarkEnd w:id="28"/>
      <w:bookmarkEnd w:id="29"/>
      <w:bookmarkEnd w:id="266"/>
      <w:bookmarkEnd w:id="267"/>
      <w:r>
        <w:rPr>
          <w:lang w:eastAsia="ko-KR"/>
        </w:rPr>
        <w:t>Termination of Covenants</w:t>
      </w:r>
    </w:p>
    <w:p w14:paraId="05DAF577" w14:textId="0BE11B51" w:rsidR="00CD20FC" w:rsidRDefault="00466086" w:rsidP="006E4407">
      <w:pPr>
        <w:pStyle w:val="HeadingPara2"/>
        <w:rPr>
          <w:lang w:eastAsia="ko-KR"/>
        </w:rPr>
      </w:pPr>
      <w:r>
        <w:rPr>
          <w:lang w:eastAsia="ko-KR"/>
        </w:rPr>
        <w:t xml:space="preserve">. The covenants set forth in this </w:t>
      </w:r>
      <w:r>
        <w:rPr>
          <w:u w:val="single"/>
          <w:lang w:eastAsia="ko-KR"/>
        </w:rPr>
        <w:t xml:space="preserve">Section </w:t>
      </w:r>
      <w:r>
        <w:rPr>
          <w:u w:val="single"/>
        </w:rPr>
        <w:fldChar w:fldCharType="begin"/>
      </w:r>
      <w:r>
        <w:rPr>
          <w:u w:val="single"/>
          <w:lang w:eastAsia="ko-KR"/>
        </w:rPr>
        <w:instrText xml:space="preserve"> REF _Ref42252540 \w \h </w:instrText>
      </w:r>
      <w:r>
        <w:rPr>
          <w:u w:val="single"/>
        </w:rPr>
        <w:instrText xml:space="preserve"> \* MERGEFORMAT </w:instrText>
      </w:r>
      <w:r>
        <w:rPr>
          <w:u w:val="single"/>
        </w:rPr>
      </w:r>
      <w:r>
        <w:rPr>
          <w:u w:val="single"/>
        </w:rPr>
        <w:fldChar w:fldCharType="separate"/>
      </w:r>
      <w:r w:rsidR="008D7705">
        <w:rPr>
          <w:u w:val="single"/>
          <w:lang w:eastAsia="ko-KR"/>
        </w:rPr>
        <w:t>5</w:t>
      </w:r>
      <w:r>
        <w:rPr>
          <w:u w:val="single"/>
        </w:rPr>
        <w:fldChar w:fldCharType="end"/>
      </w:r>
      <w:r>
        <w:rPr>
          <w:lang w:eastAsia="ko-KR"/>
        </w:rPr>
        <w:t xml:space="preserve"> shall terminate and be of no further force or effect (i) immediately before the consummation of the IPO; (ii) upon a Deemed Liquidation Event, whichever event occurs first; or (iii) with respect to any obligation to an Investor that is or becomes </w:t>
      </w:r>
      <w:r>
        <w:rPr>
          <w:color w:val="000000" w:themeColor="text1"/>
        </w:rPr>
        <w:t>a Sanctioned Party, for so long as such Holder is a Sanctioned Party</w:t>
      </w:r>
      <w:r>
        <w:t xml:space="preserve"> ; </w:t>
      </w:r>
      <w:r>
        <w:rPr>
          <w:u w:val="single"/>
        </w:rPr>
        <w:t>provided</w:t>
      </w:r>
      <w:r>
        <w:t xml:space="preserve">, that, with respect to clause (ii), the covenants set forth in </w:t>
      </w:r>
      <w:r>
        <w:rPr>
          <w:u w:val="single"/>
        </w:rPr>
        <w:t xml:space="preserve">Section </w:t>
      </w:r>
      <w:r>
        <w:rPr>
          <w:u w:val="single"/>
        </w:rPr>
        <w:fldChar w:fldCharType="begin"/>
      </w:r>
      <w:r>
        <w:rPr>
          <w:u w:val="single"/>
          <w:lang w:eastAsia="ko-KR"/>
        </w:rPr>
        <w:instrText xml:space="preserve"> REF _Ref42252540 \w \h </w:instrText>
      </w:r>
      <w:r>
        <w:rPr>
          <w:u w:val="single"/>
        </w:rPr>
        <w:instrText xml:space="preserve"> \* MERGEFORMAT </w:instrText>
      </w:r>
      <w:r>
        <w:rPr>
          <w:u w:val="single"/>
        </w:rPr>
      </w:r>
      <w:r>
        <w:rPr>
          <w:u w:val="single"/>
        </w:rPr>
        <w:fldChar w:fldCharType="separate"/>
      </w:r>
      <w:r w:rsidR="008D7705">
        <w:rPr>
          <w:u w:val="single"/>
          <w:lang w:eastAsia="ko-KR"/>
        </w:rPr>
        <w:t>5</w:t>
      </w:r>
      <w:r>
        <w:rPr>
          <w:u w:val="single"/>
        </w:rPr>
        <w:fldChar w:fldCharType="end"/>
      </w:r>
      <w:r>
        <w:t xml:space="preserve"> shall only terminate if the consideration received by the Investors in such Deemed Liquidation Event is in the form of cash and/or publicly traded securities or if the acquiring company or other successor to the Company agrees to covenants comparable to those set forth in </w:t>
      </w:r>
      <w:r>
        <w:rPr>
          <w:u w:val="single"/>
        </w:rPr>
        <w:t xml:space="preserve">Section </w:t>
      </w:r>
      <w:r>
        <w:rPr>
          <w:u w:val="single"/>
        </w:rPr>
        <w:fldChar w:fldCharType="begin"/>
      </w:r>
      <w:r>
        <w:rPr>
          <w:u w:val="single"/>
          <w:lang w:eastAsia="ko-KR"/>
        </w:rPr>
        <w:instrText xml:space="preserve"> REF _Ref42252540 \w \h </w:instrText>
      </w:r>
      <w:r>
        <w:rPr>
          <w:u w:val="single"/>
        </w:rPr>
        <w:instrText xml:space="preserve"> \* MERGEFORMAT </w:instrText>
      </w:r>
      <w:r>
        <w:rPr>
          <w:u w:val="single"/>
        </w:rPr>
      </w:r>
      <w:r>
        <w:rPr>
          <w:u w:val="single"/>
        </w:rPr>
        <w:fldChar w:fldCharType="separate"/>
      </w:r>
      <w:r w:rsidR="008D7705">
        <w:rPr>
          <w:u w:val="single"/>
          <w:lang w:eastAsia="ko-KR"/>
        </w:rPr>
        <w:t>5</w:t>
      </w:r>
      <w:r>
        <w:rPr>
          <w:u w:val="single"/>
        </w:rPr>
        <w:fldChar w:fldCharType="end"/>
      </w:r>
      <w:r>
        <w:rPr>
          <w:lang w:eastAsia="ko-KR"/>
        </w:rPr>
        <w:t>.</w:t>
      </w:r>
      <w:bookmarkEnd w:id="268"/>
      <w:r>
        <w:rPr>
          <w:lang w:eastAsia="ko-KR"/>
        </w:rPr>
        <w:t xml:space="preserve"> </w:t>
      </w:r>
    </w:p>
    <w:p w14:paraId="6702AC65" w14:textId="2C1582D8" w:rsidR="00914B3A" w:rsidRPr="000D36C4" w:rsidRDefault="00914B3A">
      <w:pPr>
        <w:pStyle w:val="Heading1"/>
        <w:rPr>
          <w:szCs w:val="22"/>
        </w:rPr>
      </w:pPr>
      <w:bookmarkStart w:id="269" w:name="_Ref42252565"/>
      <w:r w:rsidRPr="006946EC">
        <w:rPr>
          <w:szCs w:val="22"/>
          <w:u w:val="single"/>
        </w:rPr>
        <w:t>Miscellaneous</w:t>
      </w:r>
      <w:r>
        <w:rPr>
          <w:szCs w:val="22"/>
        </w:rPr>
        <w:t>.</w:t>
      </w:r>
      <w:bookmarkEnd w:id="269"/>
    </w:p>
    <w:p w14:paraId="6C9C7CA6" w14:textId="77777777" w:rsidR="00914B3A" w:rsidRPr="000D36C4" w:rsidRDefault="00914B3A">
      <w:pPr>
        <w:pStyle w:val="Heading2"/>
        <w:rPr>
          <w:vanish/>
          <w:specVanish/>
        </w:rPr>
      </w:pPr>
      <w:bookmarkStart w:id="270" w:name="_Ref140266872"/>
      <w:bookmarkStart w:id="271" w:name="_Ref42252566"/>
      <w:r>
        <w:t>Successors and Assigns</w:t>
      </w:r>
      <w:bookmarkEnd w:id="270"/>
    </w:p>
    <w:p w14:paraId="4A66E3F7" w14:textId="2BC95C44" w:rsidR="007E4E59" w:rsidRPr="000D36C4" w:rsidRDefault="00466086" w:rsidP="004E2D06">
      <w:pPr>
        <w:pStyle w:val="HeadingPara2"/>
      </w:pPr>
      <w:r>
        <w:t>. The rights under this Agreement may be assigned (but only with all related obligations) by a Holder to a transferee of Registrable Securities that (i) is an Affiliate of a Holder;</w:t>
      </w:r>
      <w:r w:rsidR="00B77037">
        <w:t xml:space="preserve"> or</w:t>
      </w:r>
      <w:r>
        <w:t xml:space="preserve"> (ii) is a Holder’s Immediate Family Member or trust for the benefit of an individual Holder or one or more of such Holder’s Immediate Family Members; </w:t>
      </w:r>
      <w:r>
        <w:rPr>
          <w:u w:val="words"/>
        </w:rPr>
        <w:t>provided</w:t>
      </w:r>
      <w:r>
        <w:t>,</w:t>
      </w:r>
      <w:r>
        <w:rPr>
          <w:u w:val="words"/>
        </w:rPr>
        <w:t xml:space="preserve"> however</w:t>
      </w:r>
      <w:r>
        <w:t xml:space="preserve">, that (x) the Company is, within a reasonable time after such transfer, furnished with written notice of the name and address of such transferee and the Registrable Securities with respect to which such rights are being transferred; (y) such transferee agrees in a written instrument delivered to the Company to be bound by and subject to the terms and conditions of this Agreement, including the provisions of </w:t>
      </w:r>
      <w:r>
        <w:rPr>
          <w:u w:val="single"/>
        </w:rPr>
        <w:t xml:space="preserve">Section </w:t>
      </w:r>
      <w:r>
        <w:rPr>
          <w:color w:val="000000"/>
          <w:u w:val="single"/>
        </w:rPr>
        <w:fldChar w:fldCharType="begin"/>
      </w:r>
      <w:r>
        <w:rPr>
          <w:color w:val="000000"/>
          <w:u w:val="single"/>
        </w:rPr>
        <w:instrText xml:space="preserve"> REF _Ref42252508 \r \h \* MERGEFORMAT </w:instrText>
      </w:r>
      <w:r>
        <w:rPr>
          <w:color w:val="000000"/>
          <w:u w:val="single"/>
        </w:rPr>
      </w:r>
      <w:r>
        <w:rPr>
          <w:color w:val="000000"/>
          <w:u w:val="single"/>
        </w:rPr>
        <w:fldChar w:fldCharType="separate"/>
      </w:r>
      <w:r w:rsidR="008D7705">
        <w:rPr>
          <w:color w:val="000000"/>
          <w:u w:val="single"/>
        </w:rPr>
        <w:t>2.11</w:t>
      </w:r>
      <w:r>
        <w:rPr>
          <w:color w:val="000000"/>
          <w:u w:val="single"/>
        </w:rPr>
        <w:fldChar w:fldCharType="end"/>
      </w:r>
      <w:r>
        <w:rPr>
          <w:color w:val="000000"/>
        </w:rPr>
        <w:t>; and (z) such assignee is</w:t>
      </w:r>
      <w:r>
        <w:rPr>
          <w:color w:val="000000" w:themeColor="text1"/>
        </w:rPr>
        <w:t xml:space="preserve"> not a Sanctioned Party</w:t>
      </w:r>
      <w:r>
        <w:t xml:space="preserve">. For the purposes of determining the number of shares of Registrable Securities held by a transferee, the holdings of a transferee (1) that is an Affiliate or </w:t>
      </w:r>
      <w:bookmarkStart w:id="272" w:name="_9kMH8P6ZWu57789Cfd6qnty3tn2H"/>
      <w:r>
        <w:t>stockholder</w:t>
      </w:r>
      <w:bookmarkEnd w:id="272"/>
      <w:r>
        <w:t xml:space="preserve"> of a Holder; (2) who is a Holder’s Immediate Family Member; or (3) that is a trust for the benefit of an individual Holder or such Holder’s Immediate Family Member shall be aggregated together and with those of the transferring Holder; </w:t>
      </w:r>
      <w:r>
        <w:rPr>
          <w:u w:val="words"/>
        </w:rPr>
        <w:t>provided further</w:t>
      </w:r>
      <w:r>
        <w:t xml:space="preserve"> that all transferees who would not qualify individually for assignment of rights shall, as a condition to the applicable transfer, establish a single attorney-in-fact for the purpose of exercising any rights, receiving notices, or taking any action under this Agreement. The terms and conditions of this </w:t>
      </w:r>
      <w:r>
        <w:lastRenderedPageBreak/>
        <w:t>Agreement inure to the benefit of and are binding upon the respective successors and permitted assignees of the parties. Nothing in this Agreement, express or implied, is intended to confer upon any party other than the parties hereto or their respective successors and permitted assignees any rights, remedies, obligations or liabilities under or by reason of this Agreement, except as expressly provided herein.</w:t>
      </w:r>
      <w:bookmarkEnd w:id="271"/>
    </w:p>
    <w:p w14:paraId="684457B7" w14:textId="77777777" w:rsidR="00914B3A" w:rsidRPr="000D36C4" w:rsidRDefault="00914B3A">
      <w:pPr>
        <w:pStyle w:val="Heading2"/>
        <w:rPr>
          <w:vanish/>
          <w:specVanish/>
        </w:rPr>
      </w:pPr>
      <w:bookmarkStart w:id="273" w:name="_Ref42252567"/>
      <w:r>
        <w:t>Governing Law</w:t>
      </w:r>
    </w:p>
    <w:p w14:paraId="20E5F148" w14:textId="0477C008" w:rsidR="007E4E59" w:rsidRPr="000D36C4" w:rsidRDefault="00466086" w:rsidP="004E2D06">
      <w:pPr>
        <w:pStyle w:val="HeadingPara2"/>
      </w:pPr>
      <w:r>
        <w:t>. This Agreement shall be governed by the internal law of the State of Delaware, without regard to conflict of law principles that would result in the application of any law other than the law of the State of Delaware.</w:t>
      </w:r>
      <w:bookmarkEnd w:id="273"/>
    </w:p>
    <w:p w14:paraId="30661CEA" w14:textId="77777777" w:rsidR="00914B3A" w:rsidRPr="000D36C4" w:rsidRDefault="00914B3A">
      <w:pPr>
        <w:pStyle w:val="Heading2"/>
        <w:rPr>
          <w:vanish/>
          <w:specVanish/>
        </w:rPr>
      </w:pPr>
      <w:bookmarkStart w:id="274" w:name="_Ref42252568"/>
      <w:r>
        <w:t>Counterparts</w:t>
      </w:r>
    </w:p>
    <w:p w14:paraId="58701AF7" w14:textId="77777777" w:rsidR="007E4E59" w:rsidRPr="000D36C4" w:rsidRDefault="00466086" w:rsidP="004E2D06">
      <w:pPr>
        <w:pStyle w:val="HeadingPara2"/>
      </w:pPr>
      <w:r>
        <w:t xml:space="preserve">. This Agreement may be executed in two or more counterparts, each of which shall be deemed an original, but all of which together shall constitute one and the same instrument. Counterparts may be delivered via electronic mail (including pdf or any electronic signature complying with the U.S. federal </w:t>
      </w:r>
      <w:bookmarkStart w:id="275" w:name="_9kR3WTr2664DFMv0pvq6w"/>
      <w:r>
        <w:t>ESIGN Act</w:t>
      </w:r>
      <w:bookmarkEnd w:id="275"/>
      <w:r>
        <w:t xml:space="preserve"> of 2000, </w:t>
      </w:r>
      <w:r>
        <w:rPr>
          <w:i/>
        </w:rPr>
        <w:t>e.g.</w:t>
      </w:r>
      <w:r>
        <w:t>, www.docusign.com) or other transmission method and any counterpart so delivered shall be deemed to have been duly and validly delivered and be valid and effective for all purposes.</w:t>
      </w:r>
      <w:bookmarkEnd w:id="274"/>
    </w:p>
    <w:p w14:paraId="5FC76D64" w14:textId="77777777" w:rsidR="00914B3A" w:rsidRPr="000D36C4" w:rsidRDefault="00914B3A">
      <w:pPr>
        <w:pStyle w:val="Heading2"/>
        <w:rPr>
          <w:vanish/>
          <w:specVanish/>
        </w:rPr>
      </w:pPr>
      <w:bookmarkStart w:id="276" w:name="_Ref42252569"/>
      <w:r>
        <w:t>Titles and Subtitles</w:t>
      </w:r>
    </w:p>
    <w:p w14:paraId="00BC723E" w14:textId="77777777" w:rsidR="007E4E59" w:rsidRPr="000D36C4" w:rsidRDefault="00466086" w:rsidP="004E2D06">
      <w:pPr>
        <w:pStyle w:val="HeadingPara2"/>
      </w:pPr>
      <w:r>
        <w:t>. The titles and subtitles used in this Agreement are for convenience only and are not to be considered in construing or interpreting this Agreement.</w:t>
      </w:r>
      <w:bookmarkEnd w:id="276"/>
    </w:p>
    <w:p w14:paraId="587770FD" w14:textId="77777777" w:rsidR="00914B3A" w:rsidRPr="000D36C4" w:rsidRDefault="00914B3A" w:rsidP="00F07019">
      <w:pPr>
        <w:pStyle w:val="Heading2"/>
        <w:keepNext/>
      </w:pPr>
      <w:bookmarkStart w:id="277" w:name="_Ref42252570"/>
      <w:r>
        <w:t>Notices</w:t>
      </w:r>
      <w:r>
        <w:rPr>
          <w:u w:val="none"/>
        </w:rPr>
        <w:t>.</w:t>
      </w:r>
      <w:bookmarkEnd w:id="277"/>
    </w:p>
    <w:p w14:paraId="79368A27" w14:textId="3647050B" w:rsidR="00914B3A" w:rsidRPr="000D36C4" w:rsidRDefault="00914B3A">
      <w:pPr>
        <w:pStyle w:val="Heading3"/>
      </w:pPr>
      <w:r>
        <w:rPr>
          <w:iCs/>
          <w:u w:val="single"/>
        </w:rPr>
        <w:t>General</w:t>
      </w:r>
      <w:r>
        <w:t xml:space="preserve">. </w:t>
      </w:r>
      <w:bookmarkStart w:id="278" w:name="_Ref42252571"/>
      <w:r>
        <w:t xml:space="preserve">All notices and other communications given or made pursuant to this Agreement shall be in writing (including electronic mail as permitted in this Agreement) and shall be deemed effectively given upon the earlier of actual receipt or (i) personal delivery to the party to be notified; (ii) when sent, if sent by electronic mail during the recipient’s normal business hours, and if not sent during normal business hours, then on the recipient’s next business day; (iii) five days after having been sent by registered or certified mail, return receipt requested, postage prepaid; or (iv) one business day after the business day of deposit with a nationally recognized overnight courier, freight prepaid, specifying next-day delivery, with written verification of receipt. All communications shall be sent to the respective parties at their addresses as set forth on </w:t>
      </w:r>
      <w:bookmarkStart w:id="279" w:name="DocXTextRef255"/>
      <w:bookmarkStart w:id="280" w:name="_9kMIH5YVtCIA78Dgvlol2BwmrVF75LIHM"/>
      <w:r>
        <w:rPr>
          <w:u w:val="single"/>
        </w:rPr>
        <w:t>Schedule A</w:t>
      </w:r>
      <w:bookmarkEnd w:id="279"/>
      <w:bookmarkEnd w:id="280"/>
      <w:r>
        <w:t xml:space="preserve"> hereto, or (as to the Company) to the address set forth on the signature page hereto, or in any case to such email address or address as subsequently modified by written notice given in accordance with this </w:t>
      </w:r>
      <w:r>
        <w:rPr>
          <w:u w:val="single"/>
        </w:rPr>
        <w:t xml:space="preserve">Section </w:t>
      </w:r>
      <w:r>
        <w:rPr>
          <w:color w:val="000000"/>
          <w:u w:val="single"/>
        </w:rPr>
        <w:fldChar w:fldCharType="begin"/>
      </w:r>
      <w:r>
        <w:rPr>
          <w:color w:val="000000"/>
          <w:u w:val="single"/>
        </w:rPr>
        <w:instrText xml:space="preserve"> REF _Ref42252570 \r \h \* MERGEFORMAT </w:instrText>
      </w:r>
      <w:r>
        <w:rPr>
          <w:color w:val="000000"/>
          <w:u w:val="single"/>
        </w:rPr>
      </w:r>
      <w:r>
        <w:rPr>
          <w:color w:val="000000"/>
          <w:u w:val="single"/>
        </w:rPr>
        <w:fldChar w:fldCharType="separate"/>
      </w:r>
      <w:r w:rsidR="008D7705">
        <w:rPr>
          <w:color w:val="000000"/>
          <w:u w:val="single"/>
        </w:rPr>
        <w:t>6.5</w:t>
      </w:r>
      <w:r>
        <w:rPr>
          <w:color w:val="000000"/>
          <w:u w:val="single"/>
        </w:rPr>
        <w:fldChar w:fldCharType="end"/>
      </w:r>
      <w:r>
        <w:t xml:space="preserve">. </w:t>
      </w:r>
      <w:bookmarkStart w:id="281" w:name="_Hlk140238334"/>
      <w:r>
        <w:t>If notice is given to the Company, a copy (which copy shall not constitute notice) shall also be sent to [</w:t>
      </w:r>
      <w:r w:rsidRPr="00B77037">
        <w:rPr>
          <w:i/>
          <w:highlight w:val="yellow"/>
        </w:rPr>
        <w:t>Company counsel name and address</w:t>
      </w:r>
      <w:r>
        <w:t>]</w:t>
      </w:r>
      <w:r w:rsidR="00D929F0">
        <w:t xml:space="preserve">, and if notice is given to any Investor, a copy (which copy shall not constitute notice) shall also be given to ay “cc” address noted on </w:t>
      </w:r>
      <w:r w:rsidR="00D929F0" w:rsidRPr="004C212A">
        <w:rPr>
          <w:u w:val="single"/>
        </w:rPr>
        <w:t>Schedule A</w:t>
      </w:r>
      <w:r w:rsidR="00D929F0">
        <w:t xml:space="preserve"> for such Investor</w:t>
      </w:r>
      <w:r>
        <w:t>.</w:t>
      </w:r>
      <w:bookmarkEnd w:id="278"/>
      <w:bookmarkEnd w:id="281"/>
    </w:p>
    <w:p w14:paraId="3C5EE338" w14:textId="77777777" w:rsidR="00914B3A" w:rsidRPr="000D36C4" w:rsidRDefault="00914B3A">
      <w:pPr>
        <w:pStyle w:val="Heading3"/>
      </w:pPr>
      <w:bookmarkStart w:id="282" w:name="_Ref42252572"/>
      <w:r>
        <w:rPr>
          <w:u w:val="single"/>
        </w:rPr>
        <w:t>Consent to Electronic Notice</w:t>
      </w:r>
      <w:r>
        <w:t xml:space="preserve">. Each party to this Agreement consents to the delivery of any </w:t>
      </w:r>
      <w:bookmarkStart w:id="283" w:name="_9kMI0G6ZWu57789Cfd6qnty3tn2H"/>
      <w:r>
        <w:t>stockholder</w:t>
      </w:r>
      <w:bookmarkEnd w:id="283"/>
      <w:r>
        <w:t xml:space="preserve"> notice pursuant to the Delaware General Corporation Law (the “</w:t>
      </w:r>
      <w:r>
        <w:rPr>
          <w:b/>
        </w:rPr>
        <w:t>DGCL</w:t>
      </w:r>
      <w:r>
        <w:t xml:space="preserve">”), as amended or superseded from time to time, by electronic mail pursuant to Section 232 of the DGCL (or any successor thereto) at the electronic mail address set forth below such party’s name on the </w:t>
      </w:r>
      <w:bookmarkStart w:id="284" w:name="DocXTextRef260"/>
      <w:r>
        <w:t>Schedules</w:t>
      </w:r>
      <w:bookmarkEnd w:id="284"/>
      <w:r>
        <w:t xml:space="preserve"> hereto, as updated from time to time by notice to the Company, or as on the books of the Company. To the extent that any notice given by means of electronic mail is returned or undeliverable for any reason, the foregoing consent shall be deemed to have been revoked until a new or corrected electronic mail address has been provided, and such attempted </w:t>
      </w:r>
      <w:bookmarkStart w:id="285" w:name="_cp_text_1_150"/>
      <w:r>
        <w:t xml:space="preserve">electronic notice </w:t>
      </w:r>
      <w:bookmarkEnd w:id="285"/>
      <w:r>
        <w:t xml:space="preserve">shall be ineffective and deemed to not have been given. Each party to this Agreement agrees to promptly notify the Company of any change in such </w:t>
      </w:r>
      <w:bookmarkStart w:id="286" w:name="_9kMI1H6ZWu57789Cfd6qnty3tn2H"/>
      <w:r>
        <w:t>stockholder’s</w:t>
      </w:r>
      <w:bookmarkEnd w:id="286"/>
      <w:r>
        <w:t xml:space="preserve"> electronic mail address, and that failure to do so shall not affect the foregoing.</w:t>
      </w:r>
      <w:bookmarkEnd w:id="282"/>
      <w:r>
        <w:t xml:space="preserve"> </w:t>
      </w:r>
    </w:p>
    <w:p w14:paraId="1F3FA84C" w14:textId="77777777" w:rsidR="00914B3A" w:rsidRPr="000D36C4" w:rsidRDefault="00914B3A">
      <w:pPr>
        <w:pStyle w:val="Heading2"/>
        <w:rPr>
          <w:vanish/>
          <w:specVanish/>
        </w:rPr>
      </w:pPr>
      <w:bookmarkStart w:id="287" w:name="_Ref42252573"/>
      <w:r>
        <w:t>Amendments and Waivers</w:t>
      </w:r>
    </w:p>
    <w:p w14:paraId="71AF4975" w14:textId="0275C087" w:rsidR="00D929F0" w:rsidRDefault="00466086" w:rsidP="004E2D06">
      <w:pPr>
        <w:pStyle w:val="HeadingPara2"/>
      </w:pPr>
      <w:r>
        <w:t>.</w:t>
      </w:r>
    </w:p>
    <w:p w14:paraId="7C42EC82" w14:textId="0B20816D" w:rsidR="00D929F0" w:rsidRDefault="00466086" w:rsidP="00D929F0">
      <w:pPr>
        <w:pStyle w:val="Heading3"/>
      </w:pPr>
      <w:r>
        <w:t xml:space="preserve">Any term of this Agreement may be amended, modified or terminated and the observance of any term of this Agreement may be waived (either generally or in a particular instance, and </w:t>
      </w:r>
      <w:r>
        <w:lastRenderedPageBreak/>
        <w:t xml:space="preserve">either retroactively or prospectively) only with the written consent of the Company and the </w:t>
      </w:r>
      <w:r w:rsidR="003D493B">
        <w:t>Requisite Holders</w:t>
      </w:r>
      <w:r>
        <w:t xml:space="preserve">; provided that the Company may in its sole discretion waive compliance with </w:t>
      </w:r>
      <w:r w:rsidRPr="00E84BF0">
        <w:rPr>
          <w:u w:val="single"/>
        </w:rPr>
        <w:t xml:space="preserve">Section </w:t>
      </w:r>
      <w:r w:rsidRPr="00E84BF0">
        <w:rPr>
          <w:color w:val="000000"/>
          <w:u w:val="single"/>
        </w:rPr>
        <w:fldChar w:fldCharType="begin"/>
      </w:r>
      <w:r w:rsidRPr="00E84BF0">
        <w:rPr>
          <w:color w:val="000000"/>
          <w:u w:val="single"/>
        </w:rPr>
        <w:instrText xml:space="preserve"> REF _Ref42252512 \r \h \* MERGEFORMAT </w:instrText>
      </w:r>
      <w:r w:rsidRPr="00E84BF0">
        <w:rPr>
          <w:color w:val="000000"/>
          <w:u w:val="single"/>
        </w:rPr>
      </w:r>
      <w:r w:rsidRPr="00E84BF0">
        <w:rPr>
          <w:color w:val="000000"/>
          <w:u w:val="single"/>
        </w:rPr>
        <w:fldChar w:fldCharType="separate"/>
      </w:r>
      <w:r w:rsidR="008D7705">
        <w:rPr>
          <w:color w:val="000000"/>
          <w:u w:val="single"/>
        </w:rPr>
        <w:t>2.12(c)</w:t>
      </w:r>
      <w:r w:rsidRPr="00E84BF0">
        <w:rPr>
          <w:color w:val="000000"/>
          <w:u w:val="single"/>
        </w:rPr>
        <w:fldChar w:fldCharType="end"/>
      </w:r>
      <w:r>
        <w:t xml:space="preserve"> (and the Company’s failure to object promptly in writing after notification of a proposed assignment allegedly in violation of </w:t>
      </w:r>
      <w:r w:rsidRPr="00E84BF0">
        <w:rPr>
          <w:u w:val="single"/>
        </w:rPr>
        <w:t xml:space="preserve">Section </w:t>
      </w:r>
      <w:r w:rsidRPr="00E84BF0">
        <w:rPr>
          <w:color w:val="000000"/>
          <w:u w:val="single"/>
        </w:rPr>
        <w:fldChar w:fldCharType="begin"/>
      </w:r>
      <w:r w:rsidRPr="00E84BF0">
        <w:rPr>
          <w:color w:val="000000"/>
          <w:u w:val="single"/>
        </w:rPr>
        <w:instrText xml:space="preserve"> REF _Ref42252512 \r \h \* MERGEFORMAT </w:instrText>
      </w:r>
      <w:r w:rsidRPr="00E84BF0">
        <w:rPr>
          <w:color w:val="000000"/>
          <w:u w:val="single"/>
        </w:rPr>
      </w:r>
      <w:r w:rsidRPr="00E84BF0">
        <w:rPr>
          <w:color w:val="000000"/>
          <w:u w:val="single"/>
        </w:rPr>
        <w:fldChar w:fldCharType="separate"/>
      </w:r>
      <w:r w:rsidR="008D7705">
        <w:rPr>
          <w:color w:val="000000"/>
          <w:u w:val="single"/>
        </w:rPr>
        <w:t>2.12(c)</w:t>
      </w:r>
      <w:r w:rsidRPr="00E84BF0">
        <w:rPr>
          <w:color w:val="000000"/>
          <w:u w:val="single"/>
        </w:rPr>
        <w:fldChar w:fldCharType="end"/>
      </w:r>
      <w:r>
        <w:t xml:space="preserve"> shall be deemed to be a waiver); and </w:t>
      </w:r>
      <w:r>
        <w:rPr>
          <w:u w:val="words"/>
        </w:rPr>
        <w:t>provided further</w:t>
      </w:r>
      <w:r>
        <w:t xml:space="preserve"> that any provision hereof may be waived by any waiving party on such party’s own behalf, without the consent of any other party. For the avoidance of doubt, Registrable Securities do not include any shares held by a person or entity that is a Sanctioned Party. </w:t>
      </w:r>
    </w:p>
    <w:p w14:paraId="6CA65C69" w14:textId="173B131D" w:rsidR="00D929F0" w:rsidRDefault="00466086" w:rsidP="00D929F0">
      <w:pPr>
        <w:pStyle w:val="Heading3"/>
      </w:pPr>
      <w:r>
        <w:t xml:space="preserve">Notwithstanding </w:t>
      </w:r>
      <w:r w:rsidR="00D929F0">
        <w:t>in this Agreement to the contrary</w:t>
      </w:r>
      <w:r>
        <w:t>, (</w:t>
      </w:r>
      <w:r w:rsidR="00D929F0">
        <w:t>i</w:t>
      </w:r>
      <w:r>
        <w:t xml:space="preserve">) this Agreement may not be amended, modified or terminated and the observance of any term hereof may not be waived with respect to any Investor without the written consent of such Investor, unless such amendment, modification, termination, or waiver applies to all Investors in the same fashion (it being agreed that a waiver of the provisions of </w:t>
      </w:r>
      <w:r w:rsidRPr="00E84BF0">
        <w:rPr>
          <w:u w:val="single"/>
        </w:rPr>
        <w:t xml:space="preserve">Section </w:t>
      </w:r>
      <w:r w:rsidRPr="00E84BF0">
        <w:rPr>
          <w:u w:val="single"/>
        </w:rPr>
        <w:fldChar w:fldCharType="begin"/>
      </w:r>
      <w:r w:rsidRPr="00E84BF0">
        <w:rPr>
          <w:u w:val="single"/>
        </w:rPr>
        <w:instrText xml:space="preserve"> REF _Ref42252531 \w \h\*MERGEFORMAT </w:instrText>
      </w:r>
      <w:r w:rsidRPr="00E84BF0">
        <w:rPr>
          <w:u w:val="single"/>
        </w:rPr>
      </w:r>
      <w:r w:rsidRPr="00E84BF0">
        <w:rPr>
          <w:u w:val="single"/>
        </w:rPr>
        <w:fldChar w:fldCharType="separate"/>
      </w:r>
      <w:r w:rsidR="008D7705">
        <w:rPr>
          <w:u w:val="single"/>
        </w:rPr>
        <w:t>4</w:t>
      </w:r>
      <w:r w:rsidRPr="00E84BF0">
        <w:rPr>
          <w:u w:val="single"/>
        </w:rPr>
        <w:fldChar w:fldCharType="end"/>
      </w:r>
      <w:r>
        <w:t xml:space="preserve"> with respect to a particular transaction shall be deemed to apply to all Investors in the same fashion if such waiver does so by its terms, notwithstanding the fact that certain Investors may nonetheless, by agreement with the Company, purchase securities in such transaction; provided, however, if, after giving effect to any waiver of </w:t>
      </w:r>
      <w:r w:rsidRPr="00E84BF0">
        <w:rPr>
          <w:u w:val="single"/>
        </w:rPr>
        <w:t xml:space="preserve">Section </w:t>
      </w:r>
      <w:r w:rsidRPr="00E84BF0">
        <w:rPr>
          <w:u w:val="single"/>
        </w:rPr>
        <w:fldChar w:fldCharType="begin"/>
      </w:r>
      <w:r w:rsidRPr="00E84BF0">
        <w:rPr>
          <w:u w:val="single"/>
        </w:rPr>
        <w:instrText xml:space="preserve"> REF _Ref145425540 \w \h  \* MERGEFORMAT </w:instrText>
      </w:r>
      <w:r w:rsidRPr="00E84BF0">
        <w:rPr>
          <w:u w:val="single"/>
        </w:rPr>
      </w:r>
      <w:r w:rsidRPr="00E84BF0">
        <w:rPr>
          <w:u w:val="single"/>
        </w:rPr>
        <w:fldChar w:fldCharType="separate"/>
      </w:r>
      <w:r w:rsidR="008D7705">
        <w:rPr>
          <w:u w:val="single"/>
        </w:rPr>
        <w:t>4.1</w:t>
      </w:r>
      <w:r w:rsidRPr="00E84BF0">
        <w:rPr>
          <w:u w:val="single"/>
        </w:rPr>
        <w:fldChar w:fldCharType="end"/>
      </w:r>
      <w:r>
        <w:t xml:space="preserve"> or any provision pertaining to </w:t>
      </w:r>
      <w:r w:rsidRPr="00E84BF0">
        <w:rPr>
          <w:u w:val="single"/>
        </w:rPr>
        <w:t xml:space="preserve">Section </w:t>
      </w:r>
      <w:r w:rsidRPr="00E84BF0">
        <w:rPr>
          <w:u w:val="single"/>
        </w:rPr>
        <w:fldChar w:fldCharType="begin"/>
      </w:r>
      <w:r w:rsidRPr="00E84BF0">
        <w:rPr>
          <w:u w:val="single"/>
        </w:rPr>
        <w:instrText xml:space="preserve"> REF _Ref145425540 \w \h  \* MERGEFORMAT </w:instrText>
      </w:r>
      <w:r w:rsidRPr="00E84BF0">
        <w:rPr>
          <w:u w:val="single"/>
        </w:rPr>
      </w:r>
      <w:r w:rsidRPr="00E84BF0">
        <w:rPr>
          <w:u w:val="single"/>
        </w:rPr>
        <w:fldChar w:fldCharType="separate"/>
      </w:r>
      <w:r w:rsidR="008D7705">
        <w:rPr>
          <w:u w:val="single"/>
        </w:rPr>
        <w:t>4.1</w:t>
      </w:r>
      <w:r w:rsidRPr="00E84BF0">
        <w:rPr>
          <w:u w:val="single"/>
        </w:rPr>
        <w:fldChar w:fldCharType="end"/>
      </w:r>
      <w:r>
        <w:t xml:space="preserve"> with respect to a particular transaction, a </w:t>
      </w:r>
      <w:r w:rsidR="009A05EE">
        <w:t xml:space="preserve">waiving </w:t>
      </w:r>
      <w:r>
        <w:t>Major Investor in fact purchases New Securities in such transaction (such Major Investor, a “</w:t>
      </w:r>
      <w:r>
        <w:rPr>
          <w:b/>
          <w:bCs/>
        </w:rPr>
        <w:t>Participating Investor</w:t>
      </w:r>
      <w:r>
        <w:t xml:space="preserve">”), the aforementioned waiver shall be deemed to apply to any Major Investor only if that Major Investor has been provided the opportunity to purchase a proportional number of the New Securities in such transaction based on the pro rata purchase right of each Major Investor set forth in </w:t>
      </w:r>
      <w:r w:rsidRPr="00E84BF0">
        <w:rPr>
          <w:u w:val="single"/>
        </w:rPr>
        <w:t xml:space="preserve">Section </w:t>
      </w:r>
      <w:r w:rsidRPr="00E84BF0">
        <w:rPr>
          <w:u w:val="single"/>
        </w:rPr>
        <w:fldChar w:fldCharType="begin"/>
      </w:r>
      <w:r w:rsidRPr="00E84BF0">
        <w:rPr>
          <w:u w:val="single"/>
        </w:rPr>
        <w:instrText xml:space="preserve"> REF _Ref145425540 \w \h  \* MERGEFORMAT </w:instrText>
      </w:r>
      <w:r w:rsidRPr="00E84BF0">
        <w:rPr>
          <w:u w:val="single"/>
        </w:rPr>
      </w:r>
      <w:r w:rsidRPr="00E84BF0">
        <w:rPr>
          <w:u w:val="single"/>
        </w:rPr>
        <w:fldChar w:fldCharType="separate"/>
      </w:r>
      <w:r w:rsidR="008D7705">
        <w:rPr>
          <w:u w:val="single"/>
        </w:rPr>
        <w:t>4.1</w:t>
      </w:r>
      <w:r w:rsidRPr="00E84BF0">
        <w:rPr>
          <w:u w:val="single"/>
        </w:rPr>
        <w:fldChar w:fldCharType="end"/>
      </w:r>
      <w:r>
        <w:t>, assuming a transaction size determined based upon the amount purchased by the Participating Investor that invested the largest percentage in such transaction)</w:t>
      </w:r>
      <w:bookmarkStart w:id="288" w:name="_Ref42252656"/>
      <w:r>
        <w:t>,</w:t>
      </w:r>
      <w:bookmarkEnd w:id="288"/>
      <w:r>
        <w:t xml:space="preserve"> (</w:t>
      </w:r>
      <w:r w:rsidR="00D929F0">
        <w:t>ii</w:t>
      </w:r>
      <w:r>
        <w:t xml:space="preserve">) </w:t>
      </w:r>
      <w:r w:rsidRPr="00E84BF0">
        <w:rPr>
          <w:u w:val="single"/>
        </w:rPr>
        <w:t xml:space="preserve">Sections </w:t>
      </w:r>
      <w:r w:rsidRPr="00E84BF0">
        <w:rPr>
          <w:u w:val="single"/>
        </w:rPr>
        <w:fldChar w:fldCharType="begin"/>
      </w:r>
      <w:r w:rsidRPr="00E84BF0">
        <w:rPr>
          <w:u w:val="single"/>
        </w:rPr>
        <w:instrText xml:space="preserve"> REF _Ref42252518 \r \h \* MERGEFORMAT </w:instrText>
      </w:r>
      <w:r w:rsidRPr="00E84BF0">
        <w:rPr>
          <w:u w:val="single"/>
        </w:rPr>
      </w:r>
      <w:r w:rsidRPr="00E84BF0">
        <w:rPr>
          <w:u w:val="single"/>
        </w:rPr>
        <w:fldChar w:fldCharType="separate"/>
      </w:r>
      <w:r w:rsidR="008D7705">
        <w:rPr>
          <w:u w:val="single"/>
        </w:rPr>
        <w:t>3.1</w:t>
      </w:r>
      <w:r w:rsidRPr="00E84BF0">
        <w:rPr>
          <w:u w:val="single"/>
        </w:rPr>
        <w:fldChar w:fldCharType="end"/>
      </w:r>
      <w:r w:rsidR="00202E8A" w:rsidRPr="00202E8A">
        <w:rPr>
          <w:color w:val="000000"/>
        </w:rPr>
        <w:t xml:space="preserve">, </w:t>
      </w:r>
      <w:r>
        <w:rPr>
          <w:color w:val="000000"/>
        </w:rPr>
        <w:fldChar w:fldCharType="begin"/>
      </w:r>
      <w:r>
        <w:rPr>
          <w:color w:val="000000"/>
        </w:rPr>
        <w:instrText xml:space="preserve"> REF _Ref42252526 \r \h \* MERGEFORMAT </w:instrText>
      </w:r>
      <w:r>
        <w:rPr>
          <w:color w:val="000000"/>
        </w:rPr>
      </w:r>
      <w:r>
        <w:rPr>
          <w:color w:val="000000"/>
        </w:rPr>
        <w:fldChar w:fldCharType="separate"/>
      </w:r>
      <w:r w:rsidR="008D7705" w:rsidRPr="008D7705">
        <w:rPr>
          <w:u w:val="single"/>
        </w:rPr>
        <w:t>3.2</w:t>
      </w:r>
      <w:r>
        <w:rPr>
          <w:color w:val="000000"/>
        </w:rPr>
        <w:fldChar w:fldCharType="end"/>
      </w:r>
      <w:r>
        <w:t xml:space="preserve">, </w:t>
      </w:r>
      <w:r w:rsidR="00202E8A">
        <w:t xml:space="preserve">and </w:t>
      </w:r>
      <w:r w:rsidRPr="00E84BF0">
        <w:rPr>
          <w:u w:val="single"/>
        </w:rPr>
        <w:fldChar w:fldCharType="begin"/>
      </w:r>
      <w:r w:rsidRPr="00E84BF0">
        <w:rPr>
          <w:u w:val="single"/>
        </w:rPr>
        <w:instrText xml:space="preserve"> REF _Ref42252531 \w \h </w:instrText>
      </w:r>
      <w:r w:rsidR="00E84BF0">
        <w:rPr>
          <w:u w:val="single"/>
        </w:rPr>
        <w:instrText xml:space="preserve"> \* MERGEFORMAT </w:instrText>
      </w:r>
      <w:r w:rsidRPr="00E84BF0">
        <w:rPr>
          <w:u w:val="single"/>
        </w:rPr>
      </w:r>
      <w:r w:rsidRPr="00E84BF0">
        <w:rPr>
          <w:u w:val="single"/>
        </w:rPr>
        <w:fldChar w:fldCharType="separate"/>
      </w:r>
      <w:r w:rsidR="008D7705">
        <w:rPr>
          <w:u w:val="single"/>
        </w:rPr>
        <w:t>4</w:t>
      </w:r>
      <w:r w:rsidRPr="00E84BF0">
        <w:rPr>
          <w:u w:val="single"/>
        </w:rPr>
        <w:fldChar w:fldCharType="end"/>
      </w:r>
      <w:r>
        <w:t xml:space="preserve"> and any other section of this Agreement applicable to the Major Investors (including this clause (</w:t>
      </w:r>
      <w:r w:rsidR="002974E9">
        <w:t>ii</w:t>
      </w:r>
      <w:r>
        <w:t xml:space="preserve">) of this </w:t>
      </w:r>
      <w:r w:rsidRPr="00E84BF0">
        <w:rPr>
          <w:u w:val="single"/>
        </w:rPr>
        <w:t xml:space="preserve">Section </w:t>
      </w:r>
      <w:r w:rsidRPr="00E84BF0">
        <w:rPr>
          <w:u w:val="single"/>
        </w:rPr>
        <w:fldChar w:fldCharType="begin"/>
      </w:r>
      <w:r w:rsidRPr="00E84BF0">
        <w:rPr>
          <w:u w:val="single"/>
        </w:rPr>
        <w:instrText xml:space="preserve"> REF _Ref42252573 \r \h \* MERGEFORMAT </w:instrText>
      </w:r>
      <w:r w:rsidRPr="00E84BF0">
        <w:rPr>
          <w:u w:val="single"/>
        </w:rPr>
      </w:r>
      <w:r w:rsidRPr="00E84BF0">
        <w:rPr>
          <w:u w:val="single"/>
        </w:rPr>
        <w:fldChar w:fldCharType="separate"/>
      </w:r>
      <w:r w:rsidR="008D7705">
        <w:rPr>
          <w:u w:val="single"/>
        </w:rPr>
        <w:t>6.6</w:t>
      </w:r>
      <w:r w:rsidRPr="00E84BF0">
        <w:rPr>
          <w:u w:val="single"/>
        </w:rPr>
        <w:fldChar w:fldCharType="end"/>
      </w:r>
      <w:r w:rsidR="00D929F0" w:rsidRPr="00E84BF0">
        <w:rPr>
          <w:u w:val="single"/>
        </w:rPr>
        <w:t>(b)</w:t>
      </w:r>
      <w:r>
        <w:t xml:space="preserve">) may be amended, modified, terminated or waived with only (and only with) the written consent of the Company and the </w:t>
      </w:r>
      <w:bookmarkStart w:id="289" w:name="_9kMI1H6ZWu57789HZNyoix"/>
      <w:bookmarkStart w:id="290" w:name="_9kMI1H6ZWu5778ACTNyoix"/>
      <w:r>
        <w:t>holders</w:t>
      </w:r>
      <w:bookmarkEnd w:id="289"/>
      <w:bookmarkEnd w:id="290"/>
      <w:r>
        <w:t xml:space="preserve"> of a majority of the Registrable Securities then outstanding and held by the Major Investors</w:t>
      </w:r>
      <w:r w:rsidR="00D929F0">
        <w:t>, and (iii)</w:t>
      </w:r>
      <w:r w:rsidR="002974E9">
        <w:t xml:space="preserve"> </w:t>
      </w:r>
      <w:r w:rsidR="00D929F0">
        <w:t>no provision that names a specific Investor by name</w:t>
      </w:r>
      <w:r w:rsidR="002974E9">
        <w:t xml:space="preserve"> </w:t>
      </w:r>
      <w:r w:rsidR="002974E9" w:rsidRPr="002974E9">
        <w:t>or grants rights specifically to a particular Investor</w:t>
      </w:r>
      <w:r w:rsidR="002974E9">
        <w:t xml:space="preserve"> (including this clause (iii) of this </w:t>
      </w:r>
      <w:r w:rsidR="002974E9" w:rsidRPr="00E84BF0">
        <w:rPr>
          <w:u w:val="single"/>
        </w:rPr>
        <w:t xml:space="preserve">Section </w:t>
      </w:r>
      <w:r w:rsidR="002974E9" w:rsidRPr="00E84BF0">
        <w:rPr>
          <w:u w:val="single"/>
        </w:rPr>
        <w:fldChar w:fldCharType="begin"/>
      </w:r>
      <w:r w:rsidR="002974E9" w:rsidRPr="00E84BF0">
        <w:rPr>
          <w:u w:val="single"/>
        </w:rPr>
        <w:instrText xml:space="preserve"> REF _Ref42252573 \r \h \* MERGEFORMAT </w:instrText>
      </w:r>
      <w:r w:rsidR="002974E9" w:rsidRPr="00E84BF0">
        <w:rPr>
          <w:u w:val="single"/>
        </w:rPr>
      </w:r>
      <w:r w:rsidR="002974E9" w:rsidRPr="00E84BF0">
        <w:rPr>
          <w:u w:val="single"/>
        </w:rPr>
        <w:fldChar w:fldCharType="separate"/>
      </w:r>
      <w:r w:rsidR="008D7705">
        <w:rPr>
          <w:u w:val="single"/>
        </w:rPr>
        <w:t>6.6</w:t>
      </w:r>
      <w:r w:rsidR="002974E9" w:rsidRPr="00E84BF0">
        <w:rPr>
          <w:u w:val="single"/>
        </w:rPr>
        <w:fldChar w:fldCharType="end"/>
      </w:r>
      <w:r w:rsidR="002974E9" w:rsidRPr="00E84BF0">
        <w:rPr>
          <w:u w:val="single"/>
        </w:rPr>
        <w:t>(b)</w:t>
      </w:r>
      <w:r w:rsidR="002974E9">
        <w:rPr>
          <w:color w:val="000000"/>
        </w:rPr>
        <w:t xml:space="preserve">) </w:t>
      </w:r>
      <w:r w:rsidR="00D929F0">
        <w:t xml:space="preserve">may be amended or waived with respect </w:t>
      </w:r>
      <w:r w:rsidR="00AC762C">
        <w:t>to</w:t>
      </w:r>
      <w:r w:rsidR="00D929F0">
        <w:t xml:space="preserve">, or terminated pursuant to this </w:t>
      </w:r>
      <w:r w:rsidR="00D929F0" w:rsidRPr="00E84BF0">
        <w:rPr>
          <w:u w:val="single"/>
        </w:rPr>
        <w:t>Section 6.6</w:t>
      </w:r>
      <w:r w:rsidR="00D929F0">
        <w:t xml:space="preserve"> </w:t>
      </w:r>
      <w:r w:rsidR="002974E9">
        <w:t>with respect to</w:t>
      </w:r>
      <w:r w:rsidR="00D929F0">
        <w:t xml:space="preserve"> such Investor without such Investor’s </w:t>
      </w:r>
      <w:r w:rsidR="002974E9">
        <w:t xml:space="preserve">prior </w:t>
      </w:r>
      <w:r w:rsidR="00D929F0">
        <w:t>written consent</w:t>
      </w:r>
      <w:r>
        <w:t xml:space="preserve">. </w:t>
      </w:r>
    </w:p>
    <w:p w14:paraId="5C30F7E8" w14:textId="7FF6A5AE" w:rsidR="00D929F0" w:rsidRDefault="00D929F0" w:rsidP="00D929F0">
      <w:pPr>
        <w:pStyle w:val="Heading3"/>
      </w:pPr>
      <w:r>
        <w:t>Further notwithstanding anything in this Agreement to the contrary</w:t>
      </w:r>
      <w:r w:rsidR="00466086">
        <w:t xml:space="preserve">, </w:t>
      </w:r>
      <w:bookmarkStart w:id="291" w:name="DocXTextRef269"/>
      <w:bookmarkStart w:id="292" w:name="_9kMJI5YVtCIA78Dgvlol2BwmrVF75LIHM"/>
      <w:r w:rsidR="00466086" w:rsidRPr="004C212A">
        <w:rPr>
          <w:u w:val="single"/>
        </w:rPr>
        <w:t>Schedule A</w:t>
      </w:r>
      <w:bookmarkEnd w:id="291"/>
      <w:bookmarkEnd w:id="292"/>
      <w:r w:rsidR="00466086">
        <w:t xml:space="preserve"> hereto may be amended by the Company from time to time to add transferees of any Registrable Securities in compliance with the terms of this Agreement without the consent of the other parties; and </w:t>
      </w:r>
      <w:bookmarkStart w:id="293" w:name="DocXTextRef270"/>
      <w:bookmarkStart w:id="294" w:name="_9kMKJ5YVtCIA78Dgvlol2BwmrVF75LIHM"/>
      <w:r w:rsidR="00466086">
        <w:t>Schedule A</w:t>
      </w:r>
      <w:bookmarkEnd w:id="293"/>
      <w:bookmarkEnd w:id="294"/>
      <w:r w:rsidR="00466086">
        <w:t xml:space="preserve"> hereto may also be amended by the Company after the date of this Agreement without the consent of the other parties to add information regarding any additional Investor who becomes a party to this Agreement in accordance with </w:t>
      </w:r>
      <w:r w:rsidR="00466086" w:rsidRPr="00E84BF0">
        <w:rPr>
          <w:u w:val="single"/>
        </w:rPr>
        <w:t xml:space="preserve">Section </w:t>
      </w:r>
      <w:r w:rsidR="00466086" w:rsidRPr="00E84BF0">
        <w:rPr>
          <w:u w:val="single"/>
        </w:rPr>
        <w:fldChar w:fldCharType="begin"/>
      </w:r>
      <w:r w:rsidR="00466086" w:rsidRPr="00E84BF0">
        <w:rPr>
          <w:u w:val="single"/>
        </w:rPr>
        <w:instrText xml:space="preserve"> REF _Ref42252576 \r \h \* MERGEFORMAT </w:instrText>
      </w:r>
      <w:r w:rsidR="00466086" w:rsidRPr="00E84BF0">
        <w:rPr>
          <w:u w:val="single"/>
        </w:rPr>
      </w:r>
      <w:r w:rsidR="00466086" w:rsidRPr="00E84BF0">
        <w:rPr>
          <w:u w:val="single"/>
        </w:rPr>
        <w:fldChar w:fldCharType="separate"/>
      </w:r>
      <w:r w:rsidR="008D7705">
        <w:rPr>
          <w:u w:val="single"/>
        </w:rPr>
        <w:t>6.9</w:t>
      </w:r>
      <w:r w:rsidR="00466086" w:rsidRPr="00E84BF0">
        <w:rPr>
          <w:u w:val="single"/>
        </w:rPr>
        <w:fldChar w:fldCharType="end"/>
      </w:r>
      <w:r w:rsidR="00466086">
        <w:t xml:space="preserve">. </w:t>
      </w:r>
    </w:p>
    <w:p w14:paraId="090E4EB0" w14:textId="53AB5AA0" w:rsidR="00D929F0" w:rsidRDefault="00466086" w:rsidP="00D929F0">
      <w:pPr>
        <w:pStyle w:val="Heading3"/>
      </w:pPr>
      <w:bookmarkStart w:id="295" w:name="_Hlk175146628"/>
      <w:r>
        <w:t xml:space="preserve">The Company shall give prompt </w:t>
      </w:r>
      <w:r w:rsidR="00FB161A">
        <w:t xml:space="preserve">written </w:t>
      </w:r>
      <w:r>
        <w:t xml:space="preserve">notice of any amendment, modification or termination hereof or waiver hereunder to any party hereto </w:t>
      </w:r>
      <w:bookmarkStart w:id="296" w:name="_Hlk175146850"/>
      <w:r w:rsidR="00F76A86">
        <w:t xml:space="preserve">whose rights and/or obligations were affected by such amendment, modification, termination, or waiver and </w:t>
      </w:r>
      <w:bookmarkEnd w:id="296"/>
      <w:r>
        <w:t>that did not consent in writing to such amendment, modification, termination, or waiver</w:t>
      </w:r>
      <w:r w:rsidR="00D929F0">
        <w:t xml:space="preserve">; provided that the failure to provide such notice shall not invalidate any amendment, modification, termination </w:t>
      </w:r>
      <w:r w:rsidR="00F76A86">
        <w:t xml:space="preserve">or waiver </w:t>
      </w:r>
      <w:r w:rsidR="00D929F0">
        <w:t xml:space="preserve">in accordance with this </w:t>
      </w:r>
      <w:r w:rsidR="00D929F0" w:rsidRPr="004C212A">
        <w:rPr>
          <w:u w:val="single"/>
        </w:rPr>
        <w:t>Section 6.6</w:t>
      </w:r>
      <w:bookmarkEnd w:id="295"/>
      <w:r>
        <w:t xml:space="preserve">. </w:t>
      </w:r>
    </w:p>
    <w:p w14:paraId="6E44A8E7" w14:textId="70400C30" w:rsidR="002A1A25" w:rsidRDefault="00466086" w:rsidP="0016073D">
      <w:pPr>
        <w:pStyle w:val="Heading3"/>
      </w:pPr>
      <w:bookmarkStart w:id="297" w:name="_Hlk175146895"/>
      <w:r>
        <w:t xml:space="preserve">Any amendment, modification, termination, or waiver effected in accordance with this </w:t>
      </w:r>
      <w:r w:rsidRPr="00E84BF0">
        <w:rPr>
          <w:u w:val="single"/>
        </w:rPr>
        <w:t xml:space="preserve">Section </w:t>
      </w:r>
      <w:r w:rsidRPr="00E84BF0">
        <w:rPr>
          <w:u w:val="single"/>
        </w:rPr>
        <w:fldChar w:fldCharType="begin"/>
      </w:r>
      <w:r w:rsidRPr="00E84BF0">
        <w:rPr>
          <w:u w:val="single"/>
        </w:rPr>
        <w:instrText xml:space="preserve"> REF _Ref42252573 \r \h \* MERGEFORMAT </w:instrText>
      </w:r>
      <w:r w:rsidRPr="00E84BF0">
        <w:rPr>
          <w:u w:val="single"/>
        </w:rPr>
      </w:r>
      <w:r w:rsidRPr="00E84BF0">
        <w:rPr>
          <w:u w:val="single"/>
        </w:rPr>
        <w:fldChar w:fldCharType="separate"/>
      </w:r>
      <w:r w:rsidR="008D7705">
        <w:rPr>
          <w:u w:val="single"/>
        </w:rPr>
        <w:t>6.6</w:t>
      </w:r>
      <w:r w:rsidRPr="00E84BF0">
        <w:rPr>
          <w:u w:val="single"/>
        </w:rPr>
        <w:fldChar w:fldCharType="end"/>
      </w:r>
      <w:r>
        <w:t xml:space="preserve"> shall be binding on all parties hereto, regardless of whether any such party has consented thereto</w:t>
      </w:r>
      <w:r w:rsidR="00F12BA8">
        <w:t xml:space="preserve"> or received notice thereof</w:t>
      </w:r>
      <w:r>
        <w:t xml:space="preserve">. </w:t>
      </w:r>
      <w:bookmarkEnd w:id="297"/>
    </w:p>
    <w:p w14:paraId="682833FD" w14:textId="27CFE9AF" w:rsidR="007E4E59" w:rsidRPr="000D36C4" w:rsidRDefault="00466086" w:rsidP="0016073D">
      <w:pPr>
        <w:pStyle w:val="Heading3"/>
      </w:pPr>
      <w:r>
        <w:t>No waivers of or exceptions to any term, condition, or provision of this Agreement, in any one or more instances, shall be deemed to be or construed as a further or continuing waiver of any such term, condition, or provision.</w:t>
      </w:r>
      <w:bookmarkEnd w:id="287"/>
    </w:p>
    <w:p w14:paraId="695F5C94" w14:textId="77777777" w:rsidR="00914B3A" w:rsidRPr="006E4407" w:rsidRDefault="00914B3A">
      <w:pPr>
        <w:pStyle w:val="Heading2"/>
        <w:rPr>
          <w:vanish/>
          <w:specVanish/>
        </w:rPr>
      </w:pPr>
      <w:bookmarkStart w:id="298" w:name="_Ref42252574"/>
      <w:r>
        <w:lastRenderedPageBreak/>
        <w:t>Severability</w:t>
      </w:r>
    </w:p>
    <w:p w14:paraId="0A6F9AA5" w14:textId="77777777" w:rsidR="006E4407" w:rsidRPr="006E4407" w:rsidRDefault="00466086" w:rsidP="00AF5C00">
      <w:pPr>
        <w:pStyle w:val="HeadingPara2"/>
      </w:pPr>
      <w:r>
        <w:t>. In case any provision contained in this Agreement is for any reason held to be invalid, illegal or unenforceable in any respect, such invalidity, illegality, or unenforceability shall not affect any other provision of this Agreement, and such invalid, illegal, or unenforceable provision shall be reformed and construed so that it will be valid, legal, and enforceable to the maximum extent permitted by law.</w:t>
      </w:r>
      <w:bookmarkEnd w:id="298"/>
    </w:p>
    <w:p w14:paraId="768C6F99" w14:textId="77777777" w:rsidR="00914B3A" w:rsidRPr="000D36C4" w:rsidRDefault="00914B3A">
      <w:pPr>
        <w:pStyle w:val="Heading2"/>
        <w:rPr>
          <w:vanish/>
          <w:specVanish/>
        </w:rPr>
      </w:pPr>
      <w:bookmarkStart w:id="299" w:name="_Ref42252575"/>
      <w:r>
        <w:t>Aggregation of Stock; Apportionment</w:t>
      </w:r>
    </w:p>
    <w:p w14:paraId="04A2419D" w14:textId="203A2C51" w:rsidR="007E4E59" w:rsidRPr="000D36C4" w:rsidRDefault="00466086" w:rsidP="004E2D06">
      <w:pPr>
        <w:pStyle w:val="HeadingPara2"/>
      </w:pPr>
      <w:r>
        <w:t xml:space="preserve">. All shares of Registrable Securities held or acquired by Affiliates shall be aggregated together for the purpose of determining the availability of any rights under this Agreement and such </w:t>
      </w:r>
      <w:bookmarkStart w:id="300" w:name="_9kR3WTr2664DIL4gkrsiuzk"/>
      <w:r>
        <w:t>Affiliates</w:t>
      </w:r>
      <w:bookmarkEnd w:id="300"/>
      <w:r>
        <w:t xml:space="preserve"> may apportion such rights as among themselves in any manner they deem appropriate.</w:t>
      </w:r>
      <w:bookmarkEnd w:id="299"/>
    </w:p>
    <w:p w14:paraId="5FBBCF6B" w14:textId="77777777" w:rsidR="00914B3A" w:rsidRPr="000D36C4" w:rsidRDefault="00914B3A">
      <w:pPr>
        <w:pStyle w:val="Heading2"/>
        <w:rPr>
          <w:vanish/>
          <w:specVanish/>
        </w:rPr>
      </w:pPr>
      <w:bookmarkStart w:id="301" w:name="_Ref140266799"/>
      <w:bookmarkStart w:id="302" w:name="_Ref42252576"/>
      <w:r>
        <w:t>Additional Investors</w:t>
      </w:r>
      <w:bookmarkEnd w:id="301"/>
    </w:p>
    <w:p w14:paraId="43111C3B" w14:textId="03B90B4E" w:rsidR="007E4E59" w:rsidRPr="000D36C4" w:rsidRDefault="00466086" w:rsidP="003671E4">
      <w:pPr>
        <w:pStyle w:val="HeadingPara2"/>
      </w:pPr>
      <w:r>
        <w:t>. Notwithstanding anything to the contrary contained herein, if the Company issues additional shares of Preferred Stock after the date hereof, pursuant to the Purchase Agreement, any purchaser of such shares of Preferred Stock may become a party to this Agreement by executing and delivering a counterpart signature page to this Agreement, and thereafter shall be deemed an “Investor” for all purposes hereunder. No action or consent by the Investors shall be required for such joinder to this Agreement by such additional Investor, so long as such additional Investor has agreed in writing to be bound by all of the obligations as an “Investor” hereunder.</w:t>
      </w:r>
      <w:bookmarkEnd w:id="302"/>
    </w:p>
    <w:p w14:paraId="0274CD8B" w14:textId="77777777" w:rsidR="00914B3A" w:rsidRPr="000D36C4" w:rsidRDefault="00914B3A">
      <w:pPr>
        <w:pStyle w:val="Heading2"/>
        <w:rPr>
          <w:vanish/>
          <w:specVanish/>
        </w:rPr>
      </w:pPr>
      <w:bookmarkStart w:id="303" w:name="_Ref42252577"/>
      <w:r>
        <w:t>Entire Agreement</w:t>
      </w:r>
    </w:p>
    <w:p w14:paraId="55FDF342" w14:textId="2417F469" w:rsidR="007E4E59" w:rsidRPr="000D36C4" w:rsidRDefault="00466086" w:rsidP="004E2D06">
      <w:pPr>
        <w:pStyle w:val="HeadingPara2"/>
      </w:pPr>
      <w:r>
        <w:t>. [Upon the effectiveness of this Agreement, the Prior Agreement shall be deemed amended and restated and superseded and replaced in its entirety by this Agreement, and shall be of no further force or effect.]</w:t>
      </w:r>
      <w:r>
        <w:rPr>
          <w:rStyle w:val="FootnoteReference"/>
        </w:rPr>
        <w:footnoteReference w:id="5"/>
      </w:r>
      <w:r>
        <w:t xml:space="preserve"> </w:t>
      </w:r>
      <w:bookmarkStart w:id="304" w:name="_Hlk140244524"/>
      <w:r>
        <w:t>This Agreement (including the Exhibits and Schedules hereto) together with the other Transaction Agreements (as defined in the Purchase Agreement)</w:t>
      </w:r>
      <w:bookmarkEnd w:id="304"/>
      <w:r>
        <w:t xml:space="preserve"> </w:t>
      </w:r>
      <w:r w:rsidR="009A5F80">
        <w:t xml:space="preserve">and any side letters in effect between the Company and any Investor as of the date of this Agreement </w:t>
      </w:r>
      <w:r>
        <w:t xml:space="preserve">constitute the full and entire understanding and agreement among the parties with respect to the subject matter hereof, and any other written or oral agreement relating to the subject matter hereof existing between or among any of the parties are expressly canceled. </w:t>
      </w:r>
      <w:bookmarkEnd w:id="303"/>
    </w:p>
    <w:p w14:paraId="0A6A19CD" w14:textId="77777777" w:rsidR="00914B3A" w:rsidRPr="000D36C4" w:rsidRDefault="00914B3A">
      <w:pPr>
        <w:pStyle w:val="Heading2"/>
        <w:rPr>
          <w:vanish/>
          <w:color w:val="000000"/>
          <w:specVanish/>
        </w:rPr>
      </w:pPr>
      <w:bookmarkStart w:id="305" w:name="_Ref42252578"/>
      <w:r>
        <w:t>Dispute Resolution</w:t>
      </w:r>
    </w:p>
    <w:p w14:paraId="45D289E6" w14:textId="3569DB0D" w:rsidR="0057268E" w:rsidRPr="0057268E" w:rsidRDefault="00466086" w:rsidP="0057268E">
      <w:pPr>
        <w:pStyle w:val="HeadingPara2"/>
        <w:rPr>
          <w:vertAlign w:val="superscript"/>
          <w:lang w:eastAsia="ko-KR"/>
        </w:rPr>
      </w:pPr>
      <w:r>
        <w:t>.</w:t>
      </w:r>
      <w:r>
        <w:rPr>
          <w:rStyle w:val="FootnoteReference"/>
        </w:rPr>
        <w:t xml:space="preserve"> </w:t>
      </w:r>
      <w:bookmarkEnd w:id="305"/>
      <w:r w:rsidR="0057268E">
        <w:t xml:space="preserve"> The parties (a) hereby irrevocably and unconditionally submit to the jurisdiction of the state courts of California and to the jurisdiction of the United States District Court for the Northern </w:t>
      </w:r>
      <w:r w:rsidR="0057268E" w:rsidRPr="009C4C40">
        <w:t xml:space="preserve">District of </w:t>
      </w:r>
      <w:r w:rsidR="0057268E">
        <w:t xml:space="preserve">California for the purpose of any suit, action or other proceeding arising out of or based upon this Agreement, (b) agree not to commence any suit, action or other proceeding arising out of or based upon this Agreement except in the state courts of </w:t>
      </w:r>
      <w:r w:rsidR="0057268E" w:rsidRPr="0057268E">
        <w:t xml:space="preserve">California </w:t>
      </w:r>
      <w:r w:rsidR="0057268E">
        <w:t xml:space="preserve">or the United States District Court for the Northern </w:t>
      </w:r>
      <w:r w:rsidR="0057268E" w:rsidRPr="009C4C40">
        <w:t xml:space="preserve">District of </w:t>
      </w:r>
      <w:r w:rsidR="0057268E">
        <w:t>California,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w:t>
      </w:r>
    </w:p>
    <w:p w14:paraId="39011F9C" w14:textId="207D6F49" w:rsidR="0057268E" w:rsidRDefault="0057268E" w:rsidP="0057268E">
      <w:pPr>
        <w:pStyle w:val="HeadingPara2"/>
      </w:pPr>
      <w:r>
        <w:t xml:space="preserve">Each of the parties to this Agreement consents to personal jurisdiction for any equitable action sought in the U.S. District Court for the Northern </w:t>
      </w:r>
      <w:r w:rsidRPr="009C4C40">
        <w:t xml:space="preserve">District of </w:t>
      </w:r>
      <w:r>
        <w:t>California or any court of the state of California having subject matter jurisdiction.</w:t>
      </w:r>
    </w:p>
    <w:p w14:paraId="070DB256" w14:textId="139B1C84" w:rsidR="0057268E" w:rsidRDefault="0057268E" w:rsidP="0057268E">
      <w:pPr>
        <w:pStyle w:val="HeadingPara2"/>
      </w:pPr>
      <w:r>
        <w:t xml:space="preserve">WAIVER OF JURY TRIAL: EACH PARTY HEREBY WAIVES ITS RIGHTS TO A JURY TRIAL OF ANY CLAIM OR CAUSE OF ACTION BASED UPON OR ARISING OUT OF THIS AGREEMENT, THE OTHER TRANSACTION AGREEMENTS, THE SECURITIES OR THE SUBJECT MATTER HEREOF OR THEREOF. THE SCOPE OF THIS WAIVER IS INTENDED TO BE ALL-ENCOMPASSING OF ANY AND ALL DISPUTES THAT MAY BE FILED IN ANY COURT AND </w:t>
      </w:r>
      <w:r>
        <w:lastRenderedPageBreak/>
        <w:t>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p>
    <w:p w14:paraId="1A717B0F" w14:textId="1B7BAF50" w:rsidR="000D36C4" w:rsidRPr="000D36C4" w:rsidRDefault="0057268E" w:rsidP="000D36C4">
      <w:pPr>
        <w:pStyle w:val="Plain"/>
        <w:widowControl/>
        <w:shd w:val="clear" w:color="auto" w:fill="auto"/>
        <w:autoSpaceDE/>
        <w:autoSpaceDN/>
        <w:adjustRightInd/>
      </w:pPr>
      <w:r w:rsidRPr="0057268E">
        <w:t>If the waiver of jury trial set forth in this section is not enforceable, then any claim or cause of action based upon or arising out of this Agreement, the other Transaction Agreements, the securities or the subject matter hereof or thereof shall be settled by judicial reference pursuant to California Code of Civil Procedure Section 638 et seq. before a referee sitting without a jury, such referee to be mutually acceptable to the parties. Each party will bear an equal share of the cost for the judicial referee. This paragraph shall not restrict a party from exercising remedies under the Uniform Commercial Code or from exercising pre judgment remedies under applicable law.</w:t>
      </w:r>
    </w:p>
    <w:p w14:paraId="0E8AAE84" w14:textId="77777777" w:rsidR="004E2D06" w:rsidRPr="004E2D06" w:rsidRDefault="00A16455">
      <w:pPr>
        <w:pStyle w:val="Heading2"/>
        <w:rPr>
          <w:vanish/>
          <w:specVanish/>
        </w:rPr>
      </w:pPr>
      <w:r>
        <w:t>Costs of Enforcement</w:t>
      </w:r>
    </w:p>
    <w:p w14:paraId="7955BD0A" w14:textId="710E0EE0" w:rsidR="00914B3A" w:rsidRPr="000D36C4" w:rsidRDefault="004875DB" w:rsidP="004E2D06">
      <w:pPr>
        <w:pStyle w:val="HeadingPara2"/>
      </w:pPr>
      <w:r>
        <w:t>. Each party will bear its own costs in respect of any disputes arising under this Agreement.</w:t>
      </w:r>
    </w:p>
    <w:p w14:paraId="69422696" w14:textId="77777777" w:rsidR="00914B3A" w:rsidRPr="000D36C4" w:rsidRDefault="00914B3A">
      <w:pPr>
        <w:pStyle w:val="Heading2"/>
        <w:rPr>
          <w:vanish/>
          <w:specVanish/>
        </w:rPr>
      </w:pPr>
      <w:bookmarkStart w:id="306" w:name="_Ref42252591"/>
      <w:r>
        <w:t>Delays or Omissions</w:t>
      </w:r>
    </w:p>
    <w:p w14:paraId="29CF2F5F" w14:textId="77777777" w:rsidR="007E4E59" w:rsidRPr="000D36C4" w:rsidRDefault="00466086" w:rsidP="004E2D06">
      <w:pPr>
        <w:pStyle w:val="HeadingPara2"/>
      </w:pPr>
      <w:r>
        <w:t>.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or acquiescence to any such breach or default, or to any similar breach or default thereafter occurring, nor shall any waiver of any single breach or default be deemed a waiver of any other breach or default theretofore or thereafter occurring. All remedies, whether under this Agreement or by law or otherwise afforded to any party, shall be cumulative and not alternative.</w:t>
      </w:r>
      <w:bookmarkEnd w:id="306"/>
    </w:p>
    <w:p w14:paraId="0C59120D" w14:textId="77777777" w:rsidR="009812EF" w:rsidRPr="000D36C4" w:rsidRDefault="009812EF" w:rsidP="00445EDB">
      <w:pPr>
        <w:jc w:val="center"/>
      </w:pPr>
      <w:r>
        <w:t>[</w:t>
      </w:r>
      <w:r w:rsidRPr="005D4F98">
        <w:rPr>
          <w:i/>
          <w:iCs/>
        </w:rPr>
        <w:t>Signature Page Follows</w:t>
      </w:r>
      <w:r>
        <w:t>]</w:t>
      </w:r>
    </w:p>
    <w:p w14:paraId="50163B96" w14:textId="77777777" w:rsidR="00914B3A" w:rsidRPr="000D36C4" w:rsidRDefault="00914B3A" w:rsidP="00445EDB">
      <w:pPr>
        <w:pStyle w:val="BodyText"/>
        <w:sectPr w:rsidR="00914B3A" w:rsidRPr="000D36C4" w:rsidSect="00CE7B6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540" w:gutter="0"/>
          <w:cols w:space="720"/>
          <w:noEndnote/>
          <w:titlePg/>
          <w:docGrid w:linePitch="326"/>
        </w:sectPr>
      </w:pPr>
    </w:p>
    <w:p w14:paraId="7FF8D28A" w14:textId="2B569555" w:rsidR="00914B3A" w:rsidRPr="000D36C4" w:rsidRDefault="00914B3A" w:rsidP="00445EDB">
      <w:pPr>
        <w:pStyle w:val="BodyText"/>
        <w:rPr>
          <w:b/>
          <w:bCs/>
          <w:i/>
          <w:iCs/>
        </w:rPr>
      </w:pPr>
      <w:r>
        <w:lastRenderedPageBreak/>
        <w:t>IN WITNESS WHEREOF, the parties have executed this [</w:t>
      </w:r>
      <w:bookmarkStart w:id="307" w:name="_9kMHG5YVt4886DNSDoqqijgrvaW4K349u"/>
      <w:r>
        <w:t>Amended and Restated</w:t>
      </w:r>
      <w:bookmarkEnd w:id="307"/>
      <w:r>
        <w:t xml:space="preserve">] Investors’ </w:t>
      </w:r>
      <w:bookmarkStart w:id="308" w:name="_9kR3WTr2664EIbOkkyASBzymvwyE"/>
      <w:r>
        <w:t>Rights Agreement</w:t>
      </w:r>
      <w:bookmarkEnd w:id="308"/>
      <w:r>
        <w:t xml:space="preserve"> as of the date first written above.</w:t>
      </w:r>
    </w:p>
    <w:p w14:paraId="07B1EB4D" w14:textId="77777777" w:rsidR="005A34A0" w:rsidRPr="000D36C4" w:rsidRDefault="005A34A0" w:rsidP="00445EDB">
      <w:pPr>
        <w:pStyle w:val="BodyText"/>
      </w:pPr>
    </w:p>
    <w:p w14:paraId="4F9CA37E" w14:textId="77777777" w:rsidR="005A34A0" w:rsidRPr="000D36C4" w:rsidRDefault="005A34A0" w:rsidP="00445EDB">
      <w:pPr>
        <w:pStyle w:val="Company-1"/>
        <w:keepLines w:val="0"/>
        <w:tabs>
          <w:tab w:val="clear" w:pos="5310"/>
          <w:tab w:val="left" w:pos="4320"/>
        </w:tabs>
        <w:adjustRightInd/>
        <w:ind w:left="0"/>
        <w:rPr>
          <w:i/>
        </w:rPr>
      </w:pPr>
      <w:r>
        <w:t>COMPANY:</w:t>
      </w:r>
      <w:r>
        <w:tab/>
        <w:t>[</w:t>
      </w:r>
      <w:r>
        <w:rPr>
          <w:i/>
        </w:rPr>
        <w:t>Insert Company Name</w:t>
      </w:r>
      <w:r>
        <w:t>]</w:t>
      </w:r>
    </w:p>
    <w:p w14:paraId="4738ED4B" w14:textId="77777777" w:rsidR="005A34A0" w:rsidRPr="000D36C4" w:rsidRDefault="005A34A0" w:rsidP="00445EDB">
      <w:pPr>
        <w:pStyle w:val="Company-1"/>
        <w:keepLines w:val="0"/>
        <w:tabs>
          <w:tab w:val="left" w:pos="4320"/>
        </w:tabs>
        <w:adjustRightInd/>
        <w:spacing w:after="0"/>
        <w:rPr>
          <w:i/>
        </w:rPr>
      </w:pPr>
    </w:p>
    <w:p w14:paraId="6DF42BE3" w14:textId="77777777" w:rsidR="005A34A0" w:rsidRPr="000D36C4" w:rsidRDefault="005A34A0" w:rsidP="00445EDB">
      <w:pPr>
        <w:pStyle w:val="Company-1"/>
        <w:keepLines w:val="0"/>
        <w:tabs>
          <w:tab w:val="clear" w:pos="5310"/>
          <w:tab w:val="left" w:pos="4320"/>
          <w:tab w:val="left" w:pos="5040"/>
        </w:tabs>
        <w:adjustRightInd/>
        <w:spacing w:after="0"/>
        <w:ind w:left="4320" w:hanging="4320"/>
      </w:pPr>
      <w:r>
        <w:tab/>
        <w:t>By:</w:t>
      </w:r>
      <w:r>
        <w:tab/>
      </w:r>
      <w:r>
        <w:rPr>
          <w:u w:val="single"/>
        </w:rPr>
        <w:tab/>
      </w:r>
    </w:p>
    <w:p w14:paraId="4B4494E8" w14:textId="77777777" w:rsidR="005A34A0" w:rsidRPr="000D36C4" w:rsidRDefault="005A34A0" w:rsidP="00445EDB">
      <w:pPr>
        <w:pStyle w:val="Company-1"/>
        <w:keepLines w:val="0"/>
        <w:tabs>
          <w:tab w:val="clear" w:pos="5310"/>
          <w:tab w:val="left" w:pos="4320"/>
          <w:tab w:val="left" w:pos="5040"/>
        </w:tabs>
        <w:adjustRightInd/>
        <w:spacing w:after="0"/>
        <w:ind w:left="4320" w:hanging="4320"/>
        <w:rPr>
          <w:u w:val="single"/>
        </w:rPr>
      </w:pPr>
      <w:r>
        <w:tab/>
        <w:t>Name:</w:t>
      </w:r>
      <w:r>
        <w:tab/>
      </w:r>
      <w:r>
        <w:rPr>
          <w:u w:val="single"/>
        </w:rPr>
        <w:tab/>
      </w:r>
    </w:p>
    <w:p w14:paraId="2111626C" w14:textId="77777777" w:rsidR="00F96305" w:rsidRPr="000D36C4" w:rsidRDefault="005A34A0" w:rsidP="00F96305">
      <w:pPr>
        <w:pStyle w:val="Company-1"/>
        <w:keepLines w:val="0"/>
        <w:tabs>
          <w:tab w:val="clear" w:pos="5310"/>
          <w:tab w:val="left" w:pos="4320"/>
          <w:tab w:val="left" w:pos="5040"/>
        </w:tabs>
        <w:adjustRightInd/>
        <w:spacing w:after="0"/>
        <w:ind w:left="4320" w:hanging="4320"/>
        <w:rPr>
          <w:i/>
          <w:iCs/>
          <w:u w:val="single"/>
        </w:rPr>
      </w:pPr>
      <w:r>
        <w:tab/>
        <w:t>Title:</w:t>
      </w:r>
      <w:r>
        <w:tab/>
      </w:r>
      <w:r>
        <w:rPr>
          <w:u w:val="single"/>
        </w:rPr>
        <w:tab/>
      </w:r>
      <w:r>
        <w:br/>
      </w:r>
      <w:bookmarkStart w:id="309" w:name="_Hlk141879514"/>
      <w:r>
        <w:t xml:space="preserve">Address: </w:t>
      </w:r>
      <w:r>
        <w:rPr>
          <w:u w:val="single"/>
        </w:rPr>
        <w:tab/>
      </w:r>
      <w:r>
        <w:rPr>
          <w:u w:val="single"/>
        </w:rPr>
        <w:br/>
      </w:r>
      <w:r>
        <w:rPr>
          <w:u w:val="single"/>
        </w:rPr>
        <w:tab/>
      </w:r>
      <w:r>
        <w:rPr>
          <w:u w:val="single"/>
        </w:rPr>
        <w:tab/>
      </w:r>
      <w:r>
        <w:rPr>
          <w:u w:val="single"/>
        </w:rPr>
        <w:br/>
      </w:r>
      <w:r>
        <w:rPr>
          <w:u w:val="single"/>
        </w:rPr>
        <w:tab/>
      </w:r>
      <w:r>
        <w:rPr>
          <w:u w:val="single"/>
        </w:rPr>
        <w:tab/>
      </w:r>
    </w:p>
    <w:p w14:paraId="32F9906B" w14:textId="33ABADD4" w:rsidR="00F96305" w:rsidRPr="000D36C4" w:rsidRDefault="00F96305" w:rsidP="00F96305">
      <w:pPr>
        <w:pStyle w:val="Company-1"/>
        <w:keepLines w:val="0"/>
        <w:tabs>
          <w:tab w:val="clear" w:pos="5310"/>
          <w:tab w:val="left" w:pos="4320"/>
          <w:tab w:val="left" w:pos="5040"/>
        </w:tabs>
        <w:adjustRightInd/>
        <w:spacing w:after="0"/>
        <w:ind w:left="4320" w:hanging="4320"/>
        <w:rPr>
          <w:u w:val="single"/>
        </w:rPr>
      </w:pPr>
      <w:r>
        <w:tab/>
        <w:t xml:space="preserve">Email: </w:t>
      </w:r>
      <w:r>
        <w:rPr>
          <w:u w:val="single"/>
        </w:rPr>
        <w:tab/>
      </w:r>
      <w:r>
        <w:rPr>
          <w:u w:val="single"/>
        </w:rPr>
        <w:tab/>
      </w:r>
      <w:bookmarkEnd w:id="309"/>
    </w:p>
    <w:p w14:paraId="2B2621C7" w14:textId="77777777" w:rsidR="005A34A0" w:rsidRPr="000D36C4" w:rsidRDefault="005A34A0" w:rsidP="009A5F80">
      <w:pPr>
        <w:pStyle w:val="Company-1"/>
        <w:keepLines w:val="0"/>
        <w:tabs>
          <w:tab w:val="clear" w:pos="5310"/>
          <w:tab w:val="left" w:pos="4320"/>
          <w:tab w:val="left" w:pos="5040"/>
        </w:tabs>
        <w:adjustRightInd/>
        <w:spacing w:after="0"/>
        <w:ind w:left="0"/>
        <w:rPr>
          <w:u w:val="single"/>
        </w:rPr>
      </w:pPr>
    </w:p>
    <w:p w14:paraId="70EA9F04" w14:textId="77777777" w:rsidR="005A34A0" w:rsidRPr="000D36C4" w:rsidRDefault="005A34A0" w:rsidP="00445EDB">
      <w:pPr>
        <w:pStyle w:val="Company-1"/>
        <w:keepLines w:val="0"/>
        <w:tabs>
          <w:tab w:val="clear" w:pos="5310"/>
          <w:tab w:val="left" w:pos="4320"/>
          <w:tab w:val="left" w:pos="5040"/>
        </w:tabs>
        <w:adjustRightInd/>
        <w:spacing w:after="0"/>
        <w:ind w:left="4320" w:hanging="4320"/>
        <w:rPr>
          <w:u w:val="single"/>
        </w:rPr>
      </w:pPr>
    </w:p>
    <w:p w14:paraId="73E3407B" w14:textId="77777777" w:rsidR="005A34A0" w:rsidRPr="000D36C4" w:rsidRDefault="005A34A0" w:rsidP="00445EDB">
      <w:pPr>
        <w:pStyle w:val="Company-1"/>
        <w:keepLines w:val="0"/>
        <w:tabs>
          <w:tab w:val="clear" w:pos="5310"/>
          <w:tab w:val="left" w:pos="4320"/>
          <w:tab w:val="left" w:pos="5040"/>
        </w:tabs>
        <w:adjustRightInd/>
        <w:spacing w:after="0"/>
        <w:ind w:left="4320" w:hanging="4320"/>
        <w:rPr>
          <w:i/>
        </w:rPr>
      </w:pPr>
      <w:r>
        <w:t>INVESTORS:</w:t>
      </w:r>
      <w:r>
        <w:tab/>
        <w:t>[</w:t>
      </w:r>
      <w:r>
        <w:rPr>
          <w:i/>
        </w:rPr>
        <w:t>Insert Investor Name]</w:t>
      </w:r>
    </w:p>
    <w:p w14:paraId="702D9B67" w14:textId="77777777" w:rsidR="005A34A0" w:rsidRPr="000D36C4" w:rsidRDefault="005A34A0" w:rsidP="00445EDB">
      <w:pPr>
        <w:pStyle w:val="Company-1"/>
        <w:keepLines w:val="0"/>
        <w:tabs>
          <w:tab w:val="clear" w:pos="5310"/>
          <w:tab w:val="left" w:pos="4320"/>
          <w:tab w:val="left" w:pos="5040"/>
        </w:tabs>
        <w:adjustRightInd/>
        <w:spacing w:after="0"/>
        <w:ind w:left="4320" w:hanging="4320"/>
      </w:pPr>
    </w:p>
    <w:p w14:paraId="20AFADD7" w14:textId="77777777" w:rsidR="005A34A0" w:rsidRPr="000D36C4" w:rsidRDefault="005A34A0" w:rsidP="00445EDB">
      <w:pPr>
        <w:pStyle w:val="Company-1"/>
        <w:keepLines w:val="0"/>
        <w:tabs>
          <w:tab w:val="clear" w:pos="5310"/>
          <w:tab w:val="left" w:pos="4320"/>
          <w:tab w:val="left" w:pos="5040"/>
        </w:tabs>
        <w:adjustRightInd/>
        <w:spacing w:after="0"/>
        <w:ind w:left="4320" w:hanging="4320"/>
      </w:pPr>
    </w:p>
    <w:p w14:paraId="0EACC87B" w14:textId="77777777" w:rsidR="005A34A0" w:rsidRPr="000D36C4" w:rsidRDefault="005A34A0" w:rsidP="00445EDB">
      <w:pPr>
        <w:pStyle w:val="Company-1"/>
        <w:keepLines w:val="0"/>
        <w:tabs>
          <w:tab w:val="clear" w:pos="5310"/>
          <w:tab w:val="left" w:pos="4320"/>
          <w:tab w:val="left" w:pos="5040"/>
        </w:tabs>
        <w:adjustRightInd/>
        <w:spacing w:after="0"/>
        <w:ind w:left="4320" w:hanging="4320"/>
      </w:pPr>
      <w:r>
        <w:tab/>
        <w:t>By:</w:t>
      </w:r>
      <w:r>
        <w:tab/>
      </w:r>
      <w:r>
        <w:rPr>
          <w:u w:val="single"/>
        </w:rPr>
        <w:tab/>
      </w:r>
    </w:p>
    <w:p w14:paraId="1593D314" w14:textId="77777777" w:rsidR="005A34A0" w:rsidRPr="000D36C4" w:rsidRDefault="005A34A0" w:rsidP="00445EDB">
      <w:pPr>
        <w:pStyle w:val="Company-1"/>
        <w:keepLines w:val="0"/>
        <w:tabs>
          <w:tab w:val="clear" w:pos="5310"/>
          <w:tab w:val="left" w:pos="4320"/>
          <w:tab w:val="left" w:pos="5040"/>
        </w:tabs>
        <w:adjustRightInd/>
        <w:spacing w:after="0"/>
        <w:ind w:left="4320" w:hanging="4320"/>
      </w:pPr>
      <w:r>
        <w:tab/>
        <w:t>Name:</w:t>
      </w:r>
      <w:r>
        <w:tab/>
      </w:r>
      <w:r>
        <w:rPr>
          <w:u w:val="single"/>
        </w:rPr>
        <w:tab/>
      </w:r>
    </w:p>
    <w:p w14:paraId="6315692D" w14:textId="77777777" w:rsidR="005A34A0" w:rsidRPr="000D36C4" w:rsidRDefault="005A34A0" w:rsidP="00445EDB">
      <w:pPr>
        <w:pStyle w:val="Company-1"/>
        <w:keepLines w:val="0"/>
        <w:tabs>
          <w:tab w:val="clear" w:pos="5310"/>
          <w:tab w:val="left" w:pos="4320"/>
          <w:tab w:val="left" w:pos="5040"/>
        </w:tabs>
        <w:adjustRightInd/>
        <w:spacing w:after="0"/>
        <w:ind w:left="4320" w:hanging="4320"/>
        <w:rPr>
          <w:u w:val="single"/>
        </w:rPr>
      </w:pPr>
      <w:r>
        <w:tab/>
        <w:t>Title:</w:t>
      </w:r>
      <w:r>
        <w:tab/>
      </w:r>
      <w:r>
        <w:rPr>
          <w:u w:val="single"/>
        </w:rPr>
        <w:tab/>
      </w:r>
    </w:p>
    <w:p w14:paraId="4770C50E" w14:textId="77777777" w:rsidR="005A34A0" w:rsidRPr="000D36C4" w:rsidRDefault="005A34A0" w:rsidP="00445EDB">
      <w:pPr>
        <w:pStyle w:val="Company-1"/>
        <w:keepLines w:val="0"/>
        <w:tabs>
          <w:tab w:val="clear" w:pos="5310"/>
          <w:tab w:val="left" w:pos="4320"/>
          <w:tab w:val="left" w:pos="5040"/>
        </w:tabs>
        <w:adjustRightInd/>
        <w:spacing w:after="0"/>
        <w:ind w:left="4320" w:hanging="4320"/>
      </w:pPr>
    </w:p>
    <w:p w14:paraId="4C447E88" w14:textId="77777777" w:rsidR="005A34A0" w:rsidRPr="000D36C4" w:rsidRDefault="005A34A0" w:rsidP="00445EDB">
      <w:pPr>
        <w:rPr>
          <w:b/>
          <w:color w:val="000000"/>
          <w:u w:val="single"/>
        </w:rPr>
      </w:pPr>
    </w:p>
    <w:p w14:paraId="15FD57C1" w14:textId="77777777" w:rsidR="005A34A0" w:rsidRPr="000D36C4" w:rsidRDefault="005A34A0" w:rsidP="00445EDB">
      <w:pPr>
        <w:pStyle w:val="Company-1"/>
        <w:keepLines w:val="0"/>
        <w:tabs>
          <w:tab w:val="clear" w:pos="5310"/>
          <w:tab w:val="left" w:pos="4320"/>
          <w:tab w:val="left" w:pos="5040"/>
        </w:tabs>
        <w:adjustRightInd/>
        <w:spacing w:after="0"/>
        <w:ind w:left="4320" w:hanging="4320"/>
        <w:rPr>
          <w:u w:val="single"/>
        </w:rPr>
      </w:pPr>
    </w:p>
    <w:p w14:paraId="331C55F0" w14:textId="77777777" w:rsidR="005A34A0" w:rsidRPr="000D36C4" w:rsidRDefault="005A34A0" w:rsidP="00445EDB">
      <w:pPr>
        <w:pStyle w:val="Company-1"/>
        <w:keepLines w:val="0"/>
        <w:tabs>
          <w:tab w:val="clear" w:pos="5310"/>
          <w:tab w:val="left" w:pos="4320"/>
          <w:tab w:val="left" w:pos="5040"/>
        </w:tabs>
        <w:adjustRightInd/>
        <w:spacing w:after="0"/>
        <w:ind w:left="4320" w:hanging="4320"/>
      </w:pPr>
    </w:p>
    <w:p w14:paraId="6119B552" w14:textId="77777777" w:rsidR="005A34A0" w:rsidRPr="000D36C4" w:rsidRDefault="005A34A0" w:rsidP="00445EDB">
      <w:pPr>
        <w:rPr>
          <w:b/>
          <w:color w:val="000000"/>
          <w:u w:val="single"/>
        </w:rPr>
        <w:sectPr w:rsidR="005A34A0" w:rsidRPr="000D36C4" w:rsidSect="00CE7B66">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295" w:left="1440" w:header="720" w:footer="540" w:gutter="0"/>
          <w:pgNumType w:start="1"/>
          <w:cols w:space="720"/>
          <w:noEndnote/>
          <w:docGrid w:linePitch="326"/>
        </w:sectPr>
      </w:pPr>
    </w:p>
    <w:p w14:paraId="324E0287" w14:textId="77777777" w:rsidR="005A34A0" w:rsidRPr="000D36C4" w:rsidRDefault="005A34A0" w:rsidP="00445EDB">
      <w:pPr>
        <w:adjustRightInd/>
        <w:spacing w:after="240"/>
        <w:jc w:val="center"/>
        <w:rPr>
          <w:b/>
          <w:u w:val="single"/>
        </w:rPr>
      </w:pPr>
      <w:bookmarkStart w:id="310" w:name="_9kR3WTrAG856Betjmj09ukpTD53JGFK"/>
      <w:r>
        <w:rPr>
          <w:b/>
          <w:u w:val="single"/>
        </w:rPr>
        <w:lastRenderedPageBreak/>
        <w:t>SCHEDULE A</w:t>
      </w:r>
    </w:p>
    <w:p w14:paraId="75C3B28E" w14:textId="77777777" w:rsidR="005A34A0" w:rsidRPr="000D36C4" w:rsidRDefault="005A34A0" w:rsidP="00445EDB">
      <w:pPr>
        <w:pStyle w:val="Center"/>
        <w:widowControl/>
        <w:rPr>
          <w:sz w:val="22"/>
          <w:szCs w:val="22"/>
        </w:rPr>
      </w:pPr>
      <w:r>
        <w:rPr>
          <w:sz w:val="22"/>
          <w:szCs w:val="22"/>
        </w:rPr>
        <w:t>INVESTORS</w:t>
      </w:r>
    </w:p>
    <w:tbl>
      <w:tblPr>
        <w:tblW w:w="5000" w:type="pct"/>
        <w:tblLook w:val="0000" w:firstRow="0" w:lastRow="0" w:firstColumn="0" w:lastColumn="0" w:noHBand="0" w:noVBand="0"/>
      </w:tblPr>
      <w:tblGrid>
        <w:gridCol w:w="9360"/>
      </w:tblGrid>
      <w:tr w:rsidR="005A34A0" w:rsidRPr="000D36C4" w14:paraId="000DB9F9" w14:textId="77777777" w:rsidTr="00F15E26">
        <w:trPr>
          <w:trHeight w:val="1413"/>
        </w:trPr>
        <w:tc>
          <w:tcPr>
            <w:tcW w:w="5000" w:type="pct"/>
          </w:tcPr>
          <w:p w14:paraId="4E8B83E2" w14:textId="77777777" w:rsidR="005A34A0" w:rsidRPr="000D36C4" w:rsidRDefault="005A34A0" w:rsidP="00445EDB">
            <w:pPr>
              <w:jc w:val="both"/>
            </w:pPr>
            <w:r>
              <w:t>Investor Name</w:t>
            </w:r>
          </w:p>
          <w:p w14:paraId="594F5D7A" w14:textId="77777777" w:rsidR="005A34A0" w:rsidRPr="000D36C4" w:rsidRDefault="005A34A0" w:rsidP="00445EDB">
            <w:pPr>
              <w:jc w:val="both"/>
            </w:pPr>
            <w:r>
              <w:t>Address</w:t>
            </w:r>
          </w:p>
          <w:p w14:paraId="54C1EC22" w14:textId="77777777" w:rsidR="005A34A0" w:rsidRPr="000D36C4" w:rsidRDefault="005A34A0" w:rsidP="00445EDB">
            <w:pPr>
              <w:jc w:val="both"/>
            </w:pPr>
            <w:r>
              <w:t>Phone Number</w:t>
            </w:r>
          </w:p>
          <w:p w14:paraId="2E8CB3E3" w14:textId="77777777" w:rsidR="005A34A0" w:rsidRPr="000D36C4" w:rsidRDefault="005A34A0" w:rsidP="00445EDB">
            <w:pPr>
              <w:jc w:val="both"/>
            </w:pPr>
            <w:r>
              <w:t>Email</w:t>
            </w:r>
          </w:p>
          <w:p w14:paraId="66DDD5A4" w14:textId="77777777" w:rsidR="005A34A0" w:rsidRPr="000D36C4" w:rsidRDefault="005A34A0" w:rsidP="00445EDB">
            <w:pPr>
              <w:jc w:val="both"/>
            </w:pPr>
            <w:r>
              <w:t>[Counsel cc, if any]</w:t>
            </w:r>
          </w:p>
          <w:p w14:paraId="6759EE09" w14:textId="77777777" w:rsidR="005A34A0" w:rsidRPr="000D36C4" w:rsidRDefault="005A34A0" w:rsidP="00445EDB">
            <w:pPr>
              <w:jc w:val="both"/>
            </w:pPr>
          </w:p>
        </w:tc>
      </w:tr>
      <w:tr w:rsidR="005A34A0" w:rsidRPr="000D36C4" w14:paraId="4B5EC98F" w14:textId="77777777" w:rsidTr="00F15E26">
        <w:trPr>
          <w:trHeight w:val="1413"/>
        </w:trPr>
        <w:tc>
          <w:tcPr>
            <w:tcW w:w="5000" w:type="pct"/>
          </w:tcPr>
          <w:p w14:paraId="29A42BBF" w14:textId="77777777" w:rsidR="005A34A0" w:rsidRPr="000D36C4" w:rsidRDefault="005A34A0" w:rsidP="00445EDB">
            <w:pPr>
              <w:jc w:val="both"/>
            </w:pPr>
            <w:r>
              <w:t>Investor Name</w:t>
            </w:r>
          </w:p>
          <w:p w14:paraId="1A2F1143" w14:textId="77777777" w:rsidR="005A34A0" w:rsidRPr="000D36C4" w:rsidRDefault="005A34A0" w:rsidP="00445EDB">
            <w:pPr>
              <w:jc w:val="both"/>
            </w:pPr>
            <w:r>
              <w:t>Address</w:t>
            </w:r>
          </w:p>
          <w:p w14:paraId="1AB5F469" w14:textId="77777777" w:rsidR="005A34A0" w:rsidRPr="000D36C4" w:rsidRDefault="005A34A0" w:rsidP="00445EDB">
            <w:pPr>
              <w:jc w:val="both"/>
            </w:pPr>
            <w:r>
              <w:t>Phone Number</w:t>
            </w:r>
          </w:p>
          <w:p w14:paraId="516E150B" w14:textId="77777777" w:rsidR="005A34A0" w:rsidRPr="000D36C4" w:rsidRDefault="005A34A0" w:rsidP="00445EDB">
            <w:pPr>
              <w:jc w:val="both"/>
            </w:pPr>
            <w:r>
              <w:t>Email</w:t>
            </w:r>
          </w:p>
          <w:p w14:paraId="072A29FB" w14:textId="77777777" w:rsidR="005A34A0" w:rsidRPr="000D36C4" w:rsidRDefault="005A34A0" w:rsidP="00445EDB">
            <w:pPr>
              <w:jc w:val="both"/>
            </w:pPr>
            <w:r>
              <w:t>[Counsel cc, if any]</w:t>
            </w:r>
          </w:p>
          <w:p w14:paraId="779933A2" w14:textId="77777777" w:rsidR="005A34A0" w:rsidRPr="000D36C4" w:rsidRDefault="005A34A0" w:rsidP="00445EDB">
            <w:pPr>
              <w:jc w:val="both"/>
            </w:pPr>
          </w:p>
        </w:tc>
      </w:tr>
    </w:tbl>
    <w:p w14:paraId="0E674898" w14:textId="77777777" w:rsidR="005A34A0" w:rsidRPr="000D36C4" w:rsidRDefault="005A34A0" w:rsidP="00445EDB">
      <w:pPr>
        <w:adjustRightInd/>
        <w:spacing w:after="240"/>
        <w:jc w:val="center"/>
        <w:rPr>
          <w:b/>
          <w:color w:val="000000"/>
          <w:u w:val="single"/>
        </w:rPr>
      </w:pPr>
    </w:p>
    <w:p w14:paraId="6DF42C4C" w14:textId="5C970A0A" w:rsidR="00BB08E6" w:rsidRPr="000D36C4" w:rsidRDefault="005A34A0" w:rsidP="00E2374B">
      <w:pPr>
        <w:adjustRightInd/>
        <w:spacing w:after="240"/>
        <w:jc w:val="center"/>
        <w:sectPr w:rsidR="00BB08E6" w:rsidRPr="000D36C4" w:rsidSect="00CE7B66">
          <w:headerReference w:type="even" r:id="rId25"/>
          <w:headerReference w:type="default" r:id="rId26"/>
          <w:footerReference w:type="even" r:id="rId27"/>
          <w:footerReference w:type="default" r:id="rId28"/>
          <w:pgSz w:w="12240" w:h="15840"/>
          <w:pgMar w:top="1440" w:right="1440" w:bottom="1440" w:left="1440" w:header="720" w:footer="540" w:gutter="0"/>
          <w:cols w:space="720"/>
          <w:docGrid w:linePitch="299"/>
        </w:sectPr>
      </w:pPr>
      <w:r>
        <w:rPr>
          <w:b/>
          <w:u w:val="single"/>
        </w:rPr>
        <w:br w:type="page"/>
      </w:r>
      <w:bookmarkEnd w:id="310"/>
    </w:p>
    <w:p w14:paraId="4B544882" w14:textId="77777777" w:rsidR="00017138" w:rsidRPr="000D36C4" w:rsidRDefault="00017138" w:rsidP="00445EDB">
      <w:pPr>
        <w:pStyle w:val="Title"/>
      </w:pPr>
      <w:r>
        <w:lastRenderedPageBreak/>
        <w:t xml:space="preserve">Annex 1 </w:t>
      </w:r>
    </w:p>
    <w:p w14:paraId="7B6E8874" w14:textId="38245BE7" w:rsidR="00017138" w:rsidRPr="000D36C4" w:rsidRDefault="00017138" w:rsidP="00445EDB">
      <w:pPr>
        <w:pStyle w:val="Title"/>
      </w:pPr>
      <w:r>
        <w:t>Qualified Small Business Stock Checklist</w:t>
      </w:r>
    </w:p>
    <w:p w14:paraId="5A75B330" w14:textId="77777777" w:rsidR="00017138" w:rsidRPr="000D36C4" w:rsidRDefault="00017138" w:rsidP="00445EDB">
      <w:pPr>
        <w:pStyle w:val="BodyText"/>
      </w:pPr>
      <w:r>
        <w:t>The stockholder(s) named below (the “</w:t>
      </w:r>
      <w:r>
        <w:rPr>
          <w:b/>
          <w:bCs/>
        </w:rPr>
        <w:t>Stockholders</w:t>
      </w:r>
      <w:r>
        <w:t>”) have requested information to assist in their determination of whether the shares of stock of [</w:t>
      </w:r>
      <w:r>
        <w:rPr>
          <w:i/>
          <w:iCs/>
        </w:rPr>
        <w:t>Company Name</w:t>
      </w:r>
      <w:r>
        <w:t>], a [</w:t>
      </w:r>
      <w:r>
        <w:rPr>
          <w:i/>
          <w:iCs/>
        </w:rPr>
        <w:t>State</w:t>
      </w:r>
      <w:r>
        <w:t>] corporation (the “</w:t>
      </w:r>
      <w:r>
        <w:rPr>
          <w:b/>
          <w:bCs/>
        </w:rPr>
        <w:t>Company</w:t>
      </w:r>
      <w:r>
        <w:t>”) described below may be entitled to certain tax benefits associated with qualified small business stock (</w:t>
      </w:r>
      <w:r>
        <w:rPr>
          <w:b/>
          <w:bCs/>
        </w:rPr>
        <w:t>“QSBS”</w:t>
      </w:r>
      <w:r>
        <w:t>) pursuant to Sections 1045 and 1202 of the Code</w:t>
      </w:r>
      <w:r>
        <w:rPr>
          <w:color w:val="383636"/>
        </w:rPr>
        <w:t>.</w:t>
      </w:r>
      <w:r>
        <w:rPr>
          <w:rStyle w:val="FootnoteReference"/>
          <w:color w:val="383636"/>
        </w:rPr>
        <w:footnoteReference w:id="6"/>
      </w:r>
    </w:p>
    <w:p w14:paraId="70682BC0" w14:textId="77777777" w:rsidR="00017138" w:rsidRPr="000D36C4" w:rsidRDefault="00017138" w:rsidP="00445EDB">
      <w:pPr>
        <w:pStyle w:val="BodyText"/>
      </w:pPr>
      <w:r>
        <w:t>Table to be completed by requesting Stockholder</w:t>
      </w:r>
    </w:p>
    <w:tbl>
      <w:tblPr>
        <w:tblpPr w:leftFromText="180" w:rightFromText="180" w:vertAnchor="text" w:horzAnchor="margin" w:tblpY="14"/>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779"/>
        <w:gridCol w:w="1906"/>
        <w:gridCol w:w="2283"/>
        <w:gridCol w:w="1968"/>
      </w:tblGrid>
      <w:tr w:rsidR="00017138" w:rsidRPr="000D36C4" w14:paraId="743BDCE6" w14:textId="77777777" w:rsidTr="00017138">
        <w:tc>
          <w:tcPr>
            <w:tcW w:w="915" w:type="pct"/>
            <w:tcBorders>
              <w:top w:val="single" w:sz="4" w:space="0" w:color="auto"/>
              <w:left w:val="single" w:sz="4" w:space="0" w:color="auto"/>
              <w:bottom w:val="single" w:sz="4" w:space="0" w:color="auto"/>
              <w:right w:val="single" w:sz="4" w:space="0" w:color="auto"/>
            </w:tcBorders>
            <w:vAlign w:val="bottom"/>
          </w:tcPr>
          <w:p w14:paraId="6763537E" w14:textId="77777777" w:rsidR="00017138" w:rsidRPr="000D36C4" w:rsidRDefault="00017138" w:rsidP="00445EDB">
            <w:pPr>
              <w:rPr>
                <w:lang w:eastAsia="ko-KR"/>
              </w:rPr>
            </w:pPr>
          </w:p>
          <w:p w14:paraId="6886F498" w14:textId="77777777" w:rsidR="00017138" w:rsidRPr="000D36C4" w:rsidRDefault="00017138" w:rsidP="00445EDB">
            <w:pPr>
              <w:rPr>
                <w:lang w:eastAsia="ko-KR"/>
              </w:rPr>
            </w:pPr>
            <w:r>
              <w:rPr>
                <w:lang w:eastAsia="ko-KR"/>
              </w:rPr>
              <w:t>Stockholder</w:t>
            </w:r>
          </w:p>
        </w:tc>
        <w:tc>
          <w:tcPr>
            <w:tcW w:w="915" w:type="pct"/>
            <w:tcBorders>
              <w:top w:val="single" w:sz="4" w:space="0" w:color="auto"/>
              <w:left w:val="single" w:sz="4" w:space="0" w:color="auto"/>
              <w:bottom w:val="single" w:sz="4" w:space="0" w:color="auto"/>
              <w:right w:val="single" w:sz="4" w:space="0" w:color="auto"/>
            </w:tcBorders>
            <w:vAlign w:val="bottom"/>
            <w:hideMark/>
          </w:tcPr>
          <w:p w14:paraId="1C6253AC" w14:textId="77777777" w:rsidR="00017138" w:rsidRPr="000D36C4" w:rsidRDefault="00017138" w:rsidP="00445EDB">
            <w:pPr>
              <w:rPr>
                <w:lang w:eastAsia="ko-KR"/>
              </w:rPr>
            </w:pPr>
            <w:r>
              <w:rPr>
                <w:lang w:eastAsia="ko-KR"/>
              </w:rPr>
              <w:t>Class /</w:t>
            </w:r>
            <w:r>
              <w:rPr>
                <w:lang w:eastAsia="ko-KR"/>
              </w:rPr>
              <w:br/>
              <w:t>Type of Stock</w:t>
            </w:r>
          </w:p>
        </w:tc>
        <w:tc>
          <w:tcPr>
            <w:tcW w:w="981" w:type="pct"/>
            <w:tcBorders>
              <w:top w:val="single" w:sz="4" w:space="0" w:color="auto"/>
              <w:left w:val="single" w:sz="4" w:space="0" w:color="auto"/>
              <w:bottom w:val="single" w:sz="4" w:space="0" w:color="auto"/>
              <w:right w:val="single" w:sz="4" w:space="0" w:color="auto"/>
            </w:tcBorders>
            <w:vAlign w:val="bottom"/>
            <w:hideMark/>
          </w:tcPr>
          <w:p w14:paraId="0330A8E8" w14:textId="77777777" w:rsidR="00017138" w:rsidRPr="000D36C4" w:rsidRDefault="00017138" w:rsidP="00445EDB">
            <w:pPr>
              <w:rPr>
                <w:lang w:eastAsia="ko-KR"/>
              </w:rPr>
            </w:pPr>
            <w:r>
              <w:rPr>
                <w:lang w:eastAsia="ko-KR"/>
              </w:rPr>
              <w:t>Issue Date</w:t>
            </w:r>
          </w:p>
        </w:tc>
        <w:tc>
          <w:tcPr>
            <w:tcW w:w="1175" w:type="pct"/>
            <w:tcBorders>
              <w:top w:val="single" w:sz="4" w:space="0" w:color="auto"/>
              <w:left w:val="single" w:sz="4" w:space="0" w:color="auto"/>
              <w:bottom w:val="single" w:sz="4" w:space="0" w:color="auto"/>
              <w:right w:val="single" w:sz="4" w:space="0" w:color="auto"/>
            </w:tcBorders>
            <w:vAlign w:val="bottom"/>
            <w:hideMark/>
          </w:tcPr>
          <w:p w14:paraId="7CCC8154" w14:textId="77777777" w:rsidR="00017138" w:rsidRPr="000D36C4" w:rsidRDefault="00017138" w:rsidP="00445EDB">
            <w:pPr>
              <w:rPr>
                <w:lang w:eastAsia="ko-KR"/>
              </w:rPr>
            </w:pPr>
            <w:r>
              <w:rPr>
                <w:lang w:eastAsia="ko-KR"/>
              </w:rPr>
              <w:t>Stock Certificate / Issuance Number</w:t>
            </w:r>
          </w:p>
        </w:tc>
        <w:tc>
          <w:tcPr>
            <w:tcW w:w="1013" w:type="pct"/>
            <w:tcBorders>
              <w:top w:val="single" w:sz="4" w:space="0" w:color="auto"/>
              <w:left w:val="single" w:sz="4" w:space="0" w:color="auto"/>
              <w:bottom w:val="single" w:sz="4" w:space="0" w:color="auto"/>
              <w:right w:val="single" w:sz="4" w:space="0" w:color="auto"/>
            </w:tcBorders>
            <w:vAlign w:val="bottom"/>
            <w:hideMark/>
          </w:tcPr>
          <w:p w14:paraId="4C8A646F" w14:textId="77777777" w:rsidR="00017138" w:rsidRPr="000D36C4" w:rsidRDefault="00017138" w:rsidP="00445EDB">
            <w:pPr>
              <w:rPr>
                <w:lang w:eastAsia="ko-KR"/>
              </w:rPr>
            </w:pPr>
            <w:r>
              <w:rPr>
                <w:lang w:eastAsia="ko-KR"/>
              </w:rPr>
              <w:t>Number of Shares</w:t>
            </w:r>
          </w:p>
        </w:tc>
      </w:tr>
      <w:tr w:rsidR="00017138" w:rsidRPr="000D36C4" w14:paraId="7866169A" w14:textId="77777777" w:rsidTr="00017138">
        <w:tc>
          <w:tcPr>
            <w:tcW w:w="915" w:type="pct"/>
            <w:tcBorders>
              <w:top w:val="single" w:sz="4" w:space="0" w:color="auto"/>
              <w:left w:val="single" w:sz="4" w:space="0" w:color="auto"/>
              <w:bottom w:val="single" w:sz="4" w:space="0" w:color="auto"/>
              <w:right w:val="single" w:sz="4" w:space="0" w:color="auto"/>
            </w:tcBorders>
          </w:tcPr>
          <w:p w14:paraId="379656F2" w14:textId="77777777" w:rsidR="00017138" w:rsidRPr="000D36C4" w:rsidRDefault="00017138" w:rsidP="00445EDB">
            <w:pPr>
              <w:rPr>
                <w:lang w:eastAsia="ko-KR"/>
              </w:rPr>
            </w:pPr>
          </w:p>
        </w:tc>
        <w:tc>
          <w:tcPr>
            <w:tcW w:w="915" w:type="pct"/>
            <w:tcBorders>
              <w:top w:val="single" w:sz="4" w:space="0" w:color="auto"/>
              <w:left w:val="single" w:sz="4" w:space="0" w:color="auto"/>
              <w:bottom w:val="single" w:sz="4" w:space="0" w:color="auto"/>
              <w:right w:val="single" w:sz="4" w:space="0" w:color="auto"/>
            </w:tcBorders>
          </w:tcPr>
          <w:p w14:paraId="1D925144" w14:textId="77777777" w:rsidR="00017138" w:rsidRPr="000D36C4" w:rsidRDefault="00017138" w:rsidP="00445EDB">
            <w:pPr>
              <w:rPr>
                <w:lang w:eastAsia="ko-KR"/>
              </w:rPr>
            </w:pPr>
          </w:p>
        </w:tc>
        <w:tc>
          <w:tcPr>
            <w:tcW w:w="981" w:type="pct"/>
            <w:tcBorders>
              <w:top w:val="single" w:sz="4" w:space="0" w:color="auto"/>
              <w:left w:val="single" w:sz="4" w:space="0" w:color="auto"/>
              <w:bottom w:val="single" w:sz="4" w:space="0" w:color="auto"/>
              <w:right w:val="single" w:sz="4" w:space="0" w:color="auto"/>
            </w:tcBorders>
          </w:tcPr>
          <w:p w14:paraId="11445EE5" w14:textId="77777777" w:rsidR="00017138" w:rsidRPr="000D36C4" w:rsidRDefault="00017138" w:rsidP="00445EDB">
            <w:pPr>
              <w:rPr>
                <w:lang w:eastAsia="ko-KR"/>
              </w:rPr>
            </w:pPr>
          </w:p>
        </w:tc>
        <w:tc>
          <w:tcPr>
            <w:tcW w:w="1175" w:type="pct"/>
            <w:tcBorders>
              <w:top w:val="single" w:sz="4" w:space="0" w:color="auto"/>
              <w:left w:val="single" w:sz="4" w:space="0" w:color="auto"/>
              <w:bottom w:val="single" w:sz="4" w:space="0" w:color="auto"/>
              <w:right w:val="single" w:sz="4" w:space="0" w:color="auto"/>
            </w:tcBorders>
          </w:tcPr>
          <w:p w14:paraId="06F92BB8" w14:textId="77777777" w:rsidR="00017138" w:rsidRPr="000D36C4" w:rsidRDefault="00017138" w:rsidP="00445EDB">
            <w:pPr>
              <w:rPr>
                <w:lang w:eastAsia="ko-KR"/>
              </w:rPr>
            </w:pPr>
          </w:p>
        </w:tc>
        <w:tc>
          <w:tcPr>
            <w:tcW w:w="1013" w:type="pct"/>
            <w:tcBorders>
              <w:top w:val="single" w:sz="4" w:space="0" w:color="auto"/>
              <w:left w:val="single" w:sz="4" w:space="0" w:color="auto"/>
              <w:bottom w:val="single" w:sz="4" w:space="0" w:color="auto"/>
              <w:right w:val="single" w:sz="4" w:space="0" w:color="auto"/>
            </w:tcBorders>
          </w:tcPr>
          <w:p w14:paraId="200EF1FC" w14:textId="77777777" w:rsidR="00017138" w:rsidRPr="000D36C4" w:rsidRDefault="00017138" w:rsidP="00445EDB">
            <w:pPr>
              <w:rPr>
                <w:lang w:eastAsia="ko-KR"/>
              </w:rPr>
            </w:pPr>
          </w:p>
        </w:tc>
      </w:tr>
      <w:tr w:rsidR="00017138" w:rsidRPr="000D36C4" w14:paraId="7CD47213" w14:textId="77777777" w:rsidTr="00017138">
        <w:tc>
          <w:tcPr>
            <w:tcW w:w="915" w:type="pct"/>
            <w:tcBorders>
              <w:top w:val="single" w:sz="4" w:space="0" w:color="auto"/>
              <w:left w:val="single" w:sz="4" w:space="0" w:color="auto"/>
              <w:bottom w:val="single" w:sz="4" w:space="0" w:color="auto"/>
              <w:right w:val="single" w:sz="4" w:space="0" w:color="auto"/>
            </w:tcBorders>
          </w:tcPr>
          <w:p w14:paraId="7F7E0BC6" w14:textId="77777777" w:rsidR="00017138" w:rsidRPr="000D36C4" w:rsidRDefault="00017138" w:rsidP="00445EDB">
            <w:pPr>
              <w:rPr>
                <w:lang w:eastAsia="ko-KR"/>
              </w:rPr>
            </w:pPr>
          </w:p>
        </w:tc>
        <w:tc>
          <w:tcPr>
            <w:tcW w:w="915" w:type="pct"/>
            <w:tcBorders>
              <w:top w:val="single" w:sz="4" w:space="0" w:color="auto"/>
              <w:left w:val="single" w:sz="4" w:space="0" w:color="auto"/>
              <w:bottom w:val="single" w:sz="4" w:space="0" w:color="auto"/>
              <w:right w:val="single" w:sz="4" w:space="0" w:color="auto"/>
            </w:tcBorders>
          </w:tcPr>
          <w:p w14:paraId="2196B89F" w14:textId="77777777" w:rsidR="00017138" w:rsidRPr="000D36C4" w:rsidRDefault="00017138" w:rsidP="00445EDB">
            <w:pPr>
              <w:rPr>
                <w:lang w:eastAsia="ko-KR"/>
              </w:rPr>
            </w:pPr>
          </w:p>
        </w:tc>
        <w:tc>
          <w:tcPr>
            <w:tcW w:w="981" w:type="pct"/>
            <w:tcBorders>
              <w:top w:val="single" w:sz="4" w:space="0" w:color="auto"/>
              <w:left w:val="single" w:sz="4" w:space="0" w:color="auto"/>
              <w:bottom w:val="single" w:sz="4" w:space="0" w:color="auto"/>
              <w:right w:val="single" w:sz="4" w:space="0" w:color="auto"/>
            </w:tcBorders>
          </w:tcPr>
          <w:p w14:paraId="2E3571D2" w14:textId="77777777" w:rsidR="00017138" w:rsidRPr="000D36C4" w:rsidRDefault="00017138" w:rsidP="00445EDB">
            <w:pPr>
              <w:rPr>
                <w:lang w:eastAsia="ko-KR"/>
              </w:rPr>
            </w:pPr>
          </w:p>
        </w:tc>
        <w:tc>
          <w:tcPr>
            <w:tcW w:w="1175" w:type="pct"/>
            <w:tcBorders>
              <w:top w:val="single" w:sz="4" w:space="0" w:color="auto"/>
              <w:left w:val="single" w:sz="4" w:space="0" w:color="auto"/>
              <w:bottom w:val="single" w:sz="4" w:space="0" w:color="auto"/>
              <w:right w:val="single" w:sz="4" w:space="0" w:color="auto"/>
            </w:tcBorders>
          </w:tcPr>
          <w:p w14:paraId="535C58C2" w14:textId="77777777" w:rsidR="00017138" w:rsidRPr="000D36C4" w:rsidRDefault="00017138" w:rsidP="00445EDB">
            <w:pPr>
              <w:rPr>
                <w:lang w:eastAsia="ko-KR"/>
              </w:rPr>
            </w:pPr>
          </w:p>
        </w:tc>
        <w:tc>
          <w:tcPr>
            <w:tcW w:w="1013" w:type="pct"/>
            <w:tcBorders>
              <w:top w:val="single" w:sz="4" w:space="0" w:color="auto"/>
              <w:left w:val="single" w:sz="4" w:space="0" w:color="auto"/>
              <w:bottom w:val="single" w:sz="4" w:space="0" w:color="auto"/>
              <w:right w:val="single" w:sz="4" w:space="0" w:color="auto"/>
            </w:tcBorders>
          </w:tcPr>
          <w:p w14:paraId="18C5F1A8" w14:textId="77777777" w:rsidR="00017138" w:rsidRPr="000D36C4" w:rsidRDefault="00017138" w:rsidP="00445EDB">
            <w:pPr>
              <w:rPr>
                <w:lang w:eastAsia="ko-KR"/>
              </w:rPr>
            </w:pPr>
          </w:p>
        </w:tc>
      </w:tr>
    </w:tbl>
    <w:p w14:paraId="7D293E02" w14:textId="77777777" w:rsidR="00017138" w:rsidRPr="000D36C4" w:rsidRDefault="00017138" w:rsidP="00445EDB">
      <w:pPr>
        <w:pStyle w:val="BodyText"/>
      </w:pPr>
    </w:p>
    <w:p w14:paraId="323CBD5A" w14:textId="019A02D0" w:rsidR="00017138" w:rsidRPr="000D36C4" w:rsidRDefault="00017138" w:rsidP="00445EDB">
      <w:pPr>
        <w:pStyle w:val="BodyText"/>
      </w:pPr>
      <w:r>
        <w:t xml:space="preserve">Pursuant to </w:t>
      </w:r>
      <w:r>
        <w:rPr>
          <w:u w:val="single"/>
        </w:rPr>
        <w:t>Section 5.</w:t>
      </w:r>
      <w:r w:rsidR="00654031">
        <w:rPr>
          <w:u w:val="single"/>
        </w:rPr>
        <w:t>3</w:t>
      </w:r>
      <w:r>
        <w:t xml:space="preserve"> of the [Amended and Restated] Investors’ Rights Agreement dated [___], the Company hereby provides the following information (the “</w:t>
      </w:r>
      <w:r>
        <w:rPr>
          <w:b/>
          <w:bCs/>
        </w:rPr>
        <w:t>Checklist</w:t>
      </w:r>
      <w:r>
        <w:t>”) with respect to such shares. In no event shall the Company be liable to the Stockholders or any other person for any damages arising from any errors or inaccuracies in this Checklist, unless made by the Company in a manner either grossly negligent or fraudulent. Whether any Stockholder is entitled to tax benefits with respect to the Company’s stock must depend on the Stockholder’s particular facts and circumstances. Each Stockholder should seek professional tax advice from its tax advisor.</w:t>
      </w:r>
    </w:p>
    <w:p w14:paraId="5F38EB74" w14:textId="77777777" w:rsidR="00017138" w:rsidRPr="000D36C4" w:rsidRDefault="00017138" w:rsidP="00445EDB">
      <w:pPr>
        <w:pStyle w:val="BodyText"/>
      </w:pPr>
      <w:r>
        <w:t>Checklist to be completed by Company</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Pr>
      <w:tblGrid>
        <w:gridCol w:w="7195"/>
        <w:gridCol w:w="900"/>
        <w:gridCol w:w="900"/>
        <w:gridCol w:w="990"/>
      </w:tblGrid>
      <w:tr w:rsidR="00017138" w:rsidRPr="000D36C4" w14:paraId="4FF44AEF" w14:textId="77777777" w:rsidTr="00017138">
        <w:trPr>
          <w:cantSplit/>
          <w:trHeight w:val="413"/>
          <w:tblHeader/>
        </w:trPr>
        <w:tc>
          <w:tcPr>
            <w:tcW w:w="7195" w:type="dxa"/>
            <w:tcBorders>
              <w:top w:val="single" w:sz="4" w:space="0" w:color="auto"/>
              <w:left w:val="single" w:sz="4" w:space="0" w:color="auto"/>
              <w:bottom w:val="single" w:sz="4" w:space="0" w:color="auto"/>
              <w:right w:val="single" w:sz="4" w:space="0" w:color="auto"/>
            </w:tcBorders>
          </w:tcPr>
          <w:p w14:paraId="25AD9F1A" w14:textId="77777777" w:rsidR="00017138" w:rsidRPr="000D36C4" w:rsidRDefault="00017138" w:rsidP="00445EDB">
            <w:pPr>
              <w:pStyle w:val="TableParagraph"/>
              <w:widowControl/>
              <w:rPr>
                <w:rFonts w:ascii="Times New Roman" w:hAnsi="Times New Roman" w:cs="Times New Roman"/>
                <w:lang w:eastAsia="ko-KR"/>
              </w:rPr>
            </w:pPr>
          </w:p>
        </w:tc>
        <w:tc>
          <w:tcPr>
            <w:tcW w:w="2790" w:type="dxa"/>
            <w:gridSpan w:val="3"/>
            <w:tcBorders>
              <w:top w:val="single" w:sz="4" w:space="0" w:color="auto"/>
              <w:left w:val="single" w:sz="4" w:space="0" w:color="auto"/>
              <w:bottom w:val="single" w:sz="4" w:space="0" w:color="auto"/>
              <w:right w:val="single" w:sz="4" w:space="0" w:color="auto"/>
            </w:tcBorders>
          </w:tcPr>
          <w:p w14:paraId="10BD79BF" w14:textId="77777777" w:rsidR="00017138" w:rsidRPr="000D36C4" w:rsidRDefault="00017138" w:rsidP="00445EDB">
            <w:pPr>
              <w:rPr>
                <w:lang w:eastAsia="ko-KR"/>
              </w:rPr>
            </w:pPr>
            <w:r>
              <w:rPr>
                <w:lang w:eastAsia="ko-KR"/>
              </w:rPr>
              <w:t>Select one. If neither Yes nor No is checked, check See Appendix and provide further information:</w:t>
            </w:r>
          </w:p>
        </w:tc>
      </w:tr>
      <w:tr w:rsidR="00017138" w:rsidRPr="000D36C4" w14:paraId="54DF7FC4" w14:textId="77777777" w:rsidTr="00017138">
        <w:trPr>
          <w:cantSplit/>
          <w:trHeight w:val="791"/>
          <w:tblHeader/>
        </w:trPr>
        <w:tc>
          <w:tcPr>
            <w:tcW w:w="7195" w:type="dxa"/>
            <w:tcBorders>
              <w:top w:val="single" w:sz="4" w:space="0" w:color="auto"/>
              <w:left w:val="single" w:sz="4" w:space="0" w:color="auto"/>
              <w:bottom w:val="single" w:sz="4" w:space="0" w:color="auto"/>
              <w:right w:val="single" w:sz="4" w:space="0" w:color="auto"/>
            </w:tcBorders>
            <w:hideMark/>
          </w:tcPr>
          <w:p w14:paraId="69EB95A7"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br/>
            </w:r>
          </w:p>
        </w:tc>
        <w:tc>
          <w:tcPr>
            <w:tcW w:w="900" w:type="dxa"/>
            <w:tcBorders>
              <w:top w:val="single" w:sz="4" w:space="0" w:color="auto"/>
              <w:left w:val="single" w:sz="4" w:space="0" w:color="auto"/>
              <w:bottom w:val="single" w:sz="4" w:space="0" w:color="auto"/>
              <w:right w:val="single" w:sz="4" w:space="0" w:color="auto"/>
            </w:tcBorders>
            <w:hideMark/>
          </w:tcPr>
          <w:p w14:paraId="0DD917EA" w14:textId="77777777" w:rsidR="00017138" w:rsidRPr="000D36C4" w:rsidRDefault="00017138" w:rsidP="00445EDB">
            <w:pPr>
              <w:rPr>
                <w:lang w:eastAsia="ko-KR"/>
              </w:rPr>
            </w:pPr>
            <w:r>
              <w:rPr>
                <w:lang w:eastAsia="ko-KR"/>
              </w:rPr>
              <w:t>Yes</w:t>
            </w:r>
          </w:p>
        </w:tc>
        <w:tc>
          <w:tcPr>
            <w:tcW w:w="900" w:type="dxa"/>
            <w:tcBorders>
              <w:top w:val="single" w:sz="4" w:space="0" w:color="auto"/>
              <w:left w:val="single" w:sz="4" w:space="0" w:color="auto"/>
              <w:bottom w:val="single" w:sz="4" w:space="0" w:color="auto"/>
              <w:right w:val="single" w:sz="4" w:space="0" w:color="auto"/>
            </w:tcBorders>
            <w:hideMark/>
          </w:tcPr>
          <w:p w14:paraId="5C77233B" w14:textId="77777777" w:rsidR="00017138" w:rsidRPr="000D36C4" w:rsidRDefault="00017138" w:rsidP="00445EDB">
            <w:pPr>
              <w:rPr>
                <w:lang w:eastAsia="ko-KR"/>
              </w:rPr>
            </w:pPr>
            <w:r>
              <w:rPr>
                <w:lang w:eastAsia="ko-KR"/>
              </w:rPr>
              <w:t>No</w:t>
            </w:r>
          </w:p>
        </w:tc>
        <w:tc>
          <w:tcPr>
            <w:tcW w:w="990" w:type="dxa"/>
            <w:tcBorders>
              <w:top w:val="single" w:sz="4" w:space="0" w:color="auto"/>
              <w:left w:val="single" w:sz="4" w:space="0" w:color="auto"/>
              <w:bottom w:val="single" w:sz="4" w:space="0" w:color="auto"/>
              <w:right w:val="single" w:sz="4" w:space="0" w:color="auto"/>
            </w:tcBorders>
            <w:hideMark/>
          </w:tcPr>
          <w:p w14:paraId="618F6340" w14:textId="77777777" w:rsidR="00017138" w:rsidRPr="000D36C4" w:rsidRDefault="00017138" w:rsidP="00445EDB">
            <w:pPr>
              <w:rPr>
                <w:lang w:eastAsia="ko-KR"/>
              </w:rPr>
            </w:pPr>
            <w:r>
              <w:rPr>
                <w:lang w:eastAsia="ko-KR"/>
              </w:rPr>
              <w:t>See Appendix</w:t>
            </w:r>
          </w:p>
        </w:tc>
      </w:tr>
      <w:tr w:rsidR="00017138" w:rsidRPr="000D36C4" w14:paraId="2429F762" w14:textId="77777777" w:rsidTr="00017138">
        <w:trPr>
          <w:cantSplit/>
          <w:trHeight w:val="20"/>
        </w:trPr>
        <w:tc>
          <w:tcPr>
            <w:tcW w:w="9985" w:type="dxa"/>
            <w:gridSpan w:val="4"/>
            <w:tcBorders>
              <w:top w:val="single" w:sz="4" w:space="0" w:color="auto"/>
              <w:left w:val="single" w:sz="4" w:space="0" w:color="auto"/>
              <w:bottom w:val="single" w:sz="4" w:space="0" w:color="auto"/>
              <w:right w:val="single" w:sz="4" w:space="0" w:color="auto"/>
            </w:tcBorders>
            <w:hideMark/>
          </w:tcPr>
          <w:p w14:paraId="1D35632A" w14:textId="77777777" w:rsidR="00017138" w:rsidRPr="000D36C4" w:rsidRDefault="00017138" w:rsidP="00445EDB">
            <w:pPr>
              <w:rPr>
                <w:lang w:eastAsia="ko-KR"/>
              </w:rPr>
            </w:pPr>
            <w:r>
              <w:rPr>
                <w:rFonts w:eastAsia="Arial"/>
                <w:lang w:eastAsia="ko-KR"/>
              </w:rPr>
              <w:t xml:space="preserve">l. </w:t>
            </w:r>
            <w:r>
              <w:rPr>
                <w:color w:val="383636"/>
                <w:lang w:eastAsia="ko-KR"/>
              </w:rPr>
              <w:t>“Qualified Small B</w:t>
            </w:r>
            <w:r>
              <w:rPr>
                <w:lang w:eastAsia="ko-KR"/>
              </w:rPr>
              <w:t>usiness” Requirement</w:t>
            </w:r>
            <w:r>
              <w:rPr>
                <w:rStyle w:val="FootnoteReference"/>
                <w:b/>
                <w:bCs/>
                <w:color w:val="232121"/>
              </w:rPr>
              <w:footnoteReference w:id="7"/>
            </w:r>
          </w:p>
        </w:tc>
      </w:tr>
      <w:tr w:rsidR="00017138" w:rsidRPr="000D36C4" w14:paraId="1182AE09"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79043C1F" w14:textId="77777777" w:rsidR="00017138" w:rsidRPr="000D36C4" w:rsidRDefault="00017138">
            <w:pPr>
              <w:pStyle w:val="ListParagraph"/>
              <w:widowControl/>
              <w:numPr>
                <w:ilvl w:val="0"/>
                <w:numId w:val="1"/>
              </w:numPr>
              <w:rPr>
                <w:rFonts w:ascii="Times New Roman" w:hAnsi="Times New Roman" w:cs="Times New Roman"/>
                <w:lang w:eastAsia="ko-KR"/>
              </w:rPr>
            </w:pPr>
            <w:r>
              <w:rPr>
                <w:rFonts w:ascii="Times New Roman" w:hAnsi="Times New Roman" w:cs="Times New Roman"/>
                <w:lang w:eastAsia="ko-KR"/>
              </w:rPr>
              <w:t>On each Issue Date, the Company was</w:t>
            </w:r>
            <w:r>
              <w:rPr>
                <w:rFonts w:ascii="Times New Roman" w:hAnsi="Times New Roman" w:cs="Times New Roman"/>
                <w:color w:val="383636"/>
                <w:lang w:eastAsia="ko-KR"/>
              </w:rPr>
              <w:t xml:space="preserve"> a </w:t>
            </w:r>
            <w:r>
              <w:rPr>
                <w:rFonts w:ascii="Times New Roman" w:hAnsi="Times New Roman" w:cs="Times New Roman"/>
                <w:lang w:eastAsia="ko-KR"/>
              </w:rPr>
              <w:t xml:space="preserve">domestic C </w:t>
            </w:r>
            <w:r>
              <w:rPr>
                <w:rFonts w:ascii="Times New Roman" w:hAnsi="Times New Roman" w:cs="Times New Roman"/>
                <w:color w:val="383636"/>
                <w:lang w:eastAsia="ko-KR"/>
              </w:rPr>
              <w:t>corporation.</w:t>
            </w:r>
            <w:r>
              <w:rPr>
                <w:rStyle w:val="FootnoteReference"/>
                <w:rFonts w:ascii="Times New Roman" w:hAnsi="Times New Roman" w:cs="Times New Roman"/>
                <w:color w:val="232121"/>
              </w:rPr>
              <w:footnoteReference w:id="8"/>
            </w:r>
          </w:p>
        </w:tc>
        <w:tc>
          <w:tcPr>
            <w:tcW w:w="900" w:type="dxa"/>
            <w:tcBorders>
              <w:top w:val="single" w:sz="4" w:space="0" w:color="auto"/>
              <w:left w:val="single" w:sz="4" w:space="0" w:color="auto"/>
              <w:bottom w:val="single" w:sz="4" w:space="0" w:color="auto"/>
              <w:right w:val="single" w:sz="4" w:space="0" w:color="auto"/>
            </w:tcBorders>
            <w:hideMark/>
          </w:tcPr>
          <w:p w14:paraId="32836314" w14:textId="77777777" w:rsidR="00017138" w:rsidRPr="000D36C4" w:rsidRDefault="00017138" w:rsidP="00445EDB">
            <w:pPr>
              <w:pStyle w:val="TableParagraph"/>
              <w:widowControl/>
              <w:rPr>
                <w:rFonts w:ascii="Times New Roman" w:eastAsia="Arial" w:hAnsi="Times New Roman" w:cs="Times New Roman"/>
                <w:lang w:eastAsia="ko-KR"/>
              </w:rPr>
            </w:pPr>
            <w:r>
              <w:rPr>
                <w:rFonts w:ascii="Times New Roman" w:hAnsi="Times New Roman" w:cs="Times New Roman"/>
                <w:lang w:eastAsia="ko-KR"/>
              </w:rPr>
              <w:sym w:font="Wingdings" w:char="F0A8"/>
            </w:r>
          </w:p>
        </w:tc>
        <w:tc>
          <w:tcPr>
            <w:tcW w:w="900" w:type="dxa"/>
            <w:tcBorders>
              <w:top w:val="single" w:sz="4" w:space="0" w:color="auto"/>
              <w:left w:val="single" w:sz="4" w:space="0" w:color="auto"/>
              <w:bottom w:val="single" w:sz="4" w:space="0" w:color="auto"/>
              <w:right w:val="single" w:sz="4" w:space="0" w:color="auto"/>
            </w:tcBorders>
            <w:hideMark/>
          </w:tcPr>
          <w:p w14:paraId="757CCCCE"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sz="4" w:space="0" w:color="auto"/>
              <w:left w:val="single" w:sz="4" w:space="0" w:color="auto"/>
              <w:bottom w:val="single" w:sz="4" w:space="0" w:color="auto"/>
              <w:right w:val="single" w:sz="4" w:space="0" w:color="auto"/>
            </w:tcBorders>
            <w:hideMark/>
          </w:tcPr>
          <w:p w14:paraId="4FC9F32C"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00017138" w:rsidRPr="000D36C4" w14:paraId="1C612ECA"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5D5B5AF2" w14:textId="27B47752" w:rsidR="00017138" w:rsidRPr="000D36C4" w:rsidRDefault="00017138">
            <w:pPr>
              <w:pStyle w:val="ListParagraph"/>
              <w:widowControl/>
              <w:numPr>
                <w:ilvl w:val="0"/>
                <w:numId w:val="1"/>
              </w:numPr>
              <w:rPr>
                <w:rFonts w:ascii="Times New Roman" w:hAnsi="Times New Roman" w:cs="Times New Roman"/>
                <w:lang w:eastAsia="ko-KR"/>
              </w:rPr>
            </w:pPr>
            <w:r>
              <w:rPr>
                <w:rFonts w:ascii="Times New Roman" w:hAnsi="Times New Roman" w:cs="Times New Roman"/>
                <w:lang w:eastAsia="ko-KR"/>
              </w:rPr>
              <w:lastRenderedPageBreak/>
              <w:t>At all times of the Company’s existence after August 10, 1993 through the time immediately following the Issue Date, the Company’s aggregate gross assets were $</w:t>
            </w:r>
            <w:r w:rsidR="009A5F80">
              <w:rPr>
                <w:rFonts w:ascii="Times New Roman" w:hAnsi="Times New Roman" w:cs="Times New Roman"/>
                <w:lang w:eastAsia="ko-KR"/>
              </w:rPr>
              <w:t>75</w:t>
            </w:r>
            <w:r>
              <w:rPr>
                <w:rFonts w:ascii="Times New Roman" w:hAnsi="Times New Roman" w:cs="Times New Roman"/>
                <w:lang w:eastAsia="ko-KR"/>
              </w:rPr>
              <w:t xml:space="preserve"> million or less.</w:t>
            </w:r>
            <w:r>
              <w:rPr>
                <w:rStyle w:val="FootnoteReference"/>
                <w:rFonts w:ascii="Times New Roman" w:hAnsi="Times New Roman" w:cs="Times New Roman"/>
                <w:color w:val="232121"/>
              </w:rPr>
              <w:footnoteReference w:id="9"/>
            </w:r>
          </w:p>
          <w:p w14:paraId="14BCE14A" w14:textId="77777777" w:rsidR="00017138" w:rsidRPr="000D36C4" w:rsidRDefault="00017138">
            <w:pPr>
              <w:pStyle w:val="ListParagraph"/>
              <w:widowControl/>
              <w:numPr>
                <w:ilvl w:val="0"/>
                <w:numId w:val="3"/>
              </w:numPr>
              <w:rPr>
                <w:rFonts w:ascii="Times New Roman" w:hAnsi="Times New Roman" w:cs="Times New Roman"/>
                <w:lang w:eastAsia="ko-KR"/>
              </w:rPr>
            </w:pPr>
            <w:r>
              <w:rPr>
                <w:rFonts w:ascii="Times New Roman" w:hAnsi="Times New Roman" w:cs="Times New Roman"/>
                <w:lang w:eastAsia="ko-KR"/>
              </w:rPr>
              <w:t>Aggregate gross assets</w:t>
            </w:r>
            <w:r>
              <w:rPr>
                <w:rFonts w:ascii="Times New Roman" w:hAnsi="Times New Roman" w:cs="Times New Roman"/>
                <w:color w:val="383636"/>
                <w:lang w:eastAsia="ko-KR"/>
              </w:rPr>
              <w:t xml:space="preserve"> </w:t>
            </w:r>
            <w:r>
              <w:rPr>
                <w:rFonts w:ascii="Times New Roman" w:hAnsi="Times New Roman" w:cs="Times New Roman"/>
                <w:lang w:eastAsia="ko-KR"/>
              </w:rPr>
              <w:t xml:space="preserve">includes </w:t>
            </w:r>
            <w:r>
              <w:rPr>
                <w:rFonts w:ascii="Times New Roman" w:hAnsi="Times New Roman" w:cs="Times New Roman"/>
                <w:color w:val="383636"/>
                <w:lang w:eastAsia="ko-KR"/>
              </w:rPr>
              <w:t xml:space="preserve">cash and </w:t>
            </w:r>
            <w:r>
              <w:rPr>
                <w:rFonts w:ascii="Times New Roman" w:hAnsi="Times New Roman" w:cs="Times New Roman"/>
                <w:lang w:eastAsia="ko-KR"/>
              </w:rPr>
              <w:t xml:space="preserve">the adjusted tax basis of the </w:t>
            </w:r>
            <w:r>
              <w:rPr>
                <w:rFonts w:ascii="Times New Roman" w:hAnsi="Times New Roman" w:cs="Times New Roman"/>
                <w:color w:val="232323"/>
                <w:lang w:eastAsia="ko-KR"/>
              </w:rPr>
              <w:t>Company’s other</w:t>
            </w:r>
            <w:r>
              <w:rPr>
                <w:rFonts w:ascii="Times New Roman" w:hAnsi="Times New Roman" w:cs="Times New Roman"/>
                <w:lang w:eastAsia="ko-KR"/>
              </w:rPr>
              <w:t xml:space="preserve"> property</w:t>
            </w:r>
            <w:bookmarkStart w:id="321" w:name="_Ref52975825"/>
            <w:r>
              <w:rPr>
                <w:rFonts w:ascii="Times New Roman" w:hAnsi="Times New Roman" w:cs="Times New Roman"/>
                <w:lang w:eastAsia="ko-KR"/>
              </w:rPr>
              <w:t>.</w:t>
            </w:r>
            <w:r>
              <w:rPr>
                <w:rStyle w:val="FootnoteReference"/>
                <w:rFonts w:ascii="Times New Roman" w:hAnsi="Times New Roman" w:cs="Times New Roman"/>
                <w:color w:val="565656"/>
              </w:rPr>
              <w:footnoteReference w:id="10"/>
            </w:r>
            <w:bookmarkEnd w:id="321"/>
          </w:p>
          <w:p w14:paraId="2D1B9286" w14:textId="77777777" w:rsidR="00017138" w:rsidRPr="000D36C4" w:rsidRDefault="00017138">
            <w:pPr>
              <w:pStyle w:val="TableParagraph"/>
              <w:widowControl/>
              <w:numPr>
                <w:ilvl w:val="0"/>
                <w:numId w:val="3"/>
              </w:numPr>
              <w:rPr>
                <w:rFonts w:ascii="Times New Roman" w:hAnsi="Times New Roman" w:cs="Times New Roman"/>
                <w:lang w:eastAsia="ko-KR"/>
              </w:rPr>
            </w:pPr>
            <w:r>
              <w:rPr>
                <w:rFonts w:ascii="Times New Roman" w:hAnsi="Times New Roman" w:cs="Times New Roman"/>
                <w:color w:val="232323"/>
                <w:lang w:eastAsia="ko-KR"/>
              </w:rPr>
              <w:t>All</w:t>
            </w:r>
            <w:r>
              <w:rPr>
                <w:rFonts w:ascii="Times New Roman" w:hAnsi="Times New Roman" w:cs="Times New Roman"/>
                <w:lang w:eastAsia="ko-KR"/>
              </w:rPr>
              <w:t xml:space="preserve"> corporations in the same parent-subsidiary controlled group are treated as one corporation.</w:t>
            </w:r>
            <w:r>
              <w:rPr>
                <w:rStyle w:val="FootnoteReference"/>
                <w:rFonts w:ascii="Times New Roman" w:hAnsi="Times New Roman" w:cs="Times New Roman"/>
                <w:color w:val="232121"/>
              </w:rPr>
              <w:footnoteReference w:id="11"/>
            </w:r>
          </w:p>
        </w:tc>
        <w:tc>
          <w:tcPr>
            <w:tcW w:w="900" w:type="dxa"/>
            <w:tcBorders>
              <w:top w:val="single" w:sz="4" w:space="0" w:color="auto"/>
              <w:left w:val="single" w:sz="4" w:space="0" w:color="auto"/>
              <w:bottom w:val="single" w:sz="4" w:space="0" w:color="auto"/>
              <w:right w:val="single" w:sz="4" w:space="0" w:color="auto"/>
            </w:tcBorders>
            <w:hideMark/>
          </w:tcPr>
          <w:p w14:paraId="15D0F2D4" w14:textId="77777777" w:rsidR="00017138" w:rsidRPr="000D36C4" w:rsidRDefault="00017138" w:rsidP="00445EDB">
            <w:pPr>
              <w:pStyle w:val="TableParagraph"/>
              <w:widowControl/>
              <w:rPr>
                <w:rFonts w:ascii="Times New Roman" w:eastAsia="Arial" w:hAnsi="Times New Roman" w:cs="Times New Roman"/>
                <w:lang w:eastAsia="ko-KR"/>
              </w:rPr>
            </w:pPr>
            <w:r>
              <w:rPr>
                <w:rFonts w:ascii="Times New Roman" w:hAnsi="Times New Roman" w:cs="Times New Roman"/>
                <w:lang w:eastAsia="ko-KR"/>
              </w:rPr>
              <w:sym w:font="Wingdings" w:char="F0A8"/>
            </w:r>
          </w:p>
        </w:tc>
        <w:tc>
          <w:tcPr>
            <w:tcW w:w="900" w:type="dxa"/>
            <w:tcBorders>
              <w:top w:val="single" w:sz="4" w:space="0" w:color="auto"/>
              <w:left w:val="single" w:sz="4" w:space="0" w:color="auto"/>
              <w:bottom w:val="single" w:sz="4" w:space="0" w:color="auto"/>
              <w:right w:val="single" w:sz="4" w:space="0" w:color="auto"/>
            </w:tcBorders>
            <w:hideMark/>
          </w:tcPr>
          <w:p w14:paraId="0C0061D2"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sz="4" w:space="0" w:color="auto"/>
              <w:left w:val="single" w:sz="4" w:space="0" w:color="auto"/>
              <w:bottom w:val="single" w:sz="4" w:space="0" w:color="auto"/>
              <w:right w:val="single" w:sz="4" w:space="0" w:color="auto"/>
            </w:tcBorders>
            <w:hideMark/>
          </w:tcPr>
          <w:p w14:paraId="05B56E9D"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00017138" w:rsidRPr="000D36C4" w14:paraId="3DD00F6F"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574CC63C" w14:textId="77777777" w:rsidR="00017138" w:rsidRPr="000D36C4" w:rsidRDefault="00017138">
            <w:pPr>
              <w:pStyle w:val="ListParagraph"/>
              <w:widowControl/>
              <w:numPr>
                <w:ilvl w:val="0"/>
                <w:numId w:val="1"/>
              </w:numPr>
              <w:rPr>
                <w:rFonts w:ascii="Times New Roman" w:hAnsi="Times New Roman" w:cs="Times New Roman"/>
                <w:lang w:eastAsia="ko-KR"/>
              </w:rPr>
            </w:pPr>
            <w:r>
              <w:rPr>
                <w:rFonts w:ascii="Times New Roman" w:hAnsi="Times New Roman" w:cs="Times New Roman"/>
                <w:lang w:eastAsia="ko-KR"/>
              </w:rPr>
              <w:t>The Company will comply with any IRS reporting requirements with respect to Section 1202.</w:t>
            </w:r>
            <w:r>
              <w:rPr>
                <w:rStyle w:val="FootnoteReference"/>
                <w:rFonts w:ascii="Times New Roman" w:hAnsi="Times New Roman" w:cs="Times New Roman"/>
                <w:color w:val="232121"/>
              </w:rPr>
              <w:footnoteReference w:id="12"/>
            </w:r>
          </w:p>
        </w:tc>
        <w:tc>
          <w:tcPr>
            <w:tcW w:w="900" w:type="dxa"/>
            <w:tcBorders>
              <w:top w:val="single" w:sz="4" w:space="0" w:color="auto"/>
              <w:left w:val="single" w:sz="4" w:space="0" w:color="auto"/>
              <w:bottom w:val="single" w:sz="4" w:space="0" w:color="auto"/>
              <w:right w:val="single" w:sz="4" w:space="0" w:color="auto"/>
            </w:tcBorders>
            <w:hideMark/>
          </w:tcPr>
          <w:p w14:paraId="375DD73F" w14:textId="77777777" w:rsidR="00017138" w:rsidRPr="000D36C4" w:rsidRDefault="00017138" w:rsidP="00445EDB">
            <w:pPr>
              <w:pStyle w:val="TableParagraph"/>
              <w:widowControl/>
              <w:rPr>
                <w:rFonts w:ascii="Times New Roman" w:eastAsia="Arial" w:hAnsi="Times New Roman" w:cs="Times New Roman"/>
                <w:lang w:eastAsia="ko-KR"/>
              </w:rPr>
            </w:pPr>
            <w:r>
              <w:rPr>
                <w:rFonts w:ascii="Times New Roman" w:hAnsi="Times New Roman" w:cs="Times New Roman"/>
                <w:lang w:eastAsia="ko-KR"/>
              </w:rPr>
              <w:sym w:font="Wingdings" w:char="F0A8"/>
            </w:r>
          </w:p>
        </w:tc>
        <w:tc>
          <w:tcPr>
            <w:tcW w:w="900" w:type="dxa"/>
            <w:tcBorders>
              <w:top w:val="single" w:sz="4" w:space="0" w:color="auto"/>
              <w:left w:val="single" w:sz="4" w:space="0" w:color="auto"/>
              <w:bottom w:val="single" w:sz="4" w:space="0" w:color="auto"/>
              <w:right w:val="single" w:sz="4" w:space="0" w:color="auto"/>
            </w:tcBorders>
            <w:hideMark/>
          </w:tcPr>
          <w:p w14:paraId="2617517F"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sz="4" w:space="0" w:color="auto"/>
              <w:left w:val="single" w:sz="4" w:space="0" w:color="auto"/>
              <w:bottom w:val="single" w:sz="4" w:space="0" w:color="auto"/>
              <w:right w:val="single" w:sz="4" w:space="0" w:color="auto"/>
            </w:tcBorders>
            <w:hideMark/>
          </w:tcPr>
          <w:p w14:paraId="679E4528"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00017138" w:rsidRPr="000D36C4" w14:paraId="29F90BEC" w14:textId="77777777" w:rsidTr="00017138">
        <w:trPr>
          <w:cantSplit/>
          <w:trHeight w:val="20"/>
        </w:trPr>
        <w:tc>
          <w:tcPr>
            <w:tcW w:w="9985" w:type="dxa"/>
            <w:gridSpan w:val="4"/>
            <w:tcBorders>
              <w:top w:val="single" w:sz="4" w:space="0" w:color="auto"/>
              <w:left w:val="single" w:sz="4" w:space="0" w:color="auto"/>
              <w:bottom w:val="single" w:sz="4" w:space="0" w:color="auto"/>
              <w:right w:val="single" w:sz="4" w:space="0" w:color="auto"/>
            </w:tcBorders>
            <w:hideMark/>
          </w:tcPr>
          <w:p w14:paraId="71ECF17C" w14:textId="77777777" w:rsidR="00017138" w:rsidRPr="000D36C4" w:rsidRDefault="00017138" w:rsidP="00445EDB">
            <w:pPr>
              <w:rPr>
                <w:lang w:eastAsia="ko-KR"/>
              </w:rPr>
            </w:pPr>
            <w:r>
              <w:rPr>
                <w:color w:val="383636"/>
                <w:lang w:eastAsia="ko-KR"/>
              </w:rPr>
              <w:t>2.</w:t>
            </w:r>
            <w:r>
              <w:rPr>
                <w:color w:val="383636"/>
                <w:lang w:eastAsia="ko-KR"/>
              </w:rPr>
              <w:tab/>
            </w:r>
            <w:r>
              <w:rPr>
                <w:lang w:eastAsia="ko-KR"/>
              </w:rPr>
              <w:t>“Qualified Trade or Business” Requirement</w:t>
            </w:r>
          </w:p>
        </w:tc>
      </w:tr>
      <w:tr w:rsidR="00017138" w:rsidRPr="000D36C4" w14:paraId="753E9F80"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tcPr>
          <w:p w14:paraId="524B2989" w14:textId="77777777" w:rsidR="00017138" w:rsidRPr="000D36C4" w:rsidRDefault="00017138">
            <w:pPr>
              <w:pStyle w:val="TableParagraph"/>
              <w:widowControl/>
              <w:numPr>
                <w:ilvl w:val="0"/>
                <w:numId w:val="4"/>
              </w:numPr>
              <w:rPr>
                <w:rFonts w:ascii="Times New Roman" w:hAnsi="Times New Roman" w:cs="Times New Roman"/>
                <w:lang w:eastAsia="ko-KR"/>
              </w:rPr>
            </w:pPr>
            <w:r>
              <w:rPr>
                <w:rFonts w:ascii="Times New Roman" w:hAnsi="Times New Roman" w:cs="Times New Roman"/>
                <w:lang w:eastAsia="ko-KR"/>
              </w:rPr>
              <w:t xml:space="preserve">The Company is engaged in a qualified trade or business. A “qualified trade or business” is any business </w:t>
            </w:r>
            <w:r>
              <w:rPr>
                <w:rFonts w:ascii="Times New Roman" w:hAnsi="Times New Roman" w:cs="Times New Roman"/>
                <w:i/>
                <w:iCs/>
                <w:lang w:eastAsia="ko-KR"/>
              </w:rPr>
              <w:t xml:space="preserve">other than </w:t>
            </w:r>
            <w:r>
              <w:rPr>
                <w:rFonts w:ascii="Times New Roman" w:hAnsi="Times New Roman" w:cs="Times New Roman"/>
                <w:lang w:eastAsia="ko-KR"/>
              </w:rPr>
              <w:t>(i) any trade or business involving the performance of services in the fields of health, law, engineering, architecture, accounting, actuarial science, performing arts, consulting, athletics, financial services, brokerage services, or any trade or business where the principal asset of such trade or business is the reputation or skill of one or more of its employees; (ii) any banking, insurance, financing, leasing, investing, or similar business; (iii) any farming business (including the business of raising or harvesting trees); (iv) certain natural resource production or extraction businesses; and (v) any business of operating a hotel, motel, restaurant, or similar business.</w:t>
            </w:r>
            <w:r>
              <w:rPr>
                <w:rStyle w:val="FootnoteReference"/>
                <w:rFonts w:ascii="Times New Roman" w:eastAsia="Times New Roman" w:hAnsi="Times New Roman" w:cs="Times New Roman"/>
                <w:color w:val="383636"/>
              </w:rPr>
              <w:footnoteReference w:id="13"/>
            </w:r>
            <w:r>
              <w:rPr>
                <w:rFonts w:ascii="Times New Roman" w:hAnsi="Times New Roman" w:cs="Times New Roman"/>
                <w:lang w:eastAsia="ko-KR"/>
              </w:rPr>
              <w:t xml:space="preserve"> </w:t>
            </w:r>
          </w:p>
        </w:tc>
        <w:tc>
          <w:tcPr>
            <w:tcW w:w="900" w:type="dxa"/>
            <w:tcBorders>
              <w:top w:val="single" w:sz="4" w:space="0" w:color="auto"/>
              <w:left w:val="single" w:sz="4" w:space="0" w:color="auto"/>
              <w:bottom w:val="single" w:sz="4" w:space="0" w:color="auto"/>
              <w:right w:val="single" w:sz="4" w:space="0" w:color="auto"/>
            </w:tcBorders>
          </w:tcPr>
          <w:p w14:paraId="28854D94" w14:textId="77777777" w:rsidR="00017138" w:rsidRPr="000D36C4" w:rsidRDefault="00017138" w:rsidP="00445EDB">
            <w:pPr>
              <w:pStyle w:val="TableParagraph"/>
              <w:widowControl/>
              <w:rPr>
                <w:rFonts w:ascii="Times New Roman" w:hAnsi="Times New Roman" w:cs="Times New Roman"/>
                <w:color w:val="383636"/>
                <w:lang w:eastAsia="ko-KR"/>
              </w:rPr>
            </w:pPr>
            <w:r>
              <w:rPr>
                <w:rFonts w:ascii="Times New Roman" w:hAnsi="Times New Roman" w:cs="Times New Roman"/>
                <w:lang w:eastAsia="ko-KR"/>
              </w:rPr>
              <w:sym w:font="Wingdings" w:char="F0A8"/>
            </w:r>
          </w:p>
        </w:tc>
        <w:tc>
          <w:tcPr>
            <w:tcW w:w="900" w:type="dxa"/>
            <w:tcBorders>
              <w:top w:val="single" w:sz="4" w:space="0" w:color="auto"/>
              <w:left w:val="single" w:sz="4" w:space="0" w:color="auto"/>
              <w:bottom w:val="single" w:sz="4" w:space="0" w:color="auto"/>
              <w:right w:val="single" w:sz="4" w:space="0" w:color="auto"/>
            </w:tcBorders>
          </w:tcPr>
          <w:p w14:paraId="1CFDF452" w14:textId="77777777" w:rsidR="00017138" w:rsidRPr="000D36C4" w:rsidRDefault="00017138" w:rsidP="00445EDB">
            <w:pPr>
              <w:pStyle w:val="TableParagraph"/>
              <w:widowControl/>
              <w:rPr>
                <w:rFonts w:ascii="Times New Roman" w:hAnsi="Times New Roman" w:cs="Times New Roman"/>
                <w:color w:val="383636"/>
                <w:lang w:eastAsia="ko-KR"/>
              </w:rPr>
            </w:pPr>
            <w:r>
              <w:rPr>
                <w:rFonts w:ascii="Times New Roman" w:hAnsi="Times New Roman" w:cs="Times New Roman"/>
                <w:lang w:eastAsia="ko-KR"/>
              </w:rPr>
              <w:sym w:font="Wingdings" w:char="F0A8"/>
            </w:r>
          </w:p>
        </w:tc>
        <w:tc>
          <w:tcPr>
            <w:tcW w:w="990" w:type="dxa"/>
            <w:tcBorders>
              <w:top w:val="single" w:sz="4" w:space="0" w:color="auto"/>
              <w:left w:val="single" w:sz="4" w:space="0" w:color="auto"/>
              <w:bottom w:val="single" w:sz="4" w:space="0" w:color="auto"/>
              <w:right w:val="single" w:sz="4" w:space="0" w:color="auto"/>
            </w:tcBorders>
          </w:tcPr>
          <w:p w14:paraId="5592A130" w14:textId="77777777" w:rsidR="00017138" w:rsidRPr="000D36C4" w:rsidRDefault="00017138" w:rsidP="00445EDB">
            <w:pPr>
              <w:pStyle w:val="TableParagraph"/>
              <w:widowControl/>
              <w:rPr>
                <w:rFonts w:ascii="Times New Roman" w:hAnsi="Times New Roman" w:cs="Times New Roman"/>
                <w:color w:val="383636"/>
                <w:lang w:eastAsia="ko-KR"/>
              </w:rPr>
            </w:pPr>
            <w:r>
              <w:rPr>
                <w:rFonts w:ascii="Times New Roman" w:hAnsi="Times New Roman" w:cs="Times New Roman"/>
                <w:lang w:eastAsia="ko-KR"/>
              </w:rPr>
              <w:sym w:font="Wingdings" w:char="F0A8"/>
            </w:r>
          </w:p>
        </w:tc>
      </w:tr>
      <w:tr w:rsidR="00017138" w:rsidRPr="000D36C4" w14:paraId="27C731BA" w14:textId="77777777" w:rsidTr="00017138">
        <w:trPr>
          <w:cantSplit/>
          <w:trHeight w:val="20"/>
        </w:trPr>
        <w:tc>
          <w:tcPr>
            <w:tcW w:w="9985" w:type="dxa"/>
            <w:gridSpan w:val="4"/>
            <w:tcBorders>
              <w:top w:val="single" w:sz="4" w:space="0" w:color="auto"/>
              <w:left w:val="single" w:sz="4" w:space="0" w:color="auto"/>
              <w:bottom w:val="single" w:sz="4" w:space="0" w:color="auto"/>
              <w:right w:val="single" w:sz="4" w:space="0" w:color="auto"/>
            </w:tcBorders>
            <w:hideMark/>
          </w:tcPr>
          <w:p w14:paraId="7E79F55F" w14:textId="77777777" w:rsidR="00017138" w:rsidRPr="000D36C4" w:rsidRDefault="00017138" w:rsidP="00445EDB">
            <w:pPr>
              <w:pStyle w:val="TableParagraph"/>
              <w:widowControl/>
              <w:rPr>
                <w:rFonts w:ascii="Times New Roman" w:hAnsi="Times New Roman" w:cs="Times New Roman"/>
                <w:color w:val="232121"/>
                <w:lang w:eastAsia="ko-KR"/>
              </w:rPr>
            </w:pPr>
            <w:r>
              <w:rPr>
                <w:rFonts w:ascii="Times New Roman" w:hAnsi="Times New Roman" w:cs="Times New Roman"/>
                <w:lang w:eastAsia="ko-KR"/>
              </w:rPr>
              <w:t>3.</w:t>
            </w:r>
            <w:r>
              <w:rPr>
                <w:rFonts w:ascii="Times New Roman" w:hAnsi="Times New Roman" w:cs="Times New Roman"/>
                <w:lang w:eastAsia="ko-KR"/>
              </w:rPr>
              <w:tab/>
              <w:t>“Eligible Corporation” Requirement</w:t>
            </w:r>
          </w:p>
        </w:tc>
      </w:tr>
      <w:tr w:rsidR="00017138" w:rsidRPr="000D36C4" w14:paraId="323B81C3"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1FCB7BEC" w14:textId="77777777" w:rsidR="00017138" w:rsidRPr="000D36C4" w:rsidRDefault="00017138">
            <w:pPr>
              <w:pStyle w:val="ListParagraph"/>
              <w:widowControl/>
              <w:numPr>
                <w:ilvl w:val="0"/>
                <w:numId w:val="1"/>
              </w:numPr>
              <w:rPr>
                <w:rFonts w:ascii="Times New Roman" w:hAnsi="Times New Roman" w:cs="Times New Roman"/>
                <w:lang w:eastAsia="ko-KR"/>
              </w:rPr>
            </w:pPr>
            <w:r>
              <w:rPr>
                <w:rFonts w:ascii="Times New Roman" w:hAnsi="Times New Roman" w:cs="Times New Roman"/>
                <w:lang w:eastAsia="ko-KR"/>
              </w:rPr>
              <w:t xml:space="preserve">Is the Company an entity </w:t>
            </w:r>
            <w:r>
              <w:rPr>
                <w:rFonts w:ascii="Times New Roman" w:hAnsi="Times New Roman" w:cs="Times New Roman"/>
                <w:i/>
                <w:iCs/>
                <w:lang w:eastAsia="ko-KR"/>
              </w:rPr>
              <w:t>other than</w:t>
            </w:r>
            <w:r>
              <w:rPr>
                <w:rFonts w:ascii="Times New Roman" w:hAnsi="Times New Roman" w:cs="Times New Roman"/>
                <w:lang w:eastAsia="ko-KR"/>
              </w:rPr>
              <w:t xml:space="preserve"> a DISC, a former DISC, a RIC, a REIT, a REMIC, or a cooperative?</w:t>
            </w:r>
            <w:r>
              <w:rPr>
                <w:rStyle w:val="FootnoteReference"/>
                <w:rFonts w:ascii="Times New Roman" w:hAnsi="Times New Roman" w:cs="Times New Roman"/>
                <w:color w:val="232121"/>
              </w:rPr>
              <w:footnoteReference w:id="14"/>
            </w:r>
          </w:p>
        </w:tc>
        <w:tc>
          <w:tcPr>
            <w:tcW w:w="900" w:type="dxa"/>
            <w:tcBorders>
              <w:top w:val="single" w:sz="4" w:space="0" w:color="auto"/>
              <w:left w:val="single" w:sz="4" w:space="0" w:color="auto"/>
              <w:bottom w:val="single" w:sz="4" w:space="0" w:color="auto"/>
              <w:right w:val="single" w:sz="4" w:space="0" w:color="auto"/>
            </w:tcBorders>
            <w:hideMark/>
          </w:tcPr>
          <w:p w14:paraId="5C5DCDEC" w14:textId="77777777" w:rsidR="00017138" w:rsidRPr="000D36C4" w:rsidRDefault="00017138" w:rsidP="00445EDB">
            <w:pPr>
              <w:pStyle w:val="TableParagraph"/>
              <w:widowControl/>
              <w:rPr>
                <w:rFonts w:ascii="Times New Roman" w:eastAsia="Arial" w:hAnsi="Times New Roman" w:cs="Times New Roman"/>
                <w:lang w:eastAsia="ko-KR"/>
              </w:rPr>
            </w:pPr>
            <w:r>
              <w:rPr>
                <w:rFonts w:ascii="Times New Roman" w:hAnsi="Times New Roman" w:cs="Times New Roman"/>
                <w:lang w:eastAsia="ko-KR"/>
              </w:rPr>
              <w:sym w:font="Wingdings" w:char="F0A8"/>
            </w:r>
          </w:p>
        </w:tc>
        <w:tc>
          <w:tcPr>
            <w:tcW w:w="900" w:type="dxa"/>
            <w:tcBorders>
              <w:top w:val="single" w:sz="4" w:space="0" w:color="auto"/>
              <w:left w:val="single" w:sz="4" w:space="0" w:color="auto"/>
              <w:bottom w:val="single" w:sz="4" w:space="0" w:color="auto"/>
              <w:right w:val="single" w:sz="4" w:space="0" w:color="auto"/>
            </w:tcBorders>
            <w:hideMark/>
          </w:tcPr>
          <w:p w14:paraId="15B1B1A0"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sz="4" w:space="0" w:color="auto"/>
              <w:left w:val="single" w:sz="4" w:space="0" w:color="auto"/>
              <w:bottom w:val="single" w:sz="4" w:space="0" w:color="auto"/>
              <w:right w:val="single" w:sz="4" w:space="0" w:color="auto"/>
            </w:tcBorders>
            <w:hideMark/>
          </w:tcPr>
          <w:p w14:paraId="5CF80743"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00017138" w:rsidRPr="000D36C4" w14:paraId="551C62E0" w14:textId="77777777" w:rsidTr="00017138">
        <w:trPr>
          <w:cantSplit/>
          <w:trHeight w:val="20"/>
        </w:trPr>
        <w:tc>
          <w:tcPr>
            <w:tcW w:w="9985" w:type="dxa"/>
            <w:gridSpan w:val="4"/>
            <w:tcBorders>
              <w:top w:val="single" w:sz="4" w:space="0" w:color="auto"/>
              <w:left w:val="single" w:sz="4" w:space="0" w:color="auto"/>
              <w:bottom w:val="single" w:sz="4" w:space="0" w:color="auto"/>
              <w:right w:val="single" w:sz="4" w:space="0" w:color="auto"/>
            </w:tcBorders>
            <w:hideMark/>
          </w:tcPr>
          <w:p w14:paraId="2FEDE950" w14:textId="77777777" w:rsidR="00017138" w:rsidRPr="000D36C4" w:rsidRDefault="00017138" w:rsidP="00445EDB">
            <w:pPr>
              <w:pStyle w:val="TableParagraph"/>
              <w:widowControl/>
              <w:rPr>
                <w:rFonts w:ascii="Times New Roman" w:hAnsi="Times New Roman" w:cs="Times New Roman"/>
                <w:color w:val="232121"/>
                <w:lang w:eastAsia="ko-KR"/>
              </w:rPr>
            </w:pPr>
            <w:r>
              <w:rPr>
                <w:rFonts w:ascii="Times New Roman" w:hAnsi="Times New Roman" w:cs="Times New Roman"/>
                <w:lang w:eastAsia="ko-KR"/>
              </w:rPr>
              <w:t>4.</w:t>
            </w:r>
            <w:r>
              <w:rPr>
                <w:rFonts w:ascii="Times New Roman" w:hAnsi="Times New Roman" w:cs="Times New Roman"/>
                <w:lang w:eastAsia="ko-KR"/>
              </w:rPr>
              <w:tab/>
              <w:t>“Active Business” Requirement</w:t>
            </w:r>
            <w:r>
              <w:rPr>
                <w:rStyle w:val="FootnoteReference"/>
                <w:rFonts w:ascii="Times New Roman" w:eastAsia="Times New Roman" w:hAnsi="Times New Roman" w:cs="Times New Roman"/>
                <w:b/>
                <w:bCs/>
                <w:color w:val="383636"/>
              </w:rPr>
              <w:footnoteReference w:id="15"/>
            </w:r>
          </w:p>
        </w:tc>
      </w:tr>
      <w:tr w:rsidR="00017138" w:rsidRPr="000D36C4" w14:paraId="7E371E36"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3D0A09C9" w14:textId="77777777" w:rsidR="00017138" w:rsidRPr="000D36C4" w:rsidRDefault="00017138">
            <w:pPr>
              <w:pStyle w:val="ListParagraph"/>
              <w:widowControl/>
              <w:numPr>
                <w:ilvl w:val="0"/>
                <w:numId w:val="1"/>
              </w:numPr>
              <w:rPr>
                <w:rFonts w:ascii="Times New Roman" w:eastAsia="Arial" w:hAnsi="Times New Roman" w:cs="Times New Roman"/>
                <w:lang w:eastAsia="ko-KR"/>
              </w:rPr>
            </w:pPr>
            <w:r>
              <w:rPr>
                <w:rFonts w:ascii="Times New Roman" w:hAnsi="Times New Roman" w:cs="Times New Roman"/>
                <w:lang w:eastAsia="ko-KR"/>
              </w:rPr>
              <w:lastRenderedPageBreak/>
              <w:t xml:space="preserve">For substantially all of the Stockholder’s holding period, </w:t>
            </w:r>
            <w:r>
              <w:rPr>
                <w:rFonts w:ascii="Times New Roman" w:hAnsi="Times New Roman" w:cs="Times New Roman"/>
                <w:color w:val="383838"/>
                <w:lang w:eastAsia="ko-KR"/>
              </w:rPr>
              <w:t xml:space="preserve">at </w:t>
            </w:r>
            <w:r>
              <w:rPr>
                <w:rFonts w:ascii="Times New Roman" w:hAnsi="Times New Roman" w:cs="Times New Roman"/>
                <w:lang w:eastAsia="ko-KR"/>
              </w:rPr>
              <w:t xml:space="preserve">least 80% of the value of the Company’s assets were used in the conduct of one or more </w:t>
            </w:r>
            <w:r>
              <w:rPr>
                <w:rFonts w:ascii="Times New Roman" w:hAnsi="Times New Roman" w:cs="Times New Roman"/>
                <w:color w:val="383838"/>
                <w:lang w:eastAsia="ko-KR"/>
              </w:rPr>
              <w:t xml:space="preserve">“qualified trades </w:t>
            </w:r>
            <w:r>
              <w:rPr>
                <w:rFonts w:ascii="Times New Roman" w:hAnsi="Times New Roman" w:cs="Times New Roman"/>
                <w:lang w:eastAsia="ko-KR"/>
              </w:rPr>
              <w:t>or businesses”?</w:t>
            </w:r>
            <w:r>
              <w:rPr>
                <w:rStyle w:val="FootnoteReference"/>
                <w:rFonts w:ascii="Times New Roman" w:hAnsi="Times New Roman" w:cs="Times New Roman"/>
                <w:color w:val="232121"/>
              </w:rPr>
              <w:footnoteReference w:id="16"/>
            </w:r>
          </w:p>
          <w:p w14:paraId="452638C3" w14:textId="77777777" w:rsidR="00017138" w:rsidRPr="000D36C4" w:rsidRDefault="00017138" w:rsidP="00445EDB">
            <w:pPr>
              <w:pStyle w:val="TableParagraph"/>
              <w:widowControl/>
              <w:rPr>
                <w:rFonts w:ascii="Times New Roman" w:eastAsia="Arial" w:hAnsi="Times New Roman" w:cs="Times New Roman"/>
                <w:lang w:eastAsia="ko-KR"/>
              </w:rPr>
            </w:pPr>
            <w:r>
              <w:rPr>
                <w:rFonts w:ascii="Times New Roman" w:hAnsi="Times New Roman" w:cs="Times New Roman"/>
                <w:color w:val="383838"/>
                <w:lang w:eastAsia="ko-KR"/>
              </w:rPr>
              <w:t>=&gt;</w:t>
            </w:r>
            <w:r>
              <w:rPr>
                <w:rFonts w:ascii="Times New Roman" w:hAnsi="Times New Roman" w:cs="Times New Roman"/>
                <w:color w:val="383838"/>
                <w:lang w:eastAsia="ko-KR"/>
              </w:rPr>
              <w:tab/>
            </w:r>
            <w:r>
              <w:rPr>
                <w:rFonts w:ascii="Times New Roman" w:hAnsi="Times New Roman" w:cs="Times New Roman"/>
                <w:lang w:eastAsia="ko-KR"/>
              </w:rPr>
              <w:t>For this purpose, any assets which are held (i) as part of the reasonably required working capital needs of a qualified trade or business of the Company, or (ii) for investment and are reasonably expected to be used within two years to finance research and experimentation in a qualified trade or business or increases in the working capital needs of a qualified trade or business shall be treated as used in the active conduct of a qualified trade or business. However, after the Company has been in existence for at least two years, no more than 50% of the Company’s assets can qualify as used in the active conduct of a qualified trade or business by reason of this rule.</w:t>
            </w:r>
            <w:r>
              <w:rPr>
                <w:rStyle w:val="FootnoteReference"/>
                <w:rFonts w:ascii="Times New Roman" w:hAnsi="Times New Roman" w:cs="Times New Roman"/>
                <w:color w:val="232121"/>
              </w:rPr>
              <w:footnoteReference w:id="17"/>
            </w:r>
          </w:p>
        </w:tc>
        <w:tc>
          <w:tcPr>
            <w:tcW w:w="900" w:type="dxa"/>
            <w:tcBorders>
              <w:top w:val="single" w:sz="4" w:space="0" w:color="auto"/>
              <w:left w:val="single" w:sz="4" w:space="0" w:color="auto"/>
              <w:bottom w:val="single" w:sz="4" w:space="0" w:color="auto"/>
              <w:right w:val="single" w:sz="4" w:space="0" w:color="auto"/>
            </w:tcBorders>
            <w:hideMark/>
          </w:tcPr>
          <w:p w14:paraId="665C7B63"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00" w:type="dxa"/>
            <w:tcBorders>
              <w:top w:val="single" w:sz="4" w:space="0" w:color="auto"/>
              <w:left w:val="single" w:sz="4" w:space="0" w:color="auto"/>
              <w:bottom w:val="single" w:sz="4" w:space="0" w:color="auto"/>
              <w:right w:val="single" w:sz="4" w:space="0" w:color="auto"/>
            </w:tcBorders>
            <w:hideMark/>
          </w:tcPr>
          <w:p w14:paraId="04F66A0C"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sz="4" w:space="0" w:color="auto"/>
              <w:left w:val="single" w:sz="4" w:space="0" w:color="auto"/>
              <w:bottom w:val="single" w:sz="4" w:space="0" w:color="auto"/>
              <w:right w:val="single" w:sz="4" w:space="0" w:color="auto"/>
            </w:tcBorders>
            <w:hideMark/>
          </w:tcPr>
          <w:p w14:paraId="7C4F031B"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00017138" w:rsidRPr="000D36C4" w14:paraId="3384006B"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238F041E" w14:textId="77777777" w:rsidR="00017138" w:rsidRPr="000D36C4" w:rsidRDefault="00017138">
            <w:pPr>
              <w:pStyle w:val="ListParagraph"/>
              <w:widowControl/>
              <w:numPr>
                <w:ilvl w:val="0"/>
                <w:numId w:val="1"/>
              </w:numPr>
              <w:rPr>
                <w:rFonts w:ascii="Times New Roman" w:eastAsia="Arial" w:hAnsi="Times New Roman" w:cs="Times New Roman"/>
                <w:lang w:eastAsia="ko-KR"/>
              </w:rPr>
            </w:pPr>
            <w:r>
              <w:rPr>
                <w:rFonts w:ascii="Times New Roman" w:hAnsi="Times New Roman" w:cs="Times New Roman"/>
                <w:lang w:eastAsia="ko-KR"/>
              </w:rPr>
              <w:t xml:space="preserve">For substantially all of the Stockholder’s holding period, no more than 10% of the value of the Company’s </w:t>
            </w:r>
            <w:r>
              <w:rPr>
                <w:rFonts w:ascii="Times New Roman" w:hAnsi="Times New Roman" w:cs="Times New Roman"/>
                <w:color w:val="232121"/>
                <w:lang w:eastAsia="ko-KR"/>
              </w:rPr>
              <w:t>assets (in excess of liabilities)</w:t>
            </w:r>
            <w:r>
              <w:rPr>
                <w:rFonts w:ascii="Times New Roman" w:hAnsi="Times New Roman" w:cs="Times New Roman"/>
                <w:color w:val="383838"/>
                <w:lang w:eastAsia="ko-KR"/>
              </w:rPr>
              <w:t xml:space="preserve"> consisted of “portfolio stock”?</w:t>
            </w:r>
            <w:bookmarkStart w:id="326" w:name="_Ref43719362"/>
            <w:r>
              <w:rPr>
                <w:rStyle w:val="FootnoteReference"/>
                <w:rFonts w:ascii="Times New Roman" w:hAnsi="Times New Roman" w:cs="Times New Roman"/>
                <w:color w:val="232121"/>
              </w:rPr>
              <w:footnoteReference w:id="18"/>
            </w:r>
            <w:bookmarkEnd w:id="326"/>
          </w:p>
        </w:tc>
        <w:tc>
          <w:tcPr>
            <w:tcW w:w="900" w:type="dxa"/>
            <w:tcBorders>
              <w:top w:val="single" w:sz="4" w:space="0" w:color="auto"/>
              <w:left w:val="single" w:sz="4" w:space="0" w:color="auto"/>
              <w:bottom w:val="single" w:sz="4" w:space="0" w:color="auto"/>
              <w:right w:val="single" w:sz="4" w:space="0" w:color="auto"/>
            </w:tcBorders>
            <w:hideMark/>
          </w:tcPr>
          <w:p w14:paraId="409DA82C"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00" w:type="dxa"/>
            <w:tcBorders>
              <w:top w:val="single" w:sz="4" w:space="0" w:color="auto"/>
              <w:left w:val="single" w:sz="4" w:space="0" w:color="auto"/>
              <w:bottom w:val="single" w:sz="4" w:space="0" w:color="auto"/>
              <w:right w:val="single" w:sz="4" w:space="0" w:color="auto"/>
            </w:tcBorders>
            <w:hideMark/>
          </w:tcPr>
          <w:p w14:paraId="7B497F71"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sz="4" w:space="0" w:color="auto"/>
              <w:left w:val="single" w:sz="4" w:space="0" w:color="auto"/>
              <w:bottom w:val="single" w:sz="4" w:space="0" w:color="auto"/>
              <w:right w:val="single" w:sz="4" w:space="0" w:color="auto"/>
            </w:tcBorders>
            <w:hideMark/>
          </w:tcPr>
          <w:p w14:paraId="4DAAFBA0"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00017138" w:rsidRPr="000D36C4" w14:paraId="1E0D34DB"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6A10D3CC" w14:textId="77777777" w:rsidR="00017138" w:rsidRPr="000D36C4" w:rsidRDefault="00017138">
            <w:pPr>
              <w:pStyle w:val="ListParagraph"/>
              <w:widowControl/>
              <w:numPr>
                <w:ilvl w:val="0"/>
                <w:numId w:val="1"/>
              </w:numPr>
              <w:rPr>
                <w:rFonts w:ascii="Times New Roman" w:eastAsia="Arial" w:hAnsi="Times New Roman" w:cs="Times New Roman"/>
                <w:lang w:eastAsia="ko-KR"/>
              </w:rPr>
            </w:pPr>
            <w:r>
              <w:rPr>
                <w:rFonts w:ascii="Times New Roman" w:hAnsi="Times New Roman" w:cs="Times New Roman"/>
                <w:color w:val="383838"/>
                <w:lang w:eastAsia="ko-KR"/>
              </w:rPr>
              <w:t xml:space="preserve">For substantially all of the Stockholder’s holding period, </w:t>
            </w:r>
            <w:r>
              <w:rPr>
                <w:rFonts w:ascii="Times New Roman" w:hAnsi="Times New Roman" w:cs="Times New Roman"/>
                <w:lang w:eastAsia="ko-KR"/>
              </w:rPr>
              <w:t xml:space="preserve">no more </w:t>
            </w:r>
            <w:r>
              <w:rPr>
                <w:rFonts w:ascii="Times New Roman" w:hAnsi="Times New Roman" w:cs="Times New Roman"/>
                <w:color w:val="383838"/>
                <w:lang w:eastAsia="ko-KR"/>
              </w:rPr>
              <w:t xml:space="preserve">than </w:t>
            </w:r>
            <w:r>
              <w:rPr>
                <w:rFonts w:ascii="Times New Roman" w:hAnsi="Times New Roman" w:cs="Times New Roman"/>
                <w:lang w:eastAsia="ko-KR"/>
              </w:rPr>
              <w:t xml:space="preserve">10% of the total value of </w:t>
            </w:r>
            <w:r>
              <w:rPr>
                <w:rFonts w:ascii="Times New Roman" w:hAnsi="Times New Roman" w:cs="Times New Roman"/>
                <w:color w:val="383838"/>
                <w:lang w:eastAsia="ko-KR"/>
              </w:rPr>
              <w:t xml:space="preserve">the Company’s assets </w:t>
            </w:r>
            <w:r>
              <w:rPr>
                <w:rFonts w:ascii="Times New Roman" w:hAnsi="Times New Roman" w:cs="Times New Roman"/>
                <w:lang w:eastAsia="ko-KR"/>
              </w:rPr>
              <w:t xml:space="preserve">consisted of real property not being used in the active </w:t>
            </w:r>
            <w:r>
              <w:rPr>
                <w:rFonts w:ascii="Times New Roman" w:hAnsi="Times New Roman" w:cs="Times New Roman"/>
                <w:color w:val="383838"/>
                <w:lang w:eastAsia="ko-KR"/>
              </w:rPr>
              <w:t xml:space="preserve">conduct </w:t>
            </w:r>
            <w:r>
              <w:rPr>
                <w:rFonts w:ascii="Times New Roman" w:hAnsi="Times New Roman" w:cs="Times New Roman"/>
                <w:lang w:eastAsia="ko-KR"/>
              </w:rPr>
              <w:t>of a qualified business?</w:t>
            </w:r>
            <w:r>
              <w:rPr>
                <w:rStyle w:val="FootnoteReference"/>
                <w:rFonts w:ascii="Times New Roman" w:hAnsi="Times New Roman" w:cs="Times New Roman"/>
                <w:color w:val="232121"/>
              </w:rPr>
              <w:footnoteReference w:id="19"/>
            </w:r>
          </w:p>
        </w:tc>
        <w:tc>
          <w:tcPr>
            <w:tcW w:w="900" w:type="dxa"/>
            <w:tcBorders>
              <w:top w:val="single" w:sz="4" w:space="0" w:color="auto"/>
              <w:left w:val="single" w:sz="4" w:space="0" w:color="auto"/>
              <w:bottom w:val="single" w:sz="4" w:space="0" w:color="auto"/>
              <w:right w:val="single" w:sz="4" w:space="0" w:color="auto"/>
            </w:tcBorders>
            <w:hideMark/>
          </w:tcPr>
          <w:p w14:paraId="229A2B87"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00" w:type="dxa"/>
            <w:tcBorders>
              <w:top w:val="single" w:sz="4" w:space="0" w:color="auto"/>
              <w:left w:val="single" w:sz="4" w:space="0" w:color="auto"/>
              <w:bottom w:val="single" w:sz="4" w:space="0" w:color="auto"/>
              <w:right w:val="single" w:sz="4" w:space="0" w:color="auto"/>
            </w:tcBorders>
            <w:hideMark/>
          </w:tcPr>
          <w:p w14:paraId="0F849B89"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sz="4" w:space="0" w:color="auto"/>
              <w:left w:val="single" w:sz="4" w:space="0" w:color="auto"/>
              <w:bottom w:val="single" w:sz="4" w:space="0" w:color="auto"/>
              <w:right w:val="single" w:sz="4" w:space="0" w:color="auto"/>
            </w:tcBorders>
            <w:hideMark/>
          </w:tcPr>
          <w:p w14:paraId="6D4F80CD"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00017138" w:rsidRPr="000D36C4" w14:paraId="47FBF8DE"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7BB17D1D" w14:textId="77777777" w:rsidR="00017138" w:rsidRPr="000D36C4" w:rsidRDefault="00017138">
            <w:pPr>
              <w:pStyle w:val="TableParagraph"/>
              <w:widowControl/>
              <w:numPr>
                <w:ilvl w:val="0"/>
                <w:numId w:val="4"/>
              </w:numPr>
              <w:rPr>
                <w:rFonts w:ascii="Times New Roman" w:eastAsia="Arial" w:hAnsi="Times New Roman" w:cs="Times New Roman"/>
                <w:lang w:eastAsia="ko-KR"/>
              </w:rPr>
            </w:pPr>
            <w:r>
              <w:rPr>
                <w:rFonts w:ascii="Times New Roman" w:hAnsi="Times New Roman" w:cs="Times New Roman"/>
                <w:i/>
                <w:iCs/>
                <w:lang w:eastAsia="ko-KR"/>
              </w:rPr>
              <w:t xml:space="preserve">If the answer to the preceding bullets under this Item #4 are yes, disregard this bullet. </w:t>
            </w:r>
            <w:r>
              <w:rPr>
                <w:rFonts w:ascii="Times New Roman" w:hAnsi="Times New Roman" w:cs="Times New Roman"/>
                <w:lang w:eastAsia="ko-KR"/>
              </w:rPr>
              <w:t xml:space="preserve">The </w:t>
            </w:r>
            <w:r>
              <w:rPr>
                <w:rFonts w:ascii="Times New Roman" w:hAnsi="Times New Roman" w:cs="Times New Roman"/>
                <w:color w:val="232121"/>
                <w:lang w:eastAsia="ko-KR"/>
              </w:rPr>
              <w:t xml:space="preserve">Company is </w:t>
            </w:r>
            <w:r>
              <w:rPr>
                <w:rFonts w:ascii="Times New Roman" w:hAnsi="Times New Roman" w:cs="Times New Roman"/>
                <w:color w:val="383838"/>
                <w:lang w:eastAsia="ko-KR"/>
              </w:rPr>
              <w:t>a “</w:t>
            </w:r>
            <w:r>
              <w:rPr>
                <w:rFonts w:ascii="Times New Roman" w:hAnsi="Times New Roman" w:cs="Times New Roman"/>
                <w:color w:val="232121"/>
                <w:lang w:eastAsia="ko-KR"/>
              </w:rPr>
              <w:t>specialized</w:t>
            </w:r>
            <w:r>
              <w:rPr>
                <w:rFonts w:ascii="Times New Roman" w:hAnsi="Times New Roman" w:cs="Times New Roman"/>
                <w:color w:val="383838"/>
                <w:lang w:eastAsia="ko-KR"/>
              </w:rPr>
              <w:t xml:space="preserve"> small </w:t>
            </w:r>
            <w:r>
              <w:rPr>
                <w:rFonts w:ascii="Times New Roman" w:hAnsi="Times New Roman" w:cs="Times New Roman"/>
                <w:lang w:eastAsia="ko-KR"/>
              </w:rPr>
              <w:t xml:space="preserve">business investment </w:t>
            </w:r>
            <w:bookmarkStart w:id="328" w:name="_9kMON5YVt46679COHy0poD"/>
            <w:bookmarkStart w:id="329" w:name="_9kMON5YVt4667ACNHy0poD"/>
            <w:r>
              <w:rPr>
                <w:rFonts w:ascii="Times New Roman" w:hAnsi="Times New Roman" w:cs="Times New Roman"/>
                <w:color w:val="383838"/>
                <w:lang w:eastAsia="ko-KR"/>
              </w:rPr>
              <w:t>company</w:t>
            </w:r>
            <w:bookmarkEnd w:id="328"/>
            <w:bookmarkEnd w:id="329"/>
            <w:r>
              <w:rPr>
                <w:rFonts w:ascii="Times New Roman" w:hAnsi="Times New Roman" w:cs="Times New Roman"/>
                <w:color w:val="383838"/>
                <w:lang w:eastAsia="ko-KR"/>
              </w:rPr>
              <w:t xml:space="preserve">” </w:t>
            </w:r>
            <w:r>
              <w:rPr>
                <w:rFonts w:ascii="Times New Roman" w:hAnsi="Times New Roman" w:cs="Times New Roman"/>
                <w:lang w:eastAsia="ko-KR"/>
              </w:rPr>
              <w:t xml:space="preserve">licensed to operate under Section </w:t>
            </w:r>
            <w:r>
              <w:rPr>
                <w:rFonts w:ascii="Times New Roman" w:hAnsi="Times New Roman" w:cs="Times New Roman"/>
                <w:color w:val="383838"/>
                <w:lang w:eastAsia="ko-KR"/>
              </w:rPr>
              <w:t xml:space="preserve">301(d) </w:t>
            </w:r>
            <w:r>
              <w:rPr>
                <w:rFonts w:ascii="Times New Roman" w:hAnsi="Times New Roman" w:cs="Times New Roman"/>
                <w:lang w:eastAsia="ko-KR"/>
              </w:rPr>
              <w:t xml:space="preserve">of </w:t>
            </w:r>
            <w:r>
              <w:rPr>
                <w:rFonts w:ascii="Times New Roman" w:hAnsi="Times New Roman" w:cs="Times New Roman"/>
                <w:color w:val="383838"/>
                <w:lang w:eastAsia="ko-KR"/>
              </w:rPr>
              <w:t xml:space="preserve">the </w:t>
            </w:r>
            <w:r>
              <w:rPr>
                <w:rFonts w:ascii="Times New Roman" w:hAnsi="Times New Roman" w:cs="Times New Roman"/>
                <w:lang w:eastAsia="ko-KR"/>
              </w:rPr>
              <w:t>Small Business Act of 1958?</w:t>
            </w:r>
            <w:r>
              <w:rPr>
                <w:rStyle w:val="FootnoteReference"/>
                <w:rFonts w:ascii="Times New Roman" w:hAnsi="Times New Roman" w:cs="Times New Roman"/>
                <w:color w:val="232121"/>
              </w:rPr>
              <w:footnoteReference w:id="20"/>
            </w:r>
          </w:p>
        </w:tc>
        <w:tc>
          <w:tcPr>
            <w:tcW w:w="900" w:type="dxa"/>
            <w:tcBorders>
              <w:top w:val="single" w:sz="4" w:space="0" w:color="auto"/>
              <w:left w:val="single" w:sz="4" w:space="0" w:color="auto"/>
              <w:bottom w:val="single" w:sz="4" w:space="0" w:color="auto"/>
              <w:right w:val="single" w:sz="4" w:space="0" w:color="auto"/>
            </w:tcBorders>
            <w:hideMark/>
          </w:tcPr>
          <w:p w14:paraId="6319AD48" w14:textId="77777777" w:rsidR="00017138" w:rsidRPr="000D36C4" w:rsidRDefault="00017138" w:rsidP="00445EDB">
            <w:pPr>
              <w:pStyle w:val="TableParagraph"/>
              <w:widowControl/>
              <w:rPr>
                <w:rFonts w:ascii="Times New Roman" w:eastAsia="Arial" w:hAnsi="Times New Roman" w:cs="Times New Roman"/>
                <w:lang w:eastAsia="ko-KR"/>
              </w:rPr>
            </w:pPr>
            <w:r>
              <w:rPr>
                <w:rFonts w:ascii="Times New Roman" w:hAnsi="Times New Roman" w:cs="Times New Roman"/>
                <w:lang w:eastAsia="ko-KR"/>
              </w:rPr>
              <w:sym w:font="Wingdings" w:char="F0A8"/>
            </w:r>
          </w:p>
        </w:tc>
        <w:tc>
          <w:tcPr>
            <w:tcW w:w="900" w:type="dxa"/>
            <w:tcBorders>
              <w:top w:val="single" w:sz="4" w:space="0" w:color="auto"/>
              <w:left w:val="single" w:sz="4" w:space="0" w:color="auto"/>
              <w:bottom w:val="single" w:sz="4" w:space="0" w:color="auto"/>
              <w:right w:val="single" w:sz="4" w:space="0" w:color="auto"/>
            </w:tcBorders>
            <w:hideMark/>
          </w:tcPr>
          <w:p w14:paraId="6B1984C9"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sz="4" w:space="0" w:color="auto"/>
              <w:left w:val="single" w:sz="4" w:space="0" w:color="auto"/>
              <w:bottom w:val="single" w:sz="4" w:space="0" w:color="auto"/>
              <w:right w:val="single" w:sz="4" w:space="0" w:color="auto"/>
            </w:tcBorders>
            <w:hideMark/>
          </w:tcPr>
          <w:p w14:paraId="4D0806DC"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bl>
    <w:p w14:paraId="28873969" w14:textId="77777777" w:rsidR="00017138" w:rsidRPr="000D36C4" w:rsidRDefault="00017138" w:rsidP="00445EDB"/>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Pr>
      <w:tblGrid>
        <w:gridCol w:w="7195"/>
        <w:gridCol w:w="540"/>
        <w:gridCol w:w="540"/>
        <w:gridCol w:w="1800"/>
      </w:tblGrid>
      <w:tr w:rsidR="00017138" w:rsidRPr="000D36C4" w14:paraId="6035BFC1" w14:textId="77777777" w:rsidTr="00017138">
        <w:trPr>
          <w:cantSplit/>
          <w:trHeight w:val="20"/>
        </w:trPr>
        <w:tc>
          <w:tcPr>
            <w:tcW w:w="10075" w:type="dxa"/>
            <w:gridSpan w:val="4"/>
            <w:tcBorders>
              <w:top w:val="single" w:sz="4" w:space="0" w:color="auto"/>
              <w:left w:val="single" w:sz="4" w:space="0" w:color="auto"/>
              <w:bottom w:val="single" w:sz="4" w:space="0" w:color="auto"/>
              <w:right w:val="single" w:sz="4" w:space="0" w:color="auto"/>
            </w:tcBorders>
          </w:tcPr>
          <w:p w14:paraId="66B24609"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t>5.</w:t>
            </w:r>
            <w:r>
              <w:rPr>
                <w:rFonts w:ascii="Times New Roman" w:hAnsi="Times New Roman" w:cs="Times New Roman"/>
                <w:lang w:eastAsia="ko-KR"/>
              </w:rPr>
              <w:tab/>
              <w:t>Redemption Analysis</w:t>
            </w:r>
          </w:p>
        </w:tc>
      </w:tr>
      <w:tr w:rsidR="00017138" w:rsidRPr="000D36C4" w14:paraId="19BB90AA"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090A2BF4" w14:textId="77777777" w:rsidR="00017138" w:rsidRPr="000D36C4" w:rsidRDefault="00017138">
            <w:pPr>
              <w:pStyle w:val="TableParagraph"/>
              <w:widowControl/>
              <w:numPr>
                <w:ilvl w:val="0"/>
                <w:numId w:val="4"/>
              </w:numPr>
              <w:rPr>
                <w:rFonts w:ascii="Times New Roman" w:eastAsia="Arial" w:hAnsi="Times New Roman" w:cs="Times New Roman"/>
                <w:lang w:eastAsia="ko-KR"/>
              </w:rPr>
            </w:pPr>
            <w:r>
              <w:rPr>
                <w:rFonts w:ascii="Times New Roman" w:hAnsi="Times New Roman" w:cs="Times New Roman"/>
                <w:color w:val="232121"/>
                <w:lang w:eastAsia="ko-KR"/>
              </w:rPr>
              <w:lastRenderedPageBreak/>
              <w:t>The Company has not</w:t>
            </w:r>
            <w:r>
              <w:rPr>
                <w:rFonts w:ascii="Times New Roman" w:hAnsi="Times New Roman" w:cs="Times New Roman"/>
                <w:color w:val="383838"/>
                <w:lang w:eastAsia="ko-KR"/>
              </w:rPr>
              <w:t xml:space="preserve"> redeemed stock from </w:t>
            </w:r>
            <w:r>
              <w:rPr>
                <w:rFonts w:ascii="Times New Roman" w:hAnsi="Times New Roman" w:cs="Times New Roman"/>
                <w:lang w:eastAsia="ko-KR"/>
              </w:rPr>
              <w:t xml:space="preserve">the Stockholder </w:t>
            </w:r>
            <w:r>
              <w:rPr>
                <w:rFonts w:ascii="Times New Roman" w:hAnsi="Times New Roman" w:cs="Times New Roman"/>
                <w:color w:val="383838"/>
                <w:lang w:eastAsia="ko-KR"/>
              </w:rPr>
              <w:t xml:space="preserve">or, to the Company’s knowledge, </w:t>
            </w:r>
            <w:r>
              <w:rPr>
                <w:rFonts w:ascii="Times New Roman" w:hAnsi="Times New Roman" w:cs="Times New Roman"/>
                <w:lang w:eastAsia="ko-KR"/>
              </w:rPr>
              <w:t xml:space="preserve">any related party (within the meaning of Sections 267(b) or 707(b) of the Stockholder) at any time during the four-year period beginning on the date two </w:t>
            </w:r>
            <w:r>
              <w:rPr>
                <w:rFonts w:ascii="Times New Roman" w:hAnsi="Times New Roman" w:cs="Times New Roman"/>
                <w:color w:val="383838"/>
                <w:lang w:eastAsia="ko-KR"/>
              </w:rPr>
              <w:t xml:space="preserve">years </w:t>
            </w:r>
            <w:r>
              <w:rPr>
                <w:rFonts w:ascii="Times New Roman" w:hAnsi="Times New Roman" w:cs="Times New Roman"/>
                <w:lang w:eastAsia="ko-KR"/>
              </w:rPr>
              <w:t xml:space="preserve">before the </w:t>
            </w:r>
            <w:bookmarkStart w:id="331" w:name="_9kMIH5YVt4886GOYR8ByI9w1"/>
            <w:r>
              <w:rPr>
                <w:rFonts w:ascii="Times New Roman" w:hAnsi="Times New Roman" w:cs="Times New Roman"/>
                <w:lang w:eastAsia="ko-KR"/>
              </w:rPr>
              <w:t>Issue Date</w:t>
            </w:r>
            <w:bookmarkEnd w:id="331"/>
            <w:r>
              <w:rPr>
                <w:rFonts w:ascii="Times New Roman" w:hAnsi="Times New Roman" w:cs="Times New Roman"/>
                <w:lang w:eastAsia="ko-KR"/>
              </w:rPr>
              <w:t xml:space="preserve"> of the </w:t>
            </w:r>
            <w:r>
              <w:rPr>
                <w:rFonts w:ascii="Times New Roman" w:hAnsi="Times New Roman" w:cs="Times New Roman"/>
                <w:color w:val="383838"/>
                <w:lang w:eastAsia="ko-KR"/>
              </w:rPr>
              <w:t xml:space="preserve">stock </w:t>
            </w:r>
            <w:r>
              <w:rPr>
                <w:rFonts w:ascii="Times New Roman" w:hAnsi="Times New Roman" w:cs="Times New Roman"/>
                <w:lang w:eastAsia="ko-KR"/>
              </w:rPr>
              <w:t xml:space="preserve">in question, other than </w:t>
            </w:r>
            <w:r>
              <w:rPr>
                <w:rFonts w:ascii="Times New Roman" w:hAnsi="Times New Roman" w:cs="Times New Roman"/>
                <w:i/>
                <w:iCs/>
                <w:lang w:eastAsia="ko-KR"/>
              </w:rPr>
              <w:t>de minimis</w:t>
            </w:r>
            <w:r>
              <w:rPr>
                <w:rFonts w:ascii="Times New Roman" w:hAnsi="Times New Roman" w:cs="Times New Roman"/>
                <w:lang w:eastAsia="ko-KR"/>
              </w:rPr>
              <w:t xml:space="preserve"> redemptions and certain disregarded redemptions?</w:t>
            </w:r>
            <w:bookmarkStart w:id="332" w:name="_Ref72771023"/>
            <w:r>
              <w:rPr>
                <w:rStyle w:val="FootnoteReference"/>
                <w:rFonts w:ascii="Times New Roman" w:hAnsi="Times New Roman" w:cs="Times New Roman"/>
                <w:color w:val="232121"/>
              </w:rPr>
              <w:footnoteReference w:id="21"/>
            </w:r>
            <w:bookmarkEnd w:id="332"/>
          </w:p>
        </w:tc>
        <w:tc>
          <w:tcPr>
            <w:tcW w:w="540" w:type="dxa"/>
            <w:tcBorders>
              <w:top w:val="single" w:sz="4" w:space="0" w:color="auto"/>
              <w:left w:val="single" w:sz="4" w:space="0" w:color="auto"/>
              <w:bottom w:val="single" w:sz="4" w:space="0" w:color="auto"/>
              <w:right w:val="single" w:sz="4" w:space="0" w:color="auto"/>
            </w:tcBorders>
            <w:hideMark/>
          </w:tcPr>
          <w:p w14:paraId="6644E523" w14:textId="77777777" w:rsidR="00017138" w:rsidRPr="000D36C4" w:rsidRDefault="00017138" w:rsidP="00445EDB">
            <w:pPr>
              <w:pStyle w:val="TableParagraph"/>
              <w:widowControl/>
              <w:rPr>
                <w:rFonts w:ascii="Times New Roman" w:eastAsia="Arial" w:hAnsi="Times New Roman" w:cs="Times New Roman"/>
                <w:lang w:eastAsia="ko-KR"/>
              </w:rPr>
            </w:pPr>
            <w:r>
              <w:rPr>
                <w:rFonts w:ascii="Times New Roman" w:hAnsi="Times New Roman" w:cs="Times New Roman"/>
                <w:lang w:eastAsia="ko-KR"/>
              </w:rPr>
              <w:sym w:font="Wingdings" w:char="F0A8"/>
            </w:r>
          </w:p>
        </w:tc>
        <w:tc>
          <w:tcPr>
            <w:tcW w:w="540" w:type="dxa"/>
            <w:tcBorders>
              <w:top w:val="single" w:sz="4" w:space="0" w:color="auto"/>
              <w:left w:val="single" w:sz="4" w:space="0" w:color="auto"/>
              <w:bottom w:val="single" w:sz="4" w:space="0" w:color="auto"/>
              <w:right w:val="single" w:sz="4" w:space="0" w:color="auto"/>
            </w:tcBorders>
            <w:hideMark/>
          </w:tcPr>
          <w:p w14:paraId="7C176413"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1800" w:type="dxa"/>
            <w:tcBorders>
              <w:top w:val="single" w:sz="4" w:space="0" w:color="auto"/>
              <w:left w:val="single" w:sz="4" w:space="0" w:color="auto"/>
              <w:bottom w:val="single" w:sz="4" w:space="0" w:color="auto"/>
              <w:right w:val="single" w:sz="4" w:space="0" w:color="auto"/>
            </w:tcBorders>
            <w:hideMark/>
          </w:tcPr>
          <w:p w14:paraId="2867307A"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00017138" w:rsidRPr="000D36C4" w14:paraId="083926D7"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4BA98327" w14:textId="77777777" w:rsidR="00017138" w:rsidRPr="000D36C4" w:rsidRDefault="00017138">
            <w:pPr>
              <w:pStyle w:val="TableParagraph"/>
              <w:widowControl/>
              <w:numPr>
                <w:ilvl w:val="0"/>
                <w:numId w:val="4"/>
              </w:numPr>
              <w:rPr>
                <w:rFonts w:ascii="Times New Roman" w:eastAsia="Arial" w:hAnsi="Times New Roman" w:cs="Times New Roman"/>
                <w:lang w:eastAsia="ko-KR"/>
              </w:rPr>
            </w:pPr>
            <w:r>
              <w:rPr>
                <w:rFonts w:ascii="Times New Roman" w:hAnsi="Times New Roman" w:cs="Times New Roman"/>
                <w:lang w:eastAsia="ko-KR"/>
              </w:rPr>
              <w:t>The Company has not redeemed</w:t>
            </w:r>
            <w:r>
              <w:rPr>
                <w:rFonts w:ascii="Times New Roman" w:hAnsi="Times New Roman" w:cs="Times New Roman"/>
                <w:color w:val="383838"/>
                <w:lang w:eastAsia="ko-KR"/>
              </w:rPr>
              <w:t xml:space="preserve"> stock </w:t>
            </w:r>
            <w:r>
              <w:rPr>
                <w:rFonts w:ascii="Times New Roman" w:hAnsi="Times New Roman" w:cs="Times New Roman"/>
                <w:color w:val="232121"/>
                <w:lang w:eastAsia="ko-KR"/>
              </w:rPr>
              <w:t xml:space="preserve">during the two-year period beginning on the date one </w:t>
            </w:r>
            <w:r>
              <w:rPr>
                <w:rFonts w:ascii="Times New Roman" w:hAnsi="Times New Roman" w:cs="Times New Roman"/>
                <w:lang w:eastAsia="ko-KR"/>
              </w:rPr>
              <w:t xml:space="preserve">year before </w:t>
            </w:r>
            <w:r>
              <w:rPr>
                <w:rFonts w:ascii="Times New Roman" w:hAnsi="Times New Roman" w:cs="Times New Roman"/>
                <w:color w:val="383838"/>
                <w:lang w:eastAsia="ko-KR"/>
              </w:rPr>
              <w:t xml:space="preserve">the </w:t>
            </w:r>
            <w:bookmarkStart w:id="333" w:name="_9kMJI5YVt4886GOYR8ByI9w1"/>
            <w:r>
              <w:rPr>
                <w:rFonts w:ascii="Times New Roman" w:hAnsi="Times New Roman" w:cs="Times New Roman"/>
                <w:lang w:eastAsia="ko-KR"/>
              </w:rPr>
              <w:t>Issue Date</w:t>
            </w:r>
            <w:bookmarkEnd w:id="333"/>
            <w:r>
              <w:rPr>
                <w:rFonts w:ascii="Times New Roman" w:hAnsi="Times New Roman" w:cs="Times New Roman"/>
                <w:lang w:eastAsia="ko-KR"/>
              </w:rPr>
              <w:t xml:space="preserve"> with an aggregate value (as of the time of the redemption) exceeding 5% of the </w:t>
            </w:r>
            <w:r>
              <w:rPr>
                <w:rFonts w:ascii="Times New Roman" w:hAnsi="Times New Roman" w:cs="Times New Roman"/>
                <w:color w:val="383838"/>
                <w:lang w:eastAsia="ko-KR"/>
              </w:rPr>
              <w:t xml:space="preserve">aggregate value of </w:t>
            </w:r>
            <w:r>
              <w:rPr>
                <w:rFonts w:ascii="Times New Roman" w:hAnsi="Times New Roman" w:cs="Times New Roman"/>
                <w:lang w:eastAsia="ko-KR"/>
              </w:rPr>
              <w:t>all the Company’s stock as</w:t>
            </w:r>
            <w:r>
              <w:rPr>
                <w:rFonts w:ascii="Times New Roman" w:hAnsi="Times New Roman" w:cs="Times New Roman"/>
                <w:color w:val="232121"/>
                <w:lang w:eastAsia="ko-KR"/>
              </w:rPr>
              <w:t xml:space="preserve"> of the beginning of such two-year period</w:t>
            </w:r>
            <w:r>
              <w:rPr>
                <w:rFonts w:ascii="Times New Roman" w:hAnsi="Times New Roman" w:cs="Times New Roman"/>
                <w:lang w:eastAsia="ko-KR"/>
              </w:rPr>
              <w:t xml:space="preserve">, other than </w:t>
            </w:r>
            <w:r>
              <w:rPr>
                <w:rFonts w:ascii="Times New Roman" w:hAnsi="Times New Roman" w:cs="Times New Roman"/>
                <w:i/>
                <w:iCs/>
                <w:lang w:eastAsia="ko-KR"/>
              </w:rPr>
              <w:t>de minimis</w:t>
            </w:r>
            <w:r>
              <w:rPr>
                <w:rFonts w:ascii="Times New Roman" w:hAnsi="Times New Roman" w:cs="Times New Roman"/>
                <w:lang w:eastAsia="ko-KR"/>
              </w:rPr>
              <w:t xml:space="preserve"> redemptions and certain disregarded redemptions?</w:t>
            </w:r>
            <w:r>
              <w:rPr>
                <w:rStyle w:val="FootnoteReference"/>
                <w:rFonts w:ascii="Times New Roman" w:hAnsi="Times New Roman" w:cs="Times New Roman"/>
                <w:color w:val="232121"/>
              </w:rPr>
              <w:footnoteReference w:id="22"/>
            </w:r>
          </w:p>
        </w:tc>
        <w:tc>
          <w:tcPr>
            <w:tcW w:w="540" w:type="dxa"/>
            <w:tcBorders>
              <w:top w:val="single" w:sz="4" w:space="0" w:color="auto"/>
              <w:left w:val="single" w:sz="4" w:space="0" w:color="auto"/>
              <w:bottom w:val="single" w:sz="4" w:space="0" w:color="auto"/>
              <w:right w:val="single" w:sz="4" w:space="0" w:color="auto"/>
            </w:tcBorders>
            <w:hideMark/>
          </w:tcPr>
          <w:p w14:paraId="41194E41" w14:textId="77777777" w:rsidR="00017138" w:rsidRPr="000D36C4" w:rsidRDefault="00017138" w:rsidP="00445EDB">
            <w:pPr>
              <w:pStyle w:val="TableParagraph"/>
              <w:widowControl/>
              <w:rPr>
                <w:rFonts w:ascii="Times New Roman" w:eastAsia="Arial" w:hAnsi="Times New Roman" w:cs="Times New Roman"/>
                <w:lang w:eastAsia="ko-KR"/>
              </w:rPr>
            </w:pPr>
            <w:r>
              <w:rPr>
                <w:rFonts w:ascii="Times New Roman" w:hAnsi="Times New Roman" w:cs="Times New Roman"/>
                <w:lang w:eastAsia="ko-KR"/>
              </w:rPr>
              <w:sym w:font="Wingdings" w:char="F0A8"/>
            </w:r>
          </w:p>
        </w:tc>
        <w:tc>
          <w:tcPr>
            <w:tcW w:w="540" w:type="dxa"/>
            <w:tcBorders>
              <w:top w:val="single" w:sz="4" w:space="0" w:color="auto"/>
              <w:left w:val="single" w:sz="4" w:space="0" w:color="auto"/>
              <w:bottom w:val="single" w:sz="4" w:space="0" w:color="auto"/>
              <w:right w:val="single" w:sz="4" w:space="0" w:color="auto"/>
            </w:tcBorders>
            <w:hideMark/>
          </w:tcPr>
          <w:p w14:paraId="02DBDA5A"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1800" w:type="dxa"/>
            <w:tcBorders>
              <w:top w:val="single" w:sz="4" w:space="0" w:color="auto"/>
              <w:left w:val="single" w:sz="4" w:space="0" w:color="auto"/>
              <w:bottom w:val="single" w:sz="4" w:space="0" w:color="auto"/>
              <w:right w:val="single" w:sz="4" w:space="0" w:color="auto"/>
            </w:tcBorders>
            <w:hideMark/>
          </w:tcPr>
          <w:p w14:paraId="47544DCA" w14:textId="77777777" w:rsidR="00017138" w:rsidRPr="000D36C4" w:rsidRDefault="00017138" w:rsidP="00445EDB">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bl>
    <w:p w14:paraId="1393B22B" w14:textId="77777777" w:rsidR="00017138" w:rsidRPr="000D36C4" w:rsidRDefault="00017138" w:rsidP="00445EDB">
      <w:pPr>
        <w:pStyle w:val="Bod"/>
        <w:rPr>
          <w:rFonts w:cs="Times New Roman"/>
        </w:rPr>
      </w:pPr>
    </w:p>
    <w:p w14:paraId="2426C79B" w14:textId="77777777" w:rsidR="00017138" w:rsidRPr="000D36C4" w:rsidRDefault="00017138" w:rsidP="00445EDB">
      <w:pPr>
        <w:pStyle w:val="BodyText"/>
      </w:pPr>
      <w:r>
        <w:t>IN WITNESS WHEREOF, the Company has provided this Checklist on [</w:t>
      </w:r>
      <w:bookmarkStart w:id="334" w:name="_9kR3WTr2664ENS2pu"/>
      <w:r>
        <w:rPr>
          <w:i/>
        </w:rPr>
        <w:t>Date</w:t>
      </w:r>
      <w:bookmarkEnd w:id="334"/>
      <w:r>
        <w:rPr>
          <w:i/>
        </w:rPr>
        <w:t xml:space="preserve"> checklist is being delivered</w:t>
      </w:r>
      <w:r>
        <w:t>].</w:t>
      </w:r>
    </w:p>
    <w:p w14:paraId="7EC450AF" w14:textId="77777777" w:rsidR="00017138" w:rsidRPr="000D36C4" w:rsidRDefault="00017138" w:rsidP="00445EDB">
      <w:pPr>
        <w:ind w:left="5670"/>
      </w:pPr>
      <w:r>
        <w:t>[Company Name]</w:t>
      </w:r>
    </w:p>
    <w:p w14:paraId="4C583F70" w14:textId="77777777" w:rsidR="00017138" w:rsidRPr="000D36C4" w:rsidRDefault="00017138" w:rsidP="00445EDB">
      <w:pPr>
        <w:ind w:left="5670"/>
      </w:pPr>
    </w:p>
    <w:p w14:paraId="70867AE2" w14:textId="77777777" w:rsidR="00017138" w:rsidRPr="000D36C4" w:rsidRDefault="00017138" w:rsidP="00445EDB">
      <w:pPr>
        <w:ind w:left="5670"/>
      </w:pPr>
      <w:r>
        <w:t xml:space="preserve">By: </w:t>
      </w:r>
      <w:r>
        <w:rPr>
          <w:u w:val="single"/>
        </w:rPr>
        <w:tab/>
      </w:r>
      <w:r>
        <w:rPr>
          <w:u w:val="single"/>
        </w:rPr>
        <w:tab/>
      </w:r>
      <w:r>
        <w:rPr>
          <w:u w:val="single"/>
        </w:rPr>
        <w:tab/>
      </w:r>
      <w:r>
        <w:rPr>
          <w:u w:val="single"/>
        </w:rPr>
        <w:tab/>
      </w:r>
    </w:p>
    <w:p w14:paraId="72253014" w14:textId="77777777" w:rsidR="00017138" w:rsidRPr="000D36C4" w:rsidRDefault="00017138" w:rsidP="00445EDB">
      <w:pPr>
        <w:ind w:left="5670"/>
      </w:pPr>
      <w:r>
        <w:t xml:space="preserve">Name: </w:t>
      </w:r>
      <w:r>
        <w:rPr>
          <w:u w:val="single"/>
        </w:rPr>
        <w:tab/>
      </w:r>
      <w:r>
        <w:rPr>
          <w:u w:val="single"/>
        </w:rPr>
        <w:tab/>
      </w:r>
      <w:r>
        <w:rPr>
          <w:u w:val="single"/>
        </w:rPr>
        <w:tab/>
      </w:r>
      <w:r>
        <w:rPr>
          <w:u w:val="single"/>
        </w:rPr>
        <w:tab/>
      </w:r>
    </w:p>
    <w:p w14:paraId="17B25266" w14:textId="77777777" w:rsidR="00017138" w:rsidRPr="000D36C4" w:rsidRDefault="00017138" w:rsidP="00445EDB">
      <w:pPr>
        <w:ind w:left="5670"/>
        <w:rPr>
          <w:u w:val="single"/>
        </w:rPr>
      </w:pPr>
      <w:r>
        <w:t xml:space="preserve">Title: </w:t>
      </w:r>
      <w:r>
        <w:rPr>
          <w:u w:val="single"/>
        </w:rPr>
        <w:tab/>
      </w:r>
      <w:r>
        <w:rPr>
          <w:u w:val="single"/>
        </w:rPr>
        <w:tab/>
      </w:r>
      <w:r>
        <w:rPr>
          <w:u w:val="single"/>
        </w:rPr>
        <w:tab/>
      </w:r>
      <w:r>
        <w:rPr>
          <w:u w:val="single"/>
        </w:rPr>
        <w:tab/>
      </w:r>
    </w:p>
    <w:bookmarkEnd w:id="30"/>
    <w:p w14:paraId="7512D65F" w14:textId="2422B1E4" w:rsidR="00266999" w:rsidRDefault="00266999">
      <w:pPr>
        <w:rPr>
          <w:sz w:val="24"/>
        </w:rPr>
      </w:pPr>
    </w:p>
    <w:sectPr w:rsidR="00266999" w:rsidSect="00CE7B66">
      <w:headerReference w:type="default" r:id="rId29"/>
      <w:footerReference w:type="default" r:id="rId30"/>
      <w:pgSz w:w="12240" w:h="15840"/>
      <w:pgMar w:top="1440" w:right="1440" w:bottom="1440" w:left="1440" w:header="720" w:footer="540" w:gutter="0"/>
      <w:pgNumType w:start="1"/>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 wne:kcmPrimary="0635">
      <wne:acd wne:acdName="acd4"/>
    </wne:keymap>
    <wne:keymap wne:kcmPrimary="0636">
      <wne:acd wne:acdName="acd5"/>
    </wne:keymap>
    <wne:keymap wne:kcmPrimary="0637">
      <wne:acd wne:acdName="acd6"/>
    </wne:keymap>
    <wne:keymap wne:kcmPrimary="0638">
      <wne:acd wne:acdName="acd7"/>
    </wne:keymap>
    <wne:keymap wne:kcmPrimary="0639">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QAAAAYA" wne:acdName="acd5" wne:fciIndexBasedOn="0065"/>
    <wne:acd wne:argValue="AQAAAAcA" wne:acdName="acd6" wne:fciIndexBasedOn="0065"/>
    <wne:acd wne:argValue="AQAAAAgA" wne:acdName="acd7" wne:fciIndexBasedOn="0065"/>
    <wne:acd wne:argValue="AQAAAAkA" wne:acdName="acd8"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184CD5" w14:textId="77777777" w:rsidR="00576C39" w:rsidRDefault="00576C39" w:rsidP="004B558A">
      <w:r>
        <w:separator/>
      </w:r>
    </w:p>
  </w:endnote>
  <w:endnote w:type="continuationSeparator" w:id="0">
    <w:p w14:paraId="3A79B00F" w14:textId="77777777" w:rsidR="00576C39" w:rsidRDefault="00576C39" w:rsidP="004B5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20803070505020304"/>
    <w:charset w:val="00"/>
    <w:family w:val="roman"/>
    <w:notTrueType/>
    <w:pitch w:val="default"/>
  </w:font>
  <w:font w:name="Arial">
    <w:altName w:val="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6E448" w14:textId="77777777" w:rsidR="00396D26" w:rsidRDefault="00396D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E9D7B" w14:textId="77777777" w:rsidR="0057268E" w:rsidRDefault="00017138" w:rsidP="00E2374B">
    <w:pPr>
      <w:pStyle w:val="Footer"/>
      <w:tabs>
        <w:tab w:val="left" w:pos="1245"/>
      </w:tabs>
    </w:pPr>
    <w:r>
      <w:tab/>
    </w:r>
    <w:r w:rsidR="008D1F48">
      <w:tab/>
    </w:r>
    <w:r>
      <w:fldChar w:fldCharType="begin"/>
    </w:r>
    <w:r>
      <w:instrText>PAGE  \* MERGEFORMAT</w:instrText>
    </w:r>
    <w:r>
      <w:fldChar w:fldCharType="separate"/>
    </w:r>
    <w:r>
      <w:rPr>
        <w:noProof/>
      </w:rPr>
      <w:t>4</w:t>
    </w:r>
    <w:r>
      <w:fldChar w:fldCharType="end"/>
    </w:r>
  </w:p>
  <w:p w14:paraId="2CE4D431" w14:textId="77777777" w:rsidR="0057268E" w:rsidRDefault="00CE7B66">
    <w:pPr>
      <w:pStyle w:val="Footer"/>
    </w:pPr>
    <w:r>
      <w:rPr>
        <w:noProof/>
      </w:rPr>
      <w:pict w14:anchorId="344658A5">
        <v:shapetype id="_x0000_t202" coordsize="21600,21600" o:spt="202" path="m,l,21600r21600,l21600,xe">
          <v:stroke joinstyle="miter"/>
          <v:path gradientshapeok="t" o:connecttype="rect"/>
        </v:shapetype>
        <v:shape id="zzmpTrailer_8523_19" o:spid="_x0000_s1029" type="#_x0000_t202" style="position:absolute;margin-left:0;margin-top:0;width:201.6pt;height:20.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" filled="f" stroked="f">
          <v:textbox inset="0,0,0,0">
            <w:txbxContent>
              <w:p w14:paraId="09C3857D" w14:textId="3373080D" w:rsidR="0057268E" w:rsidRDefault="0057268E">
                <w:pPr>
                  <w:pStyle w:val="MacPacTrailer"/>
                </w:pPr>
                <w:r>
                  <w:t xml:space="preserve">MOFO-360257366 </w:t>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324D0" w14:textId="77777777" w:rsidR="0057268E" w:rsidRDefault="00017138" w:rsidP="004B558A">
    <w:pPr>
      <w:pStyle w:val="Footer"/>
    </w:pPr>
    <w:r>
      <w:tab/>
    </w:r>
    <w:r>
      <w:fldChar w:fldCharType="begin"/>
    </w:r>
    <w:r>
      <w:instrText>PAGE  \* MERGEFORMAT</w:instrText>
    </w:r>
    <w:r>
      <w:fldChar w:fldCharType="separate"/>
    </w:r>
    <w:r>
      <w:t>3</w:t>
    </w:r>
    <w:r>
      <w:fldChar w:fldCharType="end"/>
    </w:r>
  </w:p>
  <w:p w14:paraId="6CA44611" w14:textId="77777777" w:rsidR="0057268E" w:rsidRDefault="00CE7B66">
    <w:pPr>
      <w:pStyle w:val="Footer"/>
    </w:pPr>
    <w:r>
      <w:rPr>
        <w:noProof/>
      </w:rPr>
      <w:pict w14:anchorId="35999C09">
        <v:shapetype id="_x0000_t202" coordsize="21600,21600" o:spt="202" path="m,l,21600r21600,l21600,xe">
          <v:stroke joinstyle="miter"/>
          <v:path gradientshapeok="t" o:connecttype="rect"/>
        </v:shapetype>
        <v:shape id="zzmpTrailer_8523_1B" o:spid="_x0000_s1030" type="#_x0000_t202" style="position:absolute;margin-left:0;margin-top:0;width:201.6pt;height:20.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" filled="f" stroked="f">
          <v:textbox inset="0,0,0,0">
            <w:txbxContent>
              <w:p w14:paraId="6103DF8E" w14:textId="77C3F199" w:rsidR="0057268E" w:rsidRDefault="0057268E">
                <w:pPr>
                  <w:pStyle w:val="MacPacTrailer"/>
                </w:pPr>
                <w:r>
                  <w:t xml:space="preserve">MOFO-360257366 </w:t>
                </w:r>
              </w:p>
            </w:txbxContent>
          </v:textbox>
          <w10:wrap anchorx="margin"/>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A4E20" w14:textId="77777777" w:rsidR="00266999" w:rsidRDefault="00266999">
    <w:pPr>
      <w:rPr>
        <w:sz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6D586" w14:textId="671E11D4" w:rsidR="00A46358" w:rsidRDefault="00015899" w:rsidP="009A5F80">
    <w:pPr>
      <w:pStyle w:val="Footer"/>
      <w:tabs>
        <w:tab w:val="left" w:pos="1245"/>
      </w:tabs>
      <w:jc w:val="center"/>
      <w:rPr>
        <w:rStyle w:val="PageNumber0"/>
        <w:smallCaps/>
      </w:rPr>
    </w:pPr>
    <w:r w:rsidRPr="0007008A">
      <w:rPr>
        <w:rStyle w:val="PageNumber0"/>
        <w:smallCaps/>
      </w:rPr>
      <w:t xml:space="preserve">[Signature Page to </w:t>
    </w:r>
    <w:r w:rsidR="009756D3">
      <w:rPr>
        <w:rStyle w:val="PageNumber0"/>
        <w:smallCaps/>
      </w:rPr>
      <w:t>[Amended and Restated] Investors’ Rights</w:t>
    </w:r>
    <w:r w:rsidRPr="0007008A">
      <w:rPr>
        <w:rStyle w:val="PageNumber0"/>
        <w:smallCaps/>
      </w:rPr>
      <w:t xml:space="preserve"> Agreement]</w:t>
    </w:r>
  </w:p>
  <w:p w14:paraId="18FDC95F" w14:textId="77777777" w:rsidR="0057268E" w:rsidRDefault="0057268E" w:rsidP="00D65750">
    <w:pPr>
      <w:pStyle w:val="Footer"/>
    </w:pPr>
    <w:r>
      <w:rPr>
        <w:noProof/>
      </w:rPr>
      <mc:AlternateContent>
        <mc:Choice Requires="wps">
          <w:drawing>
            <wp:anchor distT="0" distB="0" distL="114300" distR="114300" simplePos="0" relativeHeight="251663360" behindDoc="0" locked="0" layoutInCell="1" allowOverlap="1" wp14:anchorId="5B22EF24" wp14:editId="663D29AB">
              <wp:simplePos x="0" y="0"/>
              <wp:positionH relativeFrom="margin">
                <wp:posOffset>0</wp:posOffset>
              </wp:positionH>
              <wp:positionV relativeFrom="paragraph">
                <wp:posOffset>0</wp:posOffset>
              </wp:positionV>
              <wp:extent cx="2560320" cy="255905"/>
              <wp:effectExtent l="0" t="0" r="11430" b="10795"/>
              <wp:wrapNone/>
              <wp:docPr id="1612595116" name="zzmpTrailer_8523_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wps:spPr>
                    <wps:txbx>
                      <w:txbxContent>
                        <w:p w14:paraId="6FEE0334" w14:textId="77777777" w:rsidR="0057268E" w:rsidRDefault="0057268E" w:rsidP="00D65750">
                          <w:pPr>
                            <w:pStyle w:val="MacPacTrailer"/>
                          </w:pPr>
                          <w:r>
                            <w:t xml:space="preserve">MOFO-360257366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5B22EF24" id="_x0000_t202" coordsize="21600,21600" o:spt="202" path="m,l,21600r21600,l21600,xe">
              <v:stroke joinstyle="miter"/>
              <v:path gradientshapeok="t" o:connecttype="rect"/>
            </v:shapetype>
            <v:shape id="zzmpTrailer_8523_29" o:spid="_x0000_s1026" type="#_x0000_t202" style="position:absolute;margin-left:0;margin-top:0;width:201.6pt;height:20.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" filled="f" stroked="f">
              <v:textbox inset="0,0,0,0">
                <w:txbxContent>
                  <w:p w14:paraId="6FEE0334" w14:textId="77777777" w:rsidR="0057268E" w:rsidRDefault="0057268E" w:rsidP="00D65750">
                    <w:pPr>
                      <w:pStyle w:val="MacPacTrailer"/>
                    </w:pPr>
                    <w:r>
                      <w:t xml:space="preserve">MOFO-360257366 </w:t>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95E2E" w14:textId="1E850851" w:rsidR="005A34A0" w:rsidRPr="00AF4D36" w:rsidRDefault="005A34A0" w:rsidP="00AF4D36">
    <w:pPr>
      <w:pStyle w:val="Footer"/>
      <w:jc w:val="center"/>
      <w:rPr>
        <w:b/>
        <w:smallCaps/>
      </w:rPr>
    </w:pPr>
    <w:r>
      <w:rPr>
        <w:b/>
        <w:smallCaps/>
      </w:rPr>
      <w:t xml:space="preserve"> Agreement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3C62A" w14:textId="77777777" w:rsidR="00266999" w:rsidRDefault="00266999">
    <w:pPr>
      <w:rPr>
        <w:sz w:val="24"/>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19631" w14:textId="77777777" w:rsidR="0057268E" w:rsidRDefault="0057268E" w:rsidP="00D65750">
    <w:pPr>
      <w:pStyle w:val="Footer"/>
    </w:pPr>
    <w:r>
      <w:rPr>
        <w:noProof/>
      </w:rPr>
      <mc:AlternateContent>
        <mc:Choice Requires="wps">
          <w:drawing>
            <wp:anchor distT="0" distB="0" distL="114300" distR="114300" simplePos="0" relativeHeight="251665408" behindDoc="0" locked="0" layoutInCell="1" allowOverlap="1" wp14:anchorId="4EFBC046" wp14:editId="2B0C1B8B">
              <wp:simplePos x="0" y="0"/>
              <wp:positionH relativeFrom="margin">
                <wp:posOffset>0</wp:posOffset>
              </wp:positionH>
              <wp:positionV relativeFrom="paragraph">
                <wp:posOffset>0</wp:posOffset>
              </wp:positionV>
              <wp:extent cx="2560320" cy="255905"/>
              <wp:effectExtent l="0" t="0" r="11430" b="10795"/>
              <wp:wrapNone/>
              <wp:docPr id="854961009" name="zzmpTrailer_8523_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wps:spPr>
                    <wps:txbx>
                      <w:txbxContent>
                        <w:p w14:paraId="788C8830" w14:textId="77777777" w:rsidR="0057268E" w:rsidRDefault="0057268E" w:rsidP="00D65750">
                          <w:pPr>
                            <w:pStyle w:val="MacPacTrailer"/>
                          </w:pPr>
                          <w:r>
                            <w:t xml:space="preserve">MOFO-360257366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4EFBC046" id="_x0000_t202" coordsize="21600,21600" o:spt="202" path="m,l,21600r21600,l21600,xe">
              <v:stroke joinstyle="miter"/>
              <v:path gradientshapeok="t" o:connecttype="rect"/>
            </v:shapetype>
            <v:shape id="zzmpTrailer_8523_39" o:spid="_x0000_s1027" type="#_x0000_t202" style="position:absolute;margin-left:0;margin-top:0;width:201.6pt;height:20.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" filled="f" stroked="f">
              <v:textbox inset="0,0,0,0">
                <w:txbxContent>
                  <w:p w14:paraId="788C8830" w14:textId="77777777" w:rsidR="0057268E" w:rsidRDefault="0057268E" w:rsidP="00D65750">
                    <w:pPr>
                      <w:pStyle w:val="MacPacTrailer"/>
                    </w:pPr>
                    <w:r>
                      <w:t xml:space="preserve">MOFO-360257366 </w:t>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60C44" w14:textId="2648428D" w:rsidR="00A46358" w:rsidRDefault="000876DC" w:rsidP="009A5F80">
    <w:pPr>
      <w:pStyle w:val="Footer"/>
      <w:tabs>
        <w:tab w:val="left" w:pos="1245"/>
      </w:tabs>
    </w:pPr>
    <w:r>
      <w:tab/>
    </w:r>
    <w:r>
      <w:tab/>
    </w:r>
    <w:r>
      <w:fldChar w:fldCharType="begin"/>
    </w:r>
    <w:r>
      <w:instrText>PAGE  \* MERGEFORMAT</w:instrText>
    </w:r>
    <w:r>
      <w:fldChar w:fldCharType="separate"/>
    </w:r>
    <w:r>
      <w:t>39</w:t>
    </w:r>
    <w:r>
      <w:fldChar w:fldCharType="end"/>
    </w:r>
  </w:p>
  <w:p w14:paraId="582D0813" w14:textId="77777777" w:rsidR="0057268E" w:rsidRDefault="0057268E" w:rsidP="00D65750">
    <w:pPr>
      <w:pStyle w:val="Footer"/>
    </w:pPr>
    <w:r>
      <w:rPr>
        <w:noProof/>
      </w:rPr>
      <mc:AlternateContent>
        <mc:Choice Requires="wps">
          <w:drawing>
            <wp:anchor distT="0" distB="0" distL="114300" distR="114300" simplePos="0" relativeHeight="251667456" behindDoc="0" locked="0" layoutInCell="1" allowOverlap="1" wp14:anchorId="529B95B8" wp14:editId="35CBA55C">
              <wp:simplePos x="0" y="0"/>
              <wp:positionH relativeFrom="margin">
                <wp:posOffset>0</wp:posOffset>
              </wp:positionH>
              <wp:positionV relativeFrom="paragraph">
                <wp:posOffset>0</wp:posOffset>
              </wp:positionV>
              <wp:extent cx="2560320" cy="255905"/>
              <wp:effectExtent l="0" t="0" r="11430" b="10795"/>
              <wp:wrapNone/>
              <wp:docPr id="1084076348" name="zzmpTrailer_8523_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wps:spPr>
                    <wps:txbx>
                      <w:txbxContent>
                        <w:p w14:paraId="235392A2" w14:textId="77777777" w:rsidR="0057268E" w:rsidRDefault="0057268E" w:rsidP="00D65750">
                          <w:pPr>
                            <w:pStyle w:val="MacPacTrailer"/>
                          </w:pPr>
                          <w:r>
                            <w:t xml:space="preserve">MOFO-360257366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529B95B8" id="_x0000_t202" coordsize="21600,21600" o:spt="202" path="m,l,21600r21600,l21600,xe">
              <v:stroke joinstyle="miter"/>
              <v:path gradientshapeok="t" o:connecttype="rect"/>
            </v:shapetype>
            <v:shape id="zzmpTrailer_8523_49" o:spid="_x0000_s1028" type="#_x0000_t202" style="position:absolute;margin-left:0;margin-top:0;width:201.6pt;height:20.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" filled="f" stroked="f">
              <v:textbox inset="0,0,0,0">
                <w:txbxContent>
                  <w:p w14:paraId="235392A2" w14:textId="77777777" w:rsidR="0057268E" w:rsidRDefault="0057268E" w:rsidP="00D65750">
                    <w:pPr>
                      <w:pStyle w:val="MacPacTrailer"/>
                    </w:pPr>
                    <w:r>
                      <w:t xml:space="preserve">MOFO-360257366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10A7F" w14:textId="77777777" w:rsidR="00576C39" w:rsidRDefault="00576C39" w:rsidP="004B558A">
      <w:r>
        <w:separator/>
      </w:r>
    </w:p>
  </w:footnote>
  <w:footnote w:type="continuationSeparator" w:id="0">
    <w:p w14:paraId="46976B64" w14:textId="77777777" w:rsidR="00576C39" w:rsidRDefault="00576C39" w:rsidP="004B558A">
      <w:r>
        <w:continuationSeparator/>
      </w:r>
    </w:p>
  </w:footnote>
  <w:footnote w:id="1">
    <w:p w14:paraId="5B2B1FE9" w14:textId="61E6B9A3" w:rsidR="00E2374B" w:rsidRDefault="00E2374B" w:rsidP="002974E9">
      <w:pPr>
        <w:pStyle w:val="FootnoteText"/>
      </w:pPr>
      <w:r>
        <w:rPr>
          <w:rStyle w:val="FootnoteReference"/>
        </w:rPr>
        <w:footnoteRef/>
      </w:r>
      <w:r>
        <w:t xml:space="preserve"> </w:t>
      </w:r>
      <w:r>
        <w:tab/>
      </w:r>
      <w:r w:rsidRPr="008D7705">
        <w:rPr>
          <w:u w:val="single"/>
        </w:rPr>
        <w:t>N</w:t>
      </w:r>
      <w:r w:rsidR="00984E9F" w:rsidRPr="008D7705">
        <w:rPr>
          <w:u w:val="single"/>
        </w:rPr>
        <w:t>ote to Draft</w:t>
      </w:r>
      <w:r>
        <w:t>: To equal the number of shares issuable in exchange for an investment of $1,000,000 in Series A Preferred Stock.</w:t>
      </w:r>
    </w:p>
  </w:footnote>
  <w:footnote w:id="2">
    <w:p w14:paraId="2B20C0CA" w14:textId="46284672" w:rsidR="009A5F80" w:rsidRPr="00D22606" w:rsidRDefault="009A5F80" w:rsidP="009A5F80">
      <w:pPr>
        <w:pStyle w:val="FootnoteText"/>
      </w:pPr>
      <w:r>
        <w:rPr>
          <w:rStyle w:val="FootnoteReference"/>
        </w:rPr>
        <w:footnoteRef/>
      </w:r>
      <w:r>
        <w:tab/>
      </w:r>
      <w:r w:rsidRPr="008D7705">
        <w:rPr>
          <w:u w:val="single"/>
        </w:rPr>
        <w:t>N</w:t>
      </w:r>
      <w:r w:rsidR="00984E9F" w:rsidRPr="008D7705">
        <w:rPr>
          <w:u w:val="single"/>
        </w:rPr>
        <w:t>ote to Draft</w:t>
      </w:r>
      <w:r>
        <w:t>: Include to the extent that these jurisdictions that are or may be relevant.</w:t>
      </w:r>
    </w:p>
  </w:footnote>
  <w:footnote w:id="3">
    <w:p w14:paraId="131108A6" w14:textId="7D0D8AA5" w:rsidR="00FF0ACE" w:rsidRPr="00D22606" w:rsidRDefault="00FF0ACE" w:rsidP="002974E9">
      <w:pPr>
        <w:pStyle w:val="FootnoteText"/>
      </w:pPr>
      <w:r>
        <w:rPr>
          <w:rStyle w:val="FootnoteReference"/>
        </w:rPr>
        <w:footnoteRef/>
      </w:r>
      <w:r>
        <w:tab/>
      </w:r>
      <w:r w:rsidR="00984E9F" w:rsidRPr="008D7705">
        <w:rPr>
          <w:u w:val="single"/>
        </w:rPr>
        <w:t>Note to Draft</w:t>
      </w:r>
      <w:r w:rsidR="00025511">
        <w:t xml:space="preserve">: </w:t>
      </w:r>
      <w:r>
        <w:t xml:space="preserve">Include to the extent that these jurisdictions that are </w:t>
      </w:r>
      <w:r w:rsidR="00180EF7">
        <w:t xml:space="preserve">or may be </w:t>
      </w:r>
      <w:r>
        <w:t>relevant.</w:t>
      </w:r>
    </w:p>
  </w:footnote>
  <w:footnote w:id="4">
    <w:p w14:paraId="7694DFDD" w14:textId="326291BE" w:rsidR="00025511" w:rsidRDefault="00025511" w:rsidP="002974E9">
      <w:pPr>
        <w:pStyle w:val="FootnoteText"/>
      </w:pPr>
      <w:r>
        <w:rPr>
          <w:rStyle w:val="FootnoteReference"/>
        </w:rPr>
        <w:footnoteRef/>
      </w:r>
      <w:r>
        <w:t xml:space="preserve"> </w:t>
      </w:r>
      <w:r>
        <w:tab/>
      </w:r>
      <w:r w:rsidR="00984E9F" w:rsidRPr="008D7705">
        <w:rPr>
          <w:u w:val="single"/>
        </w:rPr>
        <w:t>Note to Draft</w:t>
      </w:r>
      <w:r>
        <w:t>: Insert date that is four years following the Closing.</w:t>
      </w:r>
    </w:p>
  </w:footnote>
  <w:footnote w:id="5">
    <w:p w14:paraId="44E453B5" w14:textId="2F192D54" w:rsidR="007C3680" w:rsidRPr="002974E9" w:rsidRDefault="007C3680" w:rsidP="002974E9">
      <w:pPr>
        <w:pStyle w:val="FootnoteText"/>
      </w:pPr>
      <w:r w:rsidRPr="002974E9">
        <w:rPr>
          <w:rStyle w:val="FootnoteReference"/>
          <w:b/>
          <w:bCs/>
        </w:rPr>
        <w:footnoteRef/>
      </w:r>
      <w:r w:rsidRPr="002974E9">
        <w:tab/>
      </w:r>
      <w:r w:rsidR="00984E9F" w:rsidRPr="008D7705">
        <w:rPr>
          <w:u w:val="single"/>
        </w:rPr>
        <w:t>Note to Draft</w:t>
      </w:r>
      <w:r w:rsidR="002974E9" w:rsidRPr="002974E9">
        <w:t>:</w:t>
      </w:r>
      <w:r w:rsidR="002974E9">
        <w:t xml:space="preserve"> Include if amending and restating an existing Investors’ Rights Agreement.</w:t>
      </w:r>
    </w:p>
  </w:footnote>
  <w:footnote w:id="6">
    <w:p w14:paraId="71C5E360" w14:textId="6C9731BF" w:rsidR="00017138" w:rsidRPr="00E14E6C" w:rsidRDefault="00017138" w:rsidP="002974E9">
      <w:pPr>
        <w:pStyle w:val="FootnoteText"/>
      </w:pPr>
      <w:r>
        <w:rPr>
          <w:rStyle w:val="FootnoteReference"/>
        </w:rPr>
        <w:footnoteRef/>
      </w:r>
      <w:r>
        <w:tab/>
        <w:t>This Checklist is based on the Internal Revenue Code of 1986, as amended, (the “</w:t>
      </w:r>
      <w:r>
        <w:rPr>
          <w:b/>
          <w:bCs/>
        </w:rPr>
        <w:t>Code</w:t>
      </w:r>
      <w:r>
        <w:t xml:space="preserve">”) and Treasury Regulations thereunder, as of </w:t>
      </w:r>
      <w:r w:rsidR="00A8009C">
        <w:t>Septem</w:t>
      </w:r>
      <w:r w:rsidR="00826AE9">
        <w:t>ber 202</w:t>
      </w:r>
      <w:r w:rsidR="00A8009C">
        <w:t>5</w:t>
      </w:r>
      <w:r>
        <w:t>. Except as otherwise specified, all section references herein are to the Code and all “Treas. Reg. §” references are to the Treasury regulations promulgated or proposed thereunder, respectively, by the U.S. Department of Treasury and the Internal Revenue Service (the “</w:t>
      </w:r>
      <w:r>
        <w:rPr>
          <w:b/>
          <w:bCs/>
        </w:rPr>
        <w:t>IRS</w:t>
      </w:r>
      <w:r>
        <w:t xml:space="preserve">”), both as in effect through </w:t>
      </w:r>
      <w:r w:rsidR="00422191">
        <w:t>September 2025</w:t>
      </w:r>
      <w:r>
        <w:t xml:space="preserve">. </w:t>
      </w:r>
    </w:p>
  </w:footnote>
  <w:footnote w:id="7">
    <w:p w14:paraId="4FB0D0EF" w14:textId="77777777" w:rsidR="00017138" w:rsidRPr="00E14E6C" w:rsidRDefault="00017138" w:rsidP="002974E9">
      <w:pPr>
        <w:pStyle w:val="FootnoteText"/>
      </w:pPr>
      <w:r>
        <w:rPr>
          <w:rStyle w:val="FootnoteReference"/>
          <w:rFonts w:eastAsia="Times New Roman Bold"/>
        </w:rPr>
        <w:footnoteRef/>
      </w:r>
      <w:r>
        <w:tab/>
        <w:t>Section 1202</w:t>
      </w:r>
      <w:bookmarkStart w:id="311" w:name="_9kR3WTr2CC45FsiH"/>
      <w:bookmarkStart w:id="312" w:name="_9kR3WTr2CC457kiH"/>
      <w:r>
        <w:t>(c)(1)(A)</w:t>
      </w:r>
      <w:bookmarkEnd w:id="311"/>
      <w:bookmarkEnd w:id="312"/>
      <w:r>
        <w:t>.</w:t>
      </w:r>
    </w:p>
  </w:footnote>
  <w:footnote w:id="8">
    <w:p w14:paraId="4D4C52CA" w14:textId="77777777" w:rsidR="00017138" w:rsidRPr="00E14E6C" w:rsidRDefault="00017138" w:rsidP="002974E9">
      <w:pPr>
        <w:pStyle w:val="FootnoteText"/>
      </w:pPr>
      <w:r>
        <w:rPr>
          <w:rStyle w:val="FootnoteReference"/>
          <w:rFonts w:eastAsia="Times New Roman Bold"/>
        </w:rPr>
        <w:footnoteRef/>
      </w:r>
      <w:r>
        <w:tab/>
      </w:r>
      <w:r>
        <w:rPr>
          <w:color w:val="383636"/>
        </w:rPr>
        <w:t xml:space="preserve">Sections </w:t>
      </w:r>
      <w:r>
        <w:t>1202</w:t>
      </w:r>
      <w:bookmarkStart w:id="313" w:name="_9kR3WTr2CC468lj"/>
      <w:bookmarkStart w:id="314" w:name="_9kR3WTr2CC459nj"/>
      <w:r>
        <w:t>(d)(1)</w:t>
      </w:r>
      <w:bookmarkEnd w:id="313"/>
      <w:bookmarkEnd w:id="314"/>
      <w:r>
        <w:t xml:space="preserve"> </w:t>
      </w:r>
      <w:r>
        <w:rPr>
          <w:color w:val="383636"/>
        </w:rPr>
        <w:t>a</w:t>
      </w:r>
      <w:r>
        <w:rPr>
          <w:color w:val="110F0F"/>
        </w:rPr>
        <w:t xml:space="preserve">nd </w:t>
      </w:r>
      <w:r>
        <w:t>1202</w:t>
      </w:r>
      <w:bookmarkStart w:id="315" w:name="_9kR3WTr2CC469lzL"/>
      <w:bookmarkStart w:id="316" w:name="_9kR3WTr2CC45AnzL"/>
      <w:r>
        <w:t>(c)(2)(A)</w:t>
      </w:r>
      <w:bookmarkEnd w:id="315"/>
      <w:bookmarkEnd w:id="316"/>
      <w:r>
        <w:t>.</w:t>
      </w:r>
    </w:p>
  </w:footnote>
  <w:footnote w:id="9">
    <w:p w14:paraId="0410F3CA" w14:textId="77777777" w:rsidR="00017138" w:rsidRPr="00E14E6C" w:rsidRDefault="00017138" w:rsidP="002974E9">
      <w:pPr>
        <w:pStyle w:val="FootnoteText"/>
      </w:pPr>
      <w:r>
        <w:rPr>
          <w:rStyle w:val="FootnoteReference"/>
          <w:rFonts w:eastAsia="Times New Roman Bold"/>
        </w:rPr>
        <w:footnoteRef/>
      </w:r>
      <w:r>
        <w:tab/>
        <w:t xml:space="preserve">Sections </w:t>
      </w:r>
      <w:r>
        <w:rPr>
          <w:color w:val="232121"/>
        </w:rPr>
        <w:t>1202</w:t>
      </w:r>
      <w:bookmarkStart w:id="317" w:name="_9kR3WTr2CC46AnjH"/>
      <w:bookmarkStart w:id="318" w:name="_9kR3WTr2CC45BpjH"/>
      <w:r>
        <w:rPr>
          <w:color w:val="232121"/>
        </w:rPr>
        <w:t>(d)(1)(A)</w:t>
      </w:r>
      <w:bookmarkEnd w:id="317"/>
      <w:bookmarkEnd w:id="318"/>
      <w:r>
        <w:rPr>
          <w:color w:val="232121"/>
        </w:rPr>
        <w:t xml:space="preserve"> </w:t>
      </w:r>
      <w:r>
        <w:t xml:space="preserve">and </w:t>
      </w:r>
      <w:bookmarkStart w:id="319" w:name="_9kR3WTr2CC46BM"/>
      <w:bookmarkStart w:id="320" w:name="_9kR3WTr2CC45CO"/>
      <w:r>
        <w:t>(B)</w:t>
      </w:r>
      <w:bookmarkEnd w:id="319"/>
      <w:bookmarkEnd w:id="320"/>
      <w:r>
        <w:t>.</w:t>
      </w:r>
    </w:p>
  </w:footnote>
  <w:footnote w:id="10">
    <w:p w14:paraId="19654F26" w14:textId="77777777" w:rsidR="00017138" w:rsidRPr="00E14E6C" w:rsidRDefault="00017138" w:rsidP="002974E9">
      <w:pPr>
        <w:pStyle w:val="FootnoteText"/>
      </w:pPr>
      <w:r>
        <w:rPr>
          <w:rStyle w:val="FootnoteReference"/>
          <w:rFonts w:eastAsia="Times New Roman Bold"/>
        </w:rPr>
        <w:footnoteRef/>
      </w:r>
      <w:r>
        <w:tab/>
        <w:t>Section 1202</w:t>
      </w:r>
      <w:bookmarkStart w:id="322" w:name="_9kR3WTr2CC46Er0L"/>
      <w:r>
        <w:t>(d)(2)(A)</w:t>
      </w:r>
      <w:bookmarkEnd w:id="322"/>
      <w:r>
        <w:t>. For purposes of this calculation, the adjusted tax basis is treated as including the fair market value (rather than tax basis) of assets contributed to the Company, determined as of the date of contribution (Section 1202(d)(2)(B)).</w:t>
      </w:r>
    </w:p>
  </w:footnote>
  <w:footnote w:id="11">
    <w:p w14:paraId="5E9A1236" w14:textId="77777777" w:rsidR="00017138" w:rsidRPr="00E14E6C" w:rsidRDefault="00017138" w:rsidP="002974E9">
      <w:pPr>
        <w:pStyle w:val="FootnoteText"/>
      </w:pPr>
      <w:r>
        <w:rPr>
          <w:rStyle w:val="FootnoteReference"/>
          <w:rFonts w:eastAsia="Times New Roman Bold"/>
        </w:rPr>
        <w:footnoteRef/>
      </w:r>
      <w:r>
        <w:tab/>
      </w:r>
      <w:r>
        <w:rPr>
          <w:color w:val="383636"/>
        </w:rPr>
        <w:t xml:space="preserve">Section </w:t>
      </w:r>
      <w:r>
        <w:t>1202</w:t>
      </w:r>
      <w:bookmarkStart w:id="323" w:name="_9kR3WTr2CC46Fs1"/>
      <w:r>
        <w:t>(d)(3)</w:t>
      </w:r>
      <w:bookmarkEnd w:id="323"/>
      <w:r>
        <w:t>. A parent-subsidiary controlled group consists of a chain of corporations connected through stock ownership with a common parent, with more than 50% of the stock of each subsidiary (by vote or value) held by another subsidiary or the parent (ignoring certain nonvoting stock that is limited and preferred as to dividends and treasury stock).</w:t>
      </w:r>
    </w:p>
  </w:footnote>
  <w:footnote w:id="12">
    <w:p w14:paraId="57B97E4D" w14:textId="3136C2C4" w:rsidR="00017138" w:rsidRPr="00E14E6C" w:rsidRDefault="00017138" w:rsidP="002974E9">
      <w:pPr>
        <w:pStyle w:val="FootnoteText"/>
      </w:pPr>
      <w:r>
        <w:rPr>
          <w:rStyle w:val="FootnoteReference"/>
          <w:rFonts w:eastAsia="Times New Roman Bold"/>
        </w:rPr>
        <w:footnoteRef/>
      </w:r>
      <w:r>
        <w:tab/>
        <w:t xml:space="preserve">Section 1202(d)(1)(C). As of </w:t>
      </w:r>
      <w:r w:rsidR="00A8009C">
        <w:t>September 2025</w:t>
      </w:r>
      <w:r>
        <w:t>, there are no such IRS requirements.</w:t>
      </w:r>
    </w:p>
  </w:footnote>
  <w:footnote w:id="13">
    <w:p w14:paraId="022F4444" w14:textId="77777777" w:rsidR="00017138" w:rsidRPr="00E14E6C" w:rsidRDefault="00017138" w:rsidP="002974E9">
      <w:pPr>
        <w:pStyle w:val="FootnoteText"/>
      </w:pPr>
      <w:r>
        <w:rPr>
          <w:rStyle w:val="FootnoteReference"/>
        </w:rPr>
        <w:footnoteRef/>
      </w:r>
      <w:r>
        <w:tab/>
        <w:t>Section 1202(e)(3).</w:t>
      </w:r>
    </w:p>
  </w:footnote>
  <w:footnote w:id="14">
    <w:p w14:paraId="6A5A9494" w14:textId="77777777" w:rsidR="00017138" w:rsidRPr="00E14E6C" w:rsidRDefault="00017138" w:rsidP="002974E9">
      <w:pPr>
        <w:pStyle w:val="FootnoteText"/>
      </w:pPr>
      <w:r>
        <w:rPr>
          <w:rStyle w:val="FootnoteReference"/>
          <w:rFonts w:eastAsia="Times New Roman Bold"/>
        </w:rPr>
        <w:footnoteRef/>
      </w:r>
      <w:r>
        <w:tab/>
      </w:r>
      <w:r>
        <w:rPr>
          <w:color w:val="383636"/>
        </w:rPr>
        <w:t xml:space="preserve">Section </w:t>
      </w:r>
      <w:r>
        <w:t>1202</w:t>
      </w:r>
      <w:bookmarkStart w:id="324" w:name="_9kR3WTr2CC46Gu3"/>
      <w:r>
        <w:t>(e)(4)</w:t>
      </w:r>
      <w:bookmarkEnd w:id="324"/>
      <w:r>
        <w:t>. Corporations with respect to which an election under former Section 936 was in effect (or corporations with such subsidiaries) and corporations that were FASITs also are not “eligible corporations.”</w:t>
      </w:r>
    </w:p>
  </w:footnote>
  <w:footnote w:id="15">
    <w:p w14:paraId="3002F498" w14:textId="77777777" w:rsidR="00017138" w:rsidRPr="00E14E6C" w:rsidRDefault="00017138" w:rsidP="002974E9">
      <w:pPr>
        <w:pStyle w:val="FootnoteText"/>
      </w:pPr>
      <w:r>
        <w:rPr>
          <w:rStyle w:val="FootnoteReference"/>
        </w:rPr>
        <w:footnoteRef/>
      </w:r>
      <w:r>
        <w:tab/>
        <w:t xml:space="preserve">Section 1202(c)(2)(A). </w:t>
      </w:r>
    </w:p>
  </w:footnote>
  <w:footnote w:id="16">
    <w:p w14:paraId="7C6E3B3D" w14:textId="2445DC0C" w:rsidR="00017138" w:rsidRPr="00E14E6C" w:rsidRDefault="00017138" w:rsidP="002974E9">
      <w:pPr>
        <w:pStyle w:val="FootnoteText"/>
      </w:pPr>
      <w:r>
        <w:rPr>
          <w:rStyle w:val="FootnoteReference"/>
          <w:rFonts w:eastAsia="Times New Roman Bold"/>
        </w:rPr>
        <w:footnoteRef/>
      </w:r>
      <w:r>
        <w:tab/>
        <w:t xml:space="preserve">Section 1202(e)(1). The term “qualified trade or business” means any trade or business </w:t>
      </w:r>
      <w:r>
        <w:rPr>
          <w:i/>
        </w:rPr>
        <w:t xml:space="preserve">other than </w:t>
      </w:r>
      <w:r>
        <w:rPr>
          <w:iCs/>
        </w:rPr>
        <w:t xml:space="preserve">the businesses described in item #2. </w:t>
      </w:r>
      <w:r>
        <w:t>Stock and debt in any subsidiary corporation (</w:t>
      </w:r>
      <w:r w:rsidR="00C2537D">
        <w:t xml:space="preserve">as </w:t>
      </w:r>
      <w:r>
        <w:t xml:space="preserve">defined in </w:t>
      </w:r>
      <w:r w:rsidRPr="00C2537D">
        <w:rPr>
          <w:u w:val="single"/>
        </w:rPr>
        <w:t xml:space="preserve">footnote </w:t>
      </w:r>
      <w:r w:rsidR="00AD1440">
        <w:rPr>
          <w:u w:val="single"/>
        </w:rPr>
        <w:t>94</w:t>
      </w:r>
      <w:r>
        <w:t>) are disregarded and the parent is deemed to own its ratable share of the subsidiary’s assets, and to conduct its ratable share of the subsidiary’s activities (Section 1202(e)(5)(A)). Rights to computer software which produce active business computer software royalties (within the meaning of Section 543(d)(1)) are treated as an asset used in the active conduct of a trade or business (Section 1202(e)(8)).</w:t>
      </w:r>
    </w:p>
  </w:footnote>
  <w:footnote w:id="17">
    <w:p w14:paraId="2BE39310" w14:textId="77777777" w:rsidR="00017138" w:rsidRPr="004309B7" w:rsidRDefault="00017138" w:rsidP="002974E9">
      <w:pPr>
        <w:pStyle w:val="FootnoteText"/>
      </w:pPr>
      <w:r>
        <w:rPr>
          <w:rStyle w:val="FootnoteReference"/>
          <w:rFonts w:eastAsia="Times New Roman Bold"/>
        </w:rPr>
        <w:footnoteRef/>
      </w:r>
      <w:r>
        <w:tab/>
      </w:r>
      <w:r>
        <w:rPr>
          <w:color w:val="383636"/>
        </w:rPr>
        <w:t xml:space="preserve">Section </w:t>
      </w:r>
      <w:r>
        <w:t>1202</w:t>
      </w:r>
      <w:bookmarkStart w:id="325" w:name="_9kR3WTr2CC47An5"/>
      <w:r>
        <w:t>(e)(6)</w:t>
      </w:r>
      <w:bookmarkEnd w:id="325"/>
      <w:r>
        <w:t>.</w:t>
      </w:r>
    </w:p>
  </w:footnote>
  <w:footnote w:id="18">
    <w:p w14:paraId="548DA90C" w14:textId="77777777" w:rsidR="00017138" w:rsidRPr="00E14E6C" w:rsidRDefault="00017138" w:rsidP="002974E9">
      <w:pPr>
        <w:pStyle w:val="FootnoteText"/>
      </w:pPr>
      <w:r>
        <w:rPr>
          <w:rStyle w:val="FootnoteReference"/>
          <w:rFonts w:eastAsia="Times New Roman Bold"/>
        </w:rPr>
        <w:footnoteRef/>
      </w:r>
      <w:r>
        <w:tab/>
        <w:t>Section 1202(e)(5)(B). “Portfolio stock” is stock or securities in corporations that are not subsidiaries of the Company. A corporation is considered a “subsidiary” if the parent owns more than 50% of the combined voting power of all classes of stock entitled to vote, or more than 50% of the value of all outstanding stock, of the corporation (Section 1202(e)(5)(C)).</w:t>
      </w:r>
    </w:p>
  </w:footnote>
  <w:footnote w:id="19">
    <w:p w14:paraId="599B2233" w14:textId="77777777" w:rsidR="00017138" w:rsidRPr="00E14E6C" w:rsidRDefault="00017138" w:rsidP="002974E9">
      <w:pPr>
        <w:pStyle w:val="FootnoteText"/>
      </w:pPr>
      <w:r>
        <w:rPr>
          <w:rStyle w:val="FootnoteReference"/>
          <w:rFonts w:eastAsia="Times New Roman Bold"/>
        </w:rPr>
        <w:footnoteRef/>
      </w:r>
      <w:r>
        <w:tab/>
      </w:r>
      <w:r>
        <w:rPr>
          <w:color w:val="383636"/>
        </w:rPr>
        <w:t xml:space="preserve">Section </w:t>
      </w:r>
      <w:r>
        <w:t>1202</w:t>
      </w:r>
      <w:bookmarkStart w:id="327" w:name="_9kR3WTr2CC47Bo6"/>
      <w:r>
        <w:t>(e)(7)</w:t>
      </w:r>
      <w:bookmarkEnd w:id="327"/>
      <w:r>
        <w:t>. The ownership of, dealing in, or renting of real property is not treated as the active conduct of a qualified trade or business.</w:t>
      </w:r>
    </w:p>
  </w:footnote>
  <w:footnote w:id="20">
    <w:p w14:paraId="2F7BED7F" w14:textId="77777777" w:rsidR="00017138" w:rsidRPr="00E14E6C" w:rsidRDefault="00017138" w:rsidP="002974E9">
      <w:pPr>
        <w:pStyle w:val="FootnoteText"/>
      </w:pPr>
      <w:r>
        <w:rPr>
          <w:rStyle w:val="FootnoteReference"/>
          <w:rFonts w:eastAsia="Times New Roman Bold"/>
        </w:rPr>
        <w:footnoteRef/>
      </w:r>
      <w:r>
        <w:tab/>
      </w:r>
      <w:r>
        <w:rPr>
          <w:color w:val="383636"/>
        </w:rPr>
        <w:t xml:space="preserve">Section </w:t>
      </w:r>
      <w:r>
        <w:t>1202</w:t>
      </w:r>
      <w:bookmarkStart w:id="330" w:name="_9kR3WTr2CC47CnzM"/>
      <w:r>
        <w:t>(c)(2)(B)</w:t>
      </w:r>
      <w:bookmarkEnd w:id="330"/>
      <w:r>
        <w:t>.</w:t>
      </w:r>
    </w:p>
  </w:footnote>
  <w:footnote w:id="21">
    <w:p w14:paraId="4052FB5A" w14:textId="77777777" w:rsidR="00017138" w:rsidRPr="00E14E6C" w:rsidRDefault="00017138" w:rsidP="002974E9">
      <w:pPr>
        <w:pStyle w:val="FootnoteText"/>
      </w:pPr>
      <w:r>
        <w:rPr>
          <w:rStyle w:val="FootnoteReference"/>
          <w:rFonts w:eastAsia="Times New Roman Bold"/>
        </w:rPr>
        <w:footnoteRef/>
      </w:r>
      <w:r>
        <w:tab/>
        <w:t xml:space="preserve">Section 1202(c)(3)(A). Redemptions exceed the </w:t>
      </w:r>
      <w:r>
        <w:rPr>
          <w:i/>
          <w:iCs/>
        </w:rPr>
        <w:t xml:space="preserve">de minimis </w:t>
      </w:r>
      <w:r>
        <w:t xml:space="preserve">exception only if the aggregate amount paid for the stock exceeds $10,000 </w:t>
      </w:r>
      <w:r>
        <w:rPr>
          <w:b/>
          <w:bCs/>
        </w:rPr>
        <w:t>and</w:t>
      </w:r>
      <w:r>
        <w:t xml:space="preserve"> more than 2% of the stock held by the Stockholder and related parties, by value. Treas. Reg. § 1.1202-2(a)(2). Redemptions are disregarded if they are incident to the termination of services (where such redeemed stock was acquired by an employee or director in connection with the performance of services), death, disability or mental incapacity, or divorce. Treas. Reg. § 1.1202-2(d).</w:t>
      </w:r>
    </w:p>
  </w:footnote>
  <w:footnote w:id="22">
    <w:p w14:paraId="4A8179D8" w14:textId="77777777" w:rsidR="00017138" w:rsidRPr="00E14E6C" w:rsidRDefault="00017138" w:rsidP="002974E9">
      <w:pPr>
        <w:pStyle w:val="FootnoteText"/>
      </w:pPr>
      <w:r>
        <w:rPr>
          <w:rStyle w:val="FootnoteReference"/>
          <w:rFonts w:eastAsia="Times New Roman Bold"/>
        </w:rPr>
        <w:footnoteRef/>
      </w:r>
      <w:r>
        <w:tab/>
        <w:t xml:space="preserve">Section 1202(c)(3)(B). Redemptions exceed the </w:t>
      </w:r>
      <w:r>
        <w:rPr>
          <w:i/>
          <w:iCs/>
        </w:rPr>
        <w:t xml:space="preserve">de minimis </w:t>
      </w:r>
      <w:r>
        <w:t xml:space="preserve">exception only if the aggregate amount paid for the stock exceeds $10,000 </w:t>
      </w:r>
      <w:r>
        <w:rPr>
          <w:b/>
          <w:bCs/>
        </w:rPr>
        <w:t>and</w:t>
      </w:r>
      <w:r>
        <w:t xml:space="preserve"> more than 2% of all outstanding stock of the Company, by value. Treas. Reg. § 1.1202-2(b)(2). Redemptions are disregarded if they are incident to the termination of services (where such redeemed stock was acquired by an employee or director in connection with the performance of services), death, disability or mental incapacity, or divorce. Treas. Reg. § 1.1202-2(d).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B8C8B" w14:textId="77777777" w:rsidR="00396D26" w:rsidRDefault="00396D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8BE06" w14:textId="77777777" w:rsidR="00396D26" w:rsidRDefault="00396D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C3BA2" w14:textId="77777777" w:rsidR="008D1E68" w:rsidRPr="008D1E68" w:rsidRDefault="008D1E68" w:rsidP="008D1E68">
    <w:pPr>
      <w:tabs>
        <w:tab w:val="center" w:pos="4680"/>
        <w:tab w:val="right" w:pos="9360"/>
      </w:tabs>
      <w:autoSpaceDE w:val="0"/>
      <w:autoSpaceDN w:val="0"/>
      <w:jc w:val="right"/>
      <w:rPr>
        <w:i/>
        <w:iCs/>
        <w:lang w:eastAsia="ja-JP"/>
      </w:rPr>
    </w:pPr>
    <w:r w:rsidRPr="008D1E68">
      <w:rPr>
        <w:i/>
        <w:iCs/>
        <w:lang w:eastAsia="ja-JP"/>
      </w:rPr>
      <w:t>Version 1.0</w:t>
    </w:r>
  </w:p>
  <w:p w14:paraId="2DD1D7A2" w14:textId="6A018630" w:rsidR="008D1E68" w:rsidRDefault="008D1E68" w:rsidP="004C212A">
    <w:pPr>
      <w:jc w:val="both"/>
      <w:rPr>
        <w:i/>
        <w:iCs/>
      </w:rPr>
    </w:pPr>
  </w:p>
  <w:p w14:paraId="05919E57" w14:textId="32276EC9" w:rsidR="00017138" w:rsidRDefault="00C0305E" w:rsidP="004C212A">
    <w:pPr>
      <w:jc w:val="both"/>
    </w:pPr>
    <w:r>
      <w:rPr>
        <w:i/>
        <w:iCs/>
      </w:rPr>
      <w:t>Standard Capital’s “Frictionless Fundraise” documents</w:t>
    </w:r>
    <w:r w:rsidRPr="00BD5293">
      <w:rPr>
        <w:i/>
        <w:iCs/>
      </w:rPr>
      <w:t xml:space="preserve"> represent our standard form</w:t>
    </w:r>
    <w:r>
      <w:rPr>
        <w:i/>
        <w:iCs/>
      </w:rPr>
      <w:t>s of non-negotiable</w:t>
    </w:r>
    <w:r w:rsidRPr="00BD5293">
      <w:rPr>
        <w:i/>
        <w:iCs/>
      </w:rPr>
      <w:t xml:space="preserve"> agreements designed to facilitate a</w:t>
    </w:r>
    <w:r>
      <w:rPr>
        <w:i/>
        <w:iCs/>
      </w:rPr>
      <w:t xml:space="preserve"> simplified transaction process.</w:t>
    </w:r>
    <w:r w:rsidRPr="00BD5293">
      <w:rPr>
        <w:i/>
        <w:iCs/>
      </w:rPr>
      <w:t xml:space="preserve"> </w:t>
    </w:r>
    <w:r>
      <w:rPr>
        <w:i/>
        <w:iCs/>
      </w:rPr>
      <w:t xml:space="preserve"> W</w:t>
    </w:r>
    <w:r w:rsidRPr="00BD5293">
      <w:rPr>
        <w:i/>
        <w:iCs/>
      </w:rPr>
      <w:t xml:space="preserve">e reserve the right to modify terms </w:t>
    </w:r>
    <w:r>
      <w:rPr>
        <w:i/>
        <w:iCs/>
      </w:rPr>
      <w:t>and/or these forms,</w:t>
    </w:r>
    <w:r w:rsidRPr="00BD5293">
      <w:rPr>
        <w:i/>
        <w:iCs/>
      </w:rPr>
      <w:t xml:space="preserve"> but </w:t>
    </w:r>
    <w:r>
      <w:rPr>
        <w:i/>
        <w:iCs/>
      </w:rPr>
      <w:t xml:space="preserve">we </w:t>
    </w:r>
    <w:r w:rsidRPr="00BD5293">
      <w:rPr>
        <w:i/>
        <w:iCs/>
      </w:rPr>
      <w:t>generally do not accept comments or revisions to the standardized provisions. We will consider modifications only in exceptional circumstances where there are compelling business, legal, or regulatory reasons that require deviation from our standard terms, and any requested changes must be accompanied by a detailed explanation of the specific rationale and business necessity.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D4609" w14:textId="77777777" w:rsidR="00266999" w:rsidRDefault="00266999">
    <w:pPr>
      <w:rPr>
        <w:sz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D7891" w14:textId="77777777" w:rsidR="00266999" w:rsidRDefault="00266999">
    <w:pPr>
      <w:rPr>
        <w:sz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A0386" w14:textId="77777777" w:rsidR="005A34A0" w:rsidRDefault="005A34A0">
    <w:pPr>
      <w:pStyle w:val="Header"/>
      <w:adjustRightInd/>
      <w:rPr>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24A85" w14:textId="77777777" w:rsidR="00266999" w:rsidRDefault="00266999">
    <w:pPr>
      <w:rPr>
        <w:sz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414AE" w14:textId="77777777" w:rsidR="00583432" w:rsidRDefault="00583432" w:rsidP="004B558A"/>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8E2B2" w14:textId="77777777" w:rsidR="00266999" w:rsidRDefault="00266999">
    <w:pPr>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6DEDB"/>
    <w:multiLevelType w:val="multilevel"/>
    <w:tmpl w:val="9F9CD29C"/>
    <w:lvl w:ilvl="0">
      <w:start w:val="1"/>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596DEEC"/>
    <w:multiLevelType w:val="multilevel"/>
    <w:tmpl w:val="198EAE70"/>
    <w:lvl w:ilvl="0">
      <w:start w:val="2"/>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0"/>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596DEFC"/>
    <w:multiLevelType w:val="multilevel"/>
    <w:tmpl w:val="1864F6C6"/>
    <w:lvl w:ilvl="0">
      <w:start w:val="5"/>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596DF0F"/>
    <w:multiLevelType w:val="multilevel"/>
    <w:tmpl w:val="F3BCF444"/>
    <w:lvl w:ilvl="0">
      <w:start w:val="6"/>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9"/>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9451295"/>
    <w:multiLevelType w:val="hybridMultilevel"/>
    <w:tmpl w:val="46BAE252"/>
    <w:lvl w:ilvl="0" w:tplc="97E848A0">
      <w:numFmt w:val="bullet"/>
      <w:lvlText w:val=""/>
      <w:lvlJc w:val="left"/>
      <w:pPr>
        <w:ind w:left="1071" w:hanging="360"/>
      </w:pPr>
      <w:rPr>
        <w:rFonts w:ascii="Wingdings" w:eastAsia="Times New Roman" w:hAnsi="Wingdings" w:cs="Times New Roman" w:hint="default"/>
        <w:color w:val="383838"/>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5" w15:restartNumberingAfterBreak="0">
    <w:nsid w:val="249EFBDC"/>
    <w:multiLevelType w:val="multilevel"/>
    <w:tmpl w:val="AF5005C4"/>
    <w:lvl w:ilvl="0">
      <w:start w:val="5"/>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25E62686"/>
    <w:multiLevelType w:val="hybridMultilevel"/>
    <w:tmpl w:val="2A74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D5DB0"/>
    <w:multiLevelType w:val="multilevel"/>
    <w:tmpl w:val="719853AA"/>
    <w:lvl w:ilvl="0">
      <w:start w:val="1"/>
      <w:numFmt w:val="decimal"/>
      <w:pStyle w:val="Heading1"/>
      <w:lvlText w:val="%1."/>
      <w:lvlJc w:val="left"/>
      <w:pPr>
        <w:tabs>
          <w:tab w:val="num" w:pos="720"/>
        </w:tabs>
        <w:ind w:left="720" w:hanging="720"/>
      </w:pPr>
      <w:rPr>
        <w:rFonts w:hint="default"/>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0" w:firstLine="72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left"/>
      <w:pPr>
        <w:tabs>
          <w:tab w:val="num" w:pos="2160"/>
        </w:tabs>
        <w:ind w:left="0" w:firstLine="144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left"/>
      <w:pPr>
        <w:tabs>
          <w:tab w:val="num" w:pos="2880"/>
        </w:tabs>
        <w:ind w:left="0" w:firstLine="216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0" w:firstLine="288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0" w:firstLine="360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0" w:firstLine="432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lvlText w:val="1.%8"/>
      <w:lvlJc w:val="left"/>
      <w:pPr>
        <w:tabs>
          <w:tab w:val="num" w:pos="1440"/>
        </w:tabs>
        <w:ind w:left="0" w:firstLine="720"/>
      </w:pPr>
      <w:rPr>
        <w:rFonts w:ascii="Times New Roman" w:hAnsi="Times New Roman"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Heading9"/>
      <w:lvlText w:val="(%9)"/>
      <w:lvlJc w:val="left"/>
      <w:pPr>
        <w:tabs>
          <w:tab w:val="num" w:pos="2160"/>
        </w:tabs>
        <w:ind w:left="0" w:firstLine="144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466E1F16"/>
    <w:multiLevelType w:val="hybridMultilevel"/>
    <w:tmpl w:val="C5A84950"/>
    <w:lvl w:ilvl="0" w:tplc="475E5E46">
      <w:start w:val="1"/>
      <w:numFmt w:val="bullet"/>
      <w:lvlText w:val="•"/>
      <w:lvlJc w:val="left"/>
      <w:pPr>
        <w:ind w:hanging="349"/>
      </w:pPr>
      <w:rPr>
        <w:rFonts w:ascii="Times New Roman" w:eastAsia="Times New Roman" w:hAnsi="Times New Roman" w:hint="default"/>
        <w:color w:val="232121"/>
        <w:w w:val="102"/>
        <w:position w:val="-3"/>
        <w:sz w:val="30"/>
        <w:szCs w:val="30"/>
      </w:rPr>
    </w:lvl>
    <w:lvl w:ilvl="1" w:tplc="012410FC">
      <w:start w:val="1"/>
      <w:numFmt w:val="bullet"/>
      <w:lvlText w:val="•"/>
      <w:lvlJc w:val="left"/>
      <w:rPr>
        <w:rFonts w:hint="default"/>
      </w:rPr>
    </w:lvl>
    <w:lvl w:ilvl="2" w:tplc="1706878E">
      <w:start w:val="1"/>
      <w:numFmt w:val="bullet"/>
      <w:lvlText w:val="•"/>
      <w:lvlJc w:val="left"/>
      <w:rPr>
        <w:rFonts w:hint="default"/>
      </w:rPr>
    </w:lvl>
    <w:lvl w:ilvl="3" w:tplc="B1A8F3AC">
      <w:start w:val="1"/>
      <w:numFmt w:val="bullet"/>
      <w:lvlText w:val="•"/>
      <w:lvlJc w:val="left"/>
      <w:rPr>
        <w:rFonts w:hint="default"/>
      </w:rPr>
    </w:lvl>
    <w:lvl w:ilvl="4" w:tplc="A64AFDC8">
      <w:start w:val="1"/>
      <w:numFmt w:val="bullet"/>
      <w:lvlText w:val="•"/>
      <w:lvlJc w:val="left"/>
      <w:rPr>
        <w:rFonts w:hint="default"/>
      </w:rPr>
    </w:lvl>
    <w:lvl w:ilvl="5" w:tplc="845E8BA4">
      <w:start w:val="1"/>
      <w:numFmt w:val="bullet"/>
      <w:lvlText w:val="•"/>
      <w:lvlJc w:val="left"/>
      <w:rPr>
        <w:rFonts w:hint="default"/>
      </w:rPr>
    </w:lvl>
    <w:lvl w:ilvl="6" w:tplc="BC20CD26">
      <w:start w:val="1"/>
      <w:numFmt w:val="bullet"/>
      <w:lvlText w:val="•"/>
      <w:lvlJc w:val="left"/>
      <w:rPr>
        <w:rFonts w:hint="default"/>
      </w:rPr>
    </w:lvl>
    <w:lvl w:ilvl="7" w:tplc="A13C1EC4">
      <w:start w:val="1"/>
      <w:numFmt w:val="bullet"/>
      <w:lvlText w:val="•"/>
      <w:lvlJc w:val="left"/>
      <w:rPr>
        <w:rFonts w:hint="default"/>
      </w:rPr>
    </w:lvl>
    <w:lvl w:ilvl="8" w:tplc="886AB226">
      <w:start w:val="1"/>
      <w:numFmt w:val="bullet"/>
      <w:lvlText w:val="•"/>
      <w:lvlJc w:val="left"/>
      <w:rPr>
        <w:rFonts w:hint="default"/>
      </w:rPr>
    </w:lvl>
  </w:abstractNum>
  <w:abstractNum w:abstractNumId="9" w15:restartNumberingAfterBreak="0">
    <w:nsid w:val="5C836451"/>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62C56708"/>
    <w:multiLevelType w:val="multilevel"/>
    <w:tmpl w:val="1200D0FA"/>
    <w:lvl w:ilvl="0">
      <w:start w:val="1"/>
      <w:numFmt w:val="decimal"/>
      <w:lvlText w:val="%1."/>
      <w:lvlJc w:val="left"/>
      <w:pPr>
        <w:tabs>
          <w:tab w:val="left" w:pos="720"/>
        </w:tabs>
        <w:ind w:left="0"/>
      </w:pPr>
      <w:rPr>
        <w:b w:val="0"/>
        <w:i w:val="0"/>
        <w:caps/>
        <w:smallCaps w:val="0"/>
        <w:strike w:val="0"/>
        <w:dstrike w:val="0"/>
        <w:color w:val="auto"/>
      </w:rPr>
    </w:lvl>
    <w:lvl w:ilvl="1">
      <w:start w:val="1"/>
      <w:numFmt w:val="decimal"/>
      <w:lvlText w:val="%1.%2"/>
      <w:lvlJc w:val="left"/>
      <w:pPr>
        <w:tabs>
          <w:tab w:val="left" w:pos="1440"/>
        </w:tabs>
        <w:ind w:firstLine="1440"/>
      </w:pPr>
      <w:rPr>
        <w:b w:val="0"/>
        <w:i w:val="0"/>
        <w:caps w:val="0"/>
        <w:strike w:val="0"/>
        <w:dstrike w:val="0"/>
        <w:color w:val="auto"/>
      </w:rPr>
    </w:lvl>
    <w:lvl w:ilvl="2">
      <w:start w:val="1"/>
      <w:numFmt w:val="lowerLetter"/>
      <w:lvlText w:val="(%3)"/>
      <w:lvlJc w:val="left"/>
      <w:pPr>
        <w:tabs>
          <w:tab w:val="left" w:pos="2160"/>
        </w:tabs>
        <w:ind w:firstLine="21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3">
      <w:start w:val="1"/>
      <w:numFmt w:val="lowerRoman"/>
      <w:lvlText w:val="(%4)"/>
      <w:lvlJc w:val="left"/>
      <w:pPr>
        <w:tabs>
          <w:tab w:val="left" w:pos="2880"/>
        </w:tabs>
        <w:ind w:firstLine="2880"/>
      </w:pPr>
      <w:rPr>
        <w:b/>
        <w:i w:val="0"/>
        <w:caps w:val="0"/>
        <w:strike w:val="0"/>
        <w:dstrike w:val="0"/>
        <w:color w:val="auto"/>
      </w:rPr>
    </w:lvl>
    <w:lvl w:ilvl="4">
      <w:start w:val="1"/>
      <w:numFmt w:val="decimal"/>
      <w:lvlText w:val="(%5)"/>
      <w:lvlJc w:val="left"/>
      <w:pPr>
        <w:tabs>
          <w:tab w:val="left" w:pos="3600"/>
        </w:tabs>
        <w:ind w:firstLine="3600"/>
      </w:pPr>
      <w:rPr>
        <w:b/>
        <w:i w:val="0"/>
        <w:caps w:val="0"/>
        <w:strike w:val="0"/>
        <w:dstrike w:val="0"/>
        <w:color w:val="auto"/>
      </w:rPr>
    </w:lvl>
    <w:lvl w:ilvl="5">
      <w:start w:val="1"/>
      <w:numFmt w:val="lowerLetter"/>
      <w:lvlText w:val="%6."/>
      <w:lvlJc w:val="left"/>
      <w:pPr>
        <w:tabs>
          <w:tab w:val="left" w:pos="4320"/>
        </w:tabs>
        <w:ind w:firstLine="4320"/>
      </w:pPr>
      <w:rPr>
        <w:b/>
        <w:i w:val="0"/>
        <w:caps w:val="0"/>
        <w:strike w:val="0"/>
        <w:dstrike w:val="0"/>
        <w:color w:val="auto"/>
      </w:rPr>
    </w:lvl>
    <w:lvl w:ilvl="6">
      <w:start w:val="1"/>
      <w:numFmt w:val="lowerRoman"/>
      <w:lvlText w:val="%7."/>
      <w:lvlJc w:val="left"/>
      <w:pPr>
        <w:tabs>
          <w:tab w:val="left" w:pos="5040"/>
        </w:tabs>
        <w:ind w:firstLine="5040"/>
      </w:pPr>
      <w:rPr>
        <w:b/>
        <w:i w:val="0"/>
        <w:caps w:val="0"/>
        <w:strike w:val="0"/>
        <w:dstrike w:val="0"/>
        <w:color w:val="auto"/>
      </w:rPr>
    </w:lvl>
    <w:lvl w:ilvl="7">
      <w:start w:val="1"/>
      <w:numFmt w:val="lowerLetter"/>
      <w:lvlText w:val="(%8)"/>
      <w:lvlJc w:val="left"/>
      <w:pPr>
        <w:tabs>
          <w:tab w:val="left" w:pos="1440"/>
        </w:tabs>
        <w:ind w:firstLine="1440"/>
      </w:pPr>
      <w:rPr>
        <w:b/>
        <w:i w:val="0"/>
        <w:caps w:val="0"/>
        <w:strike w:val="0"/>
        <w:dstrike w:val="0"/>
        <w:color w:val="auto"/>
      </w:rPr>
    </w:lvl>
    <w:lvl w:ilvl="8">
      <w:start w:val="1"/>
      <w:numFmt w:val="lowerRoman"/>
      <w:lvlText w:val="(%9)"/>
      <w:lvlJc w:val="left"/>
      <w:pPr>
        <w:tabs>
          <w:tab w:val="left" w:pos="2160"/>
        </w:tabs>
        <w:ind w:firstLine="2160"/>
      </w:pPr>
      <w:rPr>
        <w:b/>
        <w:i w:val="0"/>
        <w:caps w:val="0"/>
        <w:strike w:val="0"/>
        <w:dstrike w:val="0"/>
        <w:color w:val="auto"/>
      </w:rPr>
    </w:lvl>
  </w:abstractNum>
  <w:num w:numId="1" w16cid:durableId="387919864">
    <w:abstractNumId w:val="8"/>
  </w:num>
  <w:num w:numId="2" w16cid:durableId="2101443087">
    <w:abstractNumId w:val="7"/>
  </w:num>
  <w:num w:numId="3" w16cid:durableId="526329614">
    <w:abstractNumId w:val="4"/>
  </w:num>
  <w:num w:numId="4" w16cid:durableId="1213810611">
    <w:abstractNumId w:val="6"/>
  </w:num>
  <w:num w:numId="5" w16cid:durableId="371612087">
    <w:abstractNumId w:val="7"/>
    <w:lvlOverride w:ilvl="0">
      <w:startOverride w:val="2"/>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61702804">
    <w:abstractNumId w:val="7"/>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0769316">
    <w:abstractNumId w:val="1"/>
  </w:num>
  <w:num w:numId="8" w16cid:durableId="1667123727">
    <w:abstractNumId w:val="2"/>
  </w:num>
  <w:num w:numId="9" w16cid:durableId="173417923">
    <w:abstractNumId w:val="3"/>
  </w:num>
  <w:num w:numId="10" w16cid:durableId="1936479205">
    <w:abstractNumId w:val="5"/>
  </w:num>
  <w:num w:numId="11" w16cid:durableId="1812820493">
    <w:abstractNumId w:val="7"/>
    <w:lvlOverride w:ilvl="0">
      <w:startOverride w:val="2"/>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17180145">
    <w:abstractNumId w:val="9"/>
  </w:num>
  <w:num w:numId="13" w16cid:durableId="315497483">
    <w:abstractNumId w:val="7"/>
  </w:num>
  <w:num w:numId="14" w16cid:durableId="2075228010">
    <w:abstractNumId w:val="7"/>
  </w:num>
  <w:num w:numId="15" w16cid:durableId="114251828">
    <w:abstractNumId w:val="7"/>
  </w:num>
  <w:num w:numId="16" w16cid:durableId="1242526498">
    <w:abstractNumId w:val="7"/>
  </w:num>
  <w:num w:numId="17" w16cid:durableId="8632517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377255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0680404">
    <w:abstractNumId w:val="7"/>
  </w:num>
  <w:num w:numId="20" w16cid:durableId="595554072">
    <w:abstractNumId w:val="7"/>
  </w:num>
  <w:num w:numId="21" w16cid:durableId="2029090462">
    <w:abstractNumId w:val="7"/>
  </w:num>
  <w:num w:numId="22" w16cid:durableId="265580558">
    <w:abstractNumId w:val="7"/>
  </w:num>
  <w:num w:numId="23" w16cid:durableId="1329927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46218144">
    <w:abstractNumId w:val="7"/>
  </w:num>
  <w:num w:numId="25" w16cid:durableId="706291933">
    <w:abstractNumId w:val="7"/>
  </w:num>
  <w:num w:numId="26" w16cid:durableId="3700819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4292075">
    <w:abstractNumId w:val="7"/>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90151449">
    <w:abstractNumId w:val="7"/>
  </w:num>
  <w:num w:numId="29" w16cid:durableId="20195045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85784536">
    <w:abstractNumId w:val="7"/>
  </w:num>
  <w:num w:numId="31" w16cid:durableId="1843275183">
    <w:abstractNumId w:val="7"/>
  </w:num>
  <w:num w:numId="32" w16cid:durableId="7353244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3"/>
  <w:doNotUseMarginsForDrawingGridOrigin/>
  <w:drawingGridHorizontalOrigin w:val="1440"/>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MS_Work10" w:val="0~MOFO||1~360257366||2~4||3~Standard Capital - Form of Series A Investors' Rights Agreement||5~SLD5||6~SLD5||7~WORDX||8~PRINCIPAL_TRANS_DOC||10~9/10/2025 2:55:06 AM||11~9/8/2025 6:21:30 PM||13~123349||14~False||17~public||18~SLD5||21~False||22~False||24~Final (updated footnote dates) 9/17||25~036564||26~0000007||27~SXK16||28~MRG10||29~SF||30~09||31~ECVC_GEN_CORP||49~False||50~False||53~ECVC||54~845||60~SCV MANAGEMENT LLC||61~GENERAL TRANSACTIONS||62~Shai Kalansky||63~Michael R. Glaser||64~San Francisco||65~General Legal||66~ECVC-General Corporate||72~Emerging Companies + Venture Capital||73~ECVC General Corporate Startup/Emerging Company Counselling||74~Drumm, Stephanie L.||75~Drumm, Stephanie L.||76~Microsoft Word||77~Transaction Documents, Fund Formation Working Documents, Sponsor‐Level Working Documents, Docs – Principal, Documents, M&amp;A and Transactional, Nebenvereinbarungen, Registered Funds, SMA Clients, Unregistered Funds, Family Offices, Foundations, Hybrids||82~docx||85~9/10/2025 2:55:08 AM||99~1/1/0001 12:00:00 AM||107~1/1/0001 12:00:00 AM||109~1/1/0001 12:00:00 AM||113~9/8/2025 6:21:30 PM||114~9/10/2025 2:55:06 AM||117~True||124~False||"/>
    <w:docVar w:name="ForteTempFile" w:val="C:\Users\mth2\AppData\Local\Temp\a28a2478-93d0-419a-a0a6-f2f396572c6c.docx"/>
    <w:docVar w:name="zzmp10LastTrailerInserted" w:val="^`~#mp!@N!⌖#⌂┗┦282|{ŕm}C⌌ƕB⌒⌉í)p¾!³¤ÉX⌌B⌓Ã!‹{⌛Ý₯¢⌋«û‘òô@-¹“ $zë,¬⌉ýH„b&amp;&amp;à”7Ö?zSÔô¥Éu⌘§ªæÅËFª×4ˆÑþZ¨⌐⌖íæ4w8÷êòa⌔‛V¶⌒‗WŸ⌃.¶é&quot;÷&amp;4°{’ìÐY´.&amp;Ö9©Ú/ÇePÆ⌇⌖n2ŔT872ILM011"/>
    <w:docVar w:name="zzmp10LastTrailerInserted_8523" w:val="^`~#mp!@N!⌖#⌂┗┦282|{ŕm}C⌌ƕB⌒⌉í)p¾!³¤ÉX⌌B⌓Ã!‹{⌛Ý₯¢⌋«û‘òô@-¹“ $zë,¬⌉ýH„b&amp;&amp;à”7Ö?zSÔô¥Éu⌘§ªæÅËFª×4ˆÑþZ¨⌐⌖íæ4w8÷êòa⌔‛V¶⌒‗WŸ⌃.¶é&quot;÷&amp;4°{’ìÐY´.&amp;Ö9©Ú/ÇePÆ⌇⌖n2ŔT872ILM011"/>
    <w:docVar w:name="zzmp10mSEGsValidated" w:val="1"/>
    <w:docVar w:name="zzmpCompatibilityMode" w:val="15"/>
  </w:docVars>
  <w:rsids>
    <w:rsidRoot w:val="00170543"/>
    <w:rsid w:val="00000C95"/>
    <w:rsid w:val="000019D7"/>
    <w:rsid w:val="00001EB6"/>
    <w:rsid w:val="00002F2F"/>
    <w:rsid w:val="0000741C"/>
    <w:rsid w:val="000075C4"/>
    <w:rsid w:val="00010065"/>
    <w:rsid w:val="00015899"/>
    <w:rsid w:val="00015D6B"/>
    <w:rsid w:val="00017138"/>
    <w:rsid w:val="00024DBC"/>
    <w:rsid w:val="0002530E"/>
    <w:rsid w:val="00025511"/>
    <w:rsid w:val="00026FE1"/>
    <w:rsid w:val="00027647"/>
    <w:rsid w:val="000305EA"/>
    <w:rsid w:val="00035255"/>
    <w:rsid w:val="00037703"/>
    <w:rsid w:val="00037FB7"/>
    <w:rsid w:val="000409AE"/>
    <w:rsid w:val="00041E0F"/>
    <w:rsid w:val="00051C2B"/>
    <w:rsid w:val="00052C30"/>
    <w:rsid w:val="00052CA5"/>
    <w:rsid w:val="00053149"/>
    <w:rsid w:val="00053AEE"/>
    <w:rsid w:val="0005499F"/>
    <w:rsid w:val="00055E7F"/>
    <w:rsid w:val="000669AF"/>
    <w:rsid w:val="00072062"/>
    <w:rsid w:val="00074175"/>
    <w:rsid w:val="000772A2"/>
    <w:rsid w:val="000828F3"/>
    <w:rsid w:val="00082B3B"/>
    <w:rsid w:val="000842ED"/>
    <w:rsid w:val="00085D56"/>
    <w:rsid w:val="000876DC"/>
    <w:rsid w:val="00090751"/>
    <w:rsid w:val="000916CA"/>
    <w:rsid w:val="00091F53"/>
    <w:rsid w:val="0009591F"/>
    <w:rsid w:val="000975DD"/>
    <w:rsid w:val="00097F32"/>
    <w:rsid w:val="000A0043"/>
    <w:rsid w:val="000A1E16"/>
    <w:rsid w:val="000A4B7E"/>
    <w:rsid w:val="000A7B80"/>
    <w:rsid w:val="000B0C88"/>
    <w:rsid w:val="000B360B"/>
    <w:rsid w:val="000B40BC"/>
    <w:rsid w:val="000B515C"/>
    <w:rsid w:val="000B5E24"/>
    <w:rsid w:val="000B6ABC"/>
    <w:rsid w:val="000C178F"/>
    <w:rsid w:val="000C1C3D"/>
    <w:rsid w:val="000C2262"/>
    <w:rsid w:val="000C380D"/>
    <w:rsid w:val="000C4439"/>
    <w:rsid w:val="000C5F7E"/>
    <w:rsid w:val="000C61BA"/>
    <w:rsid w:val="000C7CE3"/>
    <w:rsid w:val="000D2D6E"/>
    <w:rsid w:val="000D3147"/>
    <w:rsid w:val="000D36C4"/>
    <w:rsid w:val="000D484C"/>
    <w:rsid w:val="000D5A1E"/>
    <w:rsid w:val="000D5D5F"/>
    <w:rsid w:val="000D6085"/>
    <w:rsid w:val="000D6FAA"/>
    <w:rsid w:val="000E151D"/>
    <w:rsid w:val="000E39C1"/>
    <w:rsid w:val="000E4994"/>
    <w:rsid w:val="000E4E79"/>
    <w:rsid w:val="000F1C3D"/>
    <w:rsid w:val="000F2EBC"/>
    <w:rsid w:val="000F71C6"/>
    <w:rsid w:val="000F745A"/>
    <w:rsid w:val="00101FC9"/>
    <w:rsid w:val="00102F61"/>
    <w:rsid w:val="00110078"/>
    <w:rsid w:val="001100B4"/>
    <w:rsid w:val="00115114"/>
    <w:rsid w:val="001151B6"/>
    <w:rsid w:val="00115251"/>
    <w:rsid w:val="00121195"/>
    <w:rsid w:val="00125802"/>
    <w:rsid w:val="001301AD"/>
    <w:rsid w:val="001313FB"/>
    <w:rsid w:val="001328D8"/>
    <w:rsid w:val="001328EF"/>
    <w:rsid w:val="00133E3A"/>
    <w:rsid w:val="001350C0"/>
    <w:rsid w:val="001363E3"/>
    <w:rsid w:val="00141DC5"/>
    <w:rsid w:val="001420A7"/>
    <w:rsid w:val="00142FD3"/>
    <w:rsid w:val="001513C8"/>
    <w:rsid w:val="0016073D"/>
    <w:rsid w:val="00161277"/>
    <w:rsid w:val="0016197A"/>
    <w:rsid w:val="00164265"/>
    <w:rsid w:val="00167485"/>
    <w:rsid w:val="00170543"/>
    <w:rsid w:val="00171291"/>
    <w:rsid w:val="00171CF9"/>
    <w:rsid w:val="00174992"/>
    <w:rsid w:val="00180EF7"/>
    <w:rsid w:val="00183A59"/>
    <w:rsid w:val="00184FD6"/>
    <w:rsid w:val="00184FFF"/>
    <w:rsid w:val="001907BD"/>
    <w:rsid w:val="00193180"/>
    <w:rsid w:val="00194D1E"/>
    <w:rsid w:val="00197D82"/>
    <w:rsid w:val="001A09FA"/>
    <w:rsid w:val="001A78A4"/>
    <w:rsid w:val="001A7ADA"/>
    <w:rsid w:val="001A7D33"/>
    <w:rsid w:val="001B173B"/>
    <w:rsid w:val="001B1B1B"/>
    <w:rsid w:val="001B21B3"/>
    <w:rsid w:val="001B63B9"/>
    <w:rsid w:val="001B7B93"/>
    <w:rsid w:val="001C324D"/>
    <w:rsid w:val="001C348E"/>
    <w:rsid w:val="001C4E08"/>
    <w:rsid w:val="001C58A5"/>
    <w:rsid w:val="001C5D4D"/>
    <w:rsid w:val="001C6473"/>
    <w:rsid w:val="001C649B"/>
    <w:rsid w:val="001D2AEA"/>
    <w:rsid w:val="001D517F"/>
    <w:rsid w:val="001D6802"/>
    <w:rsid w:val="001D6CCC"/>
    <w:rsid w:val="001E003E"/>
    <w:rsid w:val="001E5C29"/>
    <w:rsid w:val="001F4D56"/>
    <w:rsid w:val="001F59BA"/>
    <w:rsid w:val="0020019E"/>
    <w:rsid w:val="00200A68"/>
    <w:rsid w:val="00202E6F"/>
    <w:rsid w:val="00202E8A"/>
    <w:rsid w:val="00205591"/>
    <w:rsid w:val="00207204"/>
    <w:rsid w:val="00211D22"/>
    <w:rsid w:val="00215502"/>
    <w:rsid w:val="00216871"/>
    <w:rsid w:val="00217CAD"/>
    <w:rsid w:val="00221C89"/>
    <w:rsid w:val="00221F84"/>
    <w:rsid w:val="002224D0"/>
    <w:rsid w:val="0022471D"/>
    <w:rsid w:val="0023119A"/>
    <w:rsid w:val="00231693"/>
    <w:rsid w:val="002328A4"/>
    <w:rsid w:val="00233248"/>
    <w:rsid w:val="0023581E"/>
    <w:rsid w:val="00235E1D"/>
    <w:rsid w:val="00241F12"/>
    <w:rsid w:val="00242ED9"/>
    <w:rsid w:val="00244F07"/>
    <w:rsid w:val="00244FFE"/>
    <w:rsid w:val="00247E11"/>
    <w:rsid w:val="0025059E"/>
    <w:rsid w:val="00252F86"/>
    <w:rsid w:val="002545E5"/>
    <w:rsid w:val="00254A98"/>
    <w:rsid w:val="00256983"/>
    <w:rsid w:val="00257FDC"/>
    <w:rsid w:val="00263243"/>
    <w:rsid w:val="00264819"/>
    <w:rsid w:val="00264A02"/>
    <w:rsid w:val="00266999"/>
    <w:rsid w:val="00267424"/>
    <w:rsid w:val="00267998"/>
    <w:rsid w:val="00267A22"/>
    <w:rsid w:val="00273F3F"/>
    <w:rsid w:val="0027497F"/>
    <w:rsid w:val="00275A34"/>
    <w:rsid w:val="00276EAF"/>
    <w:rsid w:val="0028091A"/>
    <w:rsid w:val="00281ED3"/>
    <w:rsid w:val="002841E1"/>
    <w:rsid w:val="00285069"/>
    <w:rsid w:val="0028585E"/>
    <w:rsid w:val="002864C1"/>
    <w:rsid w:val="00287A6C"/>
    <w:rsid w:val="002920B8"/>
    <w:rsid w:val="00292762"/>
    <w:rsid w:val="00292EB2"/>
    <w:rsid w:val="00295E00"/>
    <w:rsid w:val="002965FE"/>
    <w:rsid w:val="002974E9"/>
    <w:rsid w:val="002A0E5A"/>
    <w:rsid w:val="002A10A0"/>
    <w:rsid w:val="002A1A25"/>
    <w:rsid w:val="002A2541"/>
    <w:rsid w:val="002B19CC"/>
    <w:rsid w:val="002B65FD"/>
    <w:rsid w:val="002B6B24"/>
    <w:rsid w:val="002B75A3"/>
    <w:rsid w:val="002C3811"/>
    <w:rsid w:val="002C38C9"/>
    <w:rsid w:val="002C6AF3"/>
    <w:rsid w:val="002D12D7"/>
    <w:rsid w:val="002D174A"/>
    <w:rsid w:val="002D234D"/>
    <w:rsid w:val="002D5D4D"/>
    <w:rsid w:val="002E17B8"/>
    <w:rsid w:val="002E28F5"/>
    <w:rsid w:val="002E5847"/>
    <w:rsid w:val="002F042F"/>
    <w:rsid w:val="002F0E46"/>
    <w:rsid w:val="002F0F64"/>
    <w:rsid w:val="002F4D74"/>
    <w:rsid w:val="002F4D9A"/>
    <w:rsid w:val="002F7180"/>
    <w:rsid w:val="00301BF8"/>
    <w:rsid w:val="003022EB"/>
    <w:rsid w:val="00302654"/>
    <w:rsid w:val="00303465"/>
    <w:rsid w:val="00303CEC"/>
    <w:rsid w:val="003078F6"/>
    <w:rsid w:val="00320473"/>
    <w:rsid w:val="00320EF6"/>
    <w:rsid w:val="0032290A"/>
    <w:rsid w:val="003271BC"/>
    <w:rsid w:val="0032733B"/>
    <w:rsid w:val="00330AEC"/>
    <w:rsid w:val="00330C15"/>
    <w:rsid w:val="00331CAD"/>
    <w:rsid w:val="00334608"/>
    <w:rsid w:val="003370BA"/>
    <w:rsid w:val="003372F4"/>
    <w:rsid w:val="00340EFE"/>
    <w:rsid w:val="00343E2C"/>
    <w:rsid w:val="00350527"/>
    <w:rsid w:val="00351218"/>
    <w:rsid w:val="003512A6"/>
    <w:rsid w:val="003539C9"/>
    <w:rsid w:val="003560A0"/>
    <w:rsid w:val="00360C35"/>
    <w:rsid w:val="00360DEB"/>
    <w:rsid w:val="00362F00"/>
    <w:rsid w:val="00362F59"/>
    <w:rsid w:val="00364707"/>
    <w:rsid w:val="00365BB6"/>
    <w:rsid w:val="003671E4"/>
    <w:rsid w:val="00370E0A"/>
    <w:rsid w:val="003723F1"/>
    <w:rsid w:val="003801AE"/>
    <w:rsid w:val="00380E0D"/>
    <w:rsid w:val="00386168"/>
    <w:rsid w:val="00391C79"/>
    <w:rsid w:val="00391C7E"/>
    <w:rsid w:val="00393611"/>
    <w:rsid w:val="00396D26"/>
    <w:rsid w:val="003A0917"/>
    <w:rsid w:val="003A35FD"/>
    <w:rsid w:val="003A3625"/>
    <w:rsid w:val="003A47CA"/>
    <w:rsid w:val="003A5D3C"/>
    <w:rsid w:val="003A6BFE"/>
    <w:rsid w:val="003A72EF"/>
    <w:rsid w:val="003A7D9A"/>
    <w:rsid w:val="003B0E91"/>
    <w:rsid w:val="003B1F88"/>
    <w:rsid w:val="003B24F7"/>
    <w:rsid w:val="003B51FF"/>
    <w:rsid w:val="003B5D7F"/>
    <w:rsid w:val="003B7946"/>
    <w:rsid w:val="003C028A"/>
    <w:rsid w:val="003C2CAE"/>
    <w:rsid w:val="003C33B7"/>
    <w:rsid w:val="003C3E23"/>
    <w:rsid w:val="003C7947"/>
    <w:rsid w:val="003D254B"/>
    <w:rsid w:val="003D47A0"/>
    <w:rsid w:val="003D493B"/>
    <w:rsid w:val="003D4CCE"/>
    <w:rsid w:val="003D5E62"/>
    <w:rsid w:val="003E0D19"/>
    <w:rsid w:val="003E39B4"/>
    <w:rsid w:val="003E4478"/>
    <w:rsid w:val="003E508B"/>
    <w:rsid w:val="003F0FBA"/>
    <w:rsid w:val="003F209D"/>
    <w:rsid w:val="003F5FDF"/>
    <w:rsid w:val="003F7F0E"/>
    <w:rsid w:val="0040199E"/>
    <w:rsid w:val="00404415"/>
    <w:rsid w:val="00407140"/>
    <w:rsid w:val="004123B9"/>
    <w:rsid w:val="0041355D"/>
    <w:rsid w:val="004156F9"/>
    <w:rsid w:val="004171AA"/>
    <w:rsid w:val="00422191"/>
    <w:rsid w:val="0042222E"/>
    <w:rsid w:val="00423AE5"/>
    <w:rsid w:val="00426284"/>
    <w:rsid w:val="004309B7"/>
    <w:rsid w:val="00432DB3"/>
    <w:rsid w:val="0043440B"/>
    <w:rsid w:val="0043511C"/>
    <w:rsid w:val="00436C3F"/>
    <w:rsid w:val="00437648"/>
    <w:rsid w:val="00437B11"/>
    <w:rsid w:val="0044136A"/>
    <w:rsid w:val="00441B11"/>
    <w:rsid w:val="0044301A"/>
    <w:rsid w:val="00443071"/>
    <w:rsid w:val="00445EDB"/>
    <w:rsid w:val="00450C30"/>
    <w:rsid w:val="00450C81"/>
    <w:rsid w:val="0045295E"/>
    <w:rsid w:val="00452F74"/>
    <w:rsid w:val="0045518B"/>
    <w:rsid w:val="00455C26"/>
    <w:rsid w:val="00456463"/>
    <w:rsid w:val="00456D79"/>
    <w:rsid w:val="00461B46"/>
    <w:rsid w:val="00462CC0"/>
    <w:rsid w:val="00466086"/>
    <w:rsid w:val="004727C3"/>
    <w:rsid w:val="00474866"/>
    <w:rsid w:val="004773A0"/>
    <w:rsid w:val="0047766A"/>
    <w:rsid w:val="0048499B"/>
    <w:rsid w:val="004875DB"/>
    <w:rsid w:val="004876F3"/>
    <w:rsid w:val="004937A7"/>
    <w:rsid w:val="00493EC9"/>
    <w:rsid w:val="0049594A"/>
    <w:rsid w:val="0049661C"/>
    <w:rsid w:val="004A0A36"/>
    <w:rsid w:val="004A1B0D"/>
    <w:rsid w:val="004A3B89"/>
    <w:rsid w:val="004A415D"/>
    <w:rsid w:val="004A5A72"/>
    <w:rsid w:val="004A75B1"/>
    <w:rsid w:val="004B0E6D"/>
    <w:rsid w:val="004B558A"/>
    <w:rsid w:val="004B5667"/>
    <w:rsid w:val="004C110B"/>
    <w:rsid w:val="004C212A"/>
    <w:rsid w:val="004C40D2"/>
    <w:rsid w:val="004C5098"/>
    <w:rsid w:val="004C76B8"/>
    <w:rsid w:val="004D3A88"/>
    <w:rsid w:val="004D4312"/>
    <w:rsid w:val="004D52E2"/>
    <w:rsid w:val="004D70BB"/>
    <w:rsid w:val="004D72BD"/>
    <w:rsid w:val="004D7EBE"/>
    <w:rsid w:val="004E14DA"/>
    <w:rsid w:val="004E23B1"/>
    <w:rsid w:val="004E2D06"/>
    <w:rsid w:val="004E55F9"/>
    <w:rsid w:val="004E5A2B"/>
    <w:rsid w:val="004F075D"/>
    <w:rsid w:val="005056BD"/>
    <w:rsid w:val="00505765"/>
    <w:rsid w:val="005064B7"/>
    <w:rsid w:val="00507E71"/>
    <w:rsid w:val="00510BC9"/>
    <w:rsid w:val="00511651"/>
    <w:rsid w:val="00512B86"/>
    <w:rsid w:val="0051657C"/>
    <w:rsid w:val="00523207"/>
    <w:rsid w:val="005249E3"/>
    <w:rsid w:val="00530010"/>
    <w:rsid w:val="00530BB1"/>
    <w:rsid w:val="0053739A"/>
    <w:rsid w:val="005375C1"/>
    <w:rsid w:val="005432ED"/>
    <w:rsid w:val="00543CB4"/>
    <w:rsid w:val="00550E8D"/>
    <w:rsid w:val="00551510"/>
    <w:rsid w:val="00551F4B"/>
    <w:rsid w:val="00554A5D"/>
    <w:rsid w:val="00554B2C"/>
    <w:rsid w:val="0055678B"/>
    <w:rsid w:val="0056075B"/>
    <w:rsid w:val="005611EF"/>
    <w:rsid w:val="005628FC"/>
    <w:rsid w:val="00563C2F"/>
    <w:rsid w:val="0057268E"/>
    <w:rsid w:val="00572D12"/>
    <w:rsid w:val="00576C39"/>
    <w:rsid w:val="005774BA"/>
    <w:rsid w:val="00577C75"/>
    <w:rsid w:val="005832E9"/>
    <w:rsid w:val="00583432"/>
    <w:rsid w:val="00584825"/>
    <w:rsid w:val="00584B80"/>
    <w:rsid w:val="00590966"/>
    <w:rsid w:val="00594364"/>
    <w:rsid w:val="005A02A8"/>
    <w:rsid w:val="005A108B"/>
    <w:rsid w:val="005A152B"/>
    <w:rsid w:val="005A1732"/>
    <w:rsid w:val="005A1F81"/>
    <w:rsid w:val="005A34A0"/>
    <w:rsid w:val="005B0C79"/>
    <w:rsid w:val="005B3E45"/>
    <w:rsid w:val="005B4258"/>
    <w:rsid w:val="005B5480"/>
    <w:rsid w:val="005B7EB4"/>
    <w:rsid w:val="005C1433"/>
    <w:rsid w:val="005C47D9"/>
    <w:rsid w:val="005D01E5"/>
    <w:rsid w:val="005D0BB8"/>
    <w:rsid w:val="005D3302"/>
    <w:rsid w:val="005D389D"/>
    <w:rsid w:val="005D4F98"/>
    <w:rsid w:val="005D607E"/>
    <w:rsid w:val="005D7008"/>
    <w:rsid w:val="005E4CB1"/>
    <w:rsid w:val="005E7382"/>
    <w:rsid w:val="005F1A1F"/>
    <w:rsid w:val="005F23C4"/>
    <w:rsid w:val="005F3D45"/>
    <w:rsid w:val="006002C5"/>
    <w:rsid w:val="006014B2"/>
    <w:rsid w:val="00602E8A"/>
    <w:rsid w:val="006055DE"/>
    <w:rsid w:val="00607A91"/>
    <w:rsid w:val="00607E5E"/>
    <w:rsid w:val="00610D7F"/>
    <w:rsid w:val="00611122"/>
    <w:rsid w:val="00612B1D"/>
    <w:rsid w:val="006131F4"/>
    <w:rsid w:val="006224A2"/>
    <w:rsid w:val="00632F3F"/>
    <w:rsid w:val="0063314B"/>
    <w:rsid w:val="006370E7"/>
    <w:rsid w:val="006401F3"/>
    <w:rsid w:val="00642B51"/>
    <w:rsid w:val="00642CE4"/>
    <w:rsid w:val="006435CB"/>
    <w:rsid w:val="00643FBC"/>
    <w:rsid w:val="00644020"/>
    <w:rsid w:val="00650BA4"/>
    <w:rsid w:val="006514C5"/>
    <w:rsid w:val="006516CE"/>
    <w:rsid w:val="00651DDB"/>
    <w:rsid w:val="00651FA8"/>
    <w:rsid w:val="00653BF9"/>
    <w:rsid w:val="00654031"/>
    <w:rsid w:val="006546FE"/>
    <w:rsid w:val="00655539"/>
    <w:rsid w:val="00660BBD"/>
    <w:rsid w:val="0066172D"/>
    <w:rsid w:val="006650FD"/>
    <w:rsid w:val="006652F9"/>
    <w:rsid w:val="0066576A"/>
    <w:rsid w:val="0067111A"/>
    <w:rsid w:val="006716B0"/>
    <w:rsid w:val="00672880"/>
    <w:rsid w:val="00675250"/>
    <w:rsid w:val="00675A05"/>
    <w:rsid w:val="006767A6"/>
    <w:rsid w:val="006816D9"/>
    <w:rsid w:val="006832BE"/>
    <w:rsid w:val="00683EE0"/>
    <w:rsid w:val="00686EC9"/>
    <w:rsid w:val="00690785"/>
    <w:rsid w:val="006909A3"/>
    <w:rsid w:val="00691838"/>
    <w:rsid w:val="00692F87"/>
    <w:rsid w:val="006946EC"/>
    <w:rsid w:val="00697B85"/>
    <w:rsid w:val="006A4B25"/>
    <w:rsid w:val="006A7DA9"/>
    <w:rsid w:val="006B276E"/>
    <w:rsid w:val="006B27BF"/>
    <w:rsid w:val="006B2A3D"/>
    <w:rsid w:val="006B2FAC"/>
    <w:rsid w:val="006B37EA"/>
    <w:rsid w:val="006B47B1"/>
    <w:rsid w:val="006B7512"/>
    <w:rsid w:val="006C1055"/>
    <w:rsid w:val="006C150C"/>
    <w:rsid w:val="006C1588"/>
    <w:rsid w:val="006C29FD"/>
    <w:rsid w:val="006C3562"/>
    <w:rsid w:val="006C579B"/>
    <w:rsid w:val="006C586E"/>
    <w:rsid w:val="006C7479"/>
    <w:rsid w:val="006D199E"/>
    <w:rsid w:val="006D3F33"/>
    <w:rsid w:val="006D524F"/>
    <w:rsid w:val="006D5A79"/>
    <w:rsid w:val="006D635C"/>
    <w:rsid w:val="006D683F"/>
    <w:rsid w:val="006E0D1E"/>
    <w:rsid w:val="006E4407"/>
    <w:rsid w:val="006E56C6"/>
    <w:rsid w:val="006E77C0"/>
    <w:rsid w:val="006F1639"/>
    <w:rsid w:val="006F2A33"/>
    <w:rsid w:val="006F3828"/>
    <w:rsid w:val="006F41C8"/>
    <w:rsid w:val="0070583A"/>
    <w:rsid w:val="00705A70"/>
    <w:rsid w:val="00706753"/>
    <w:rsid w:val="00710D56"/>
    <w:rsid w:val="007112DE"/>
    <w:rsid w:val="007131A7"/>
    <w:rsid w:val="007135DE"/>
    <w:rsid w:val="0071361A"/>
    <w:rsid w:val="00713A4F"/>
    <w:rsid w:val="00713C75"/>
    <w:rsid w:val="00715FEC"/>
    <w:rsid w:val="0071657E"/>
    <w:rsid w:val="00717591"/>
    <w:rsid w:val="00720727"/>
    <w:rsid w:val="00721EB6"/>
    <w:rsid w:val="00723C37"/>
    <w:rsid w:val="00730F25"/>
    <w:rsid w:val="00735A98"/>
    <w:rsid w:val="00736B6A"/>
    <w:rsid w:val="007400D3"/>
    <w:rsid w:val="00740E2F"/>
    <w:rsid w:val="007430BB"/>
    <w:rsid w:val="007433BF"/>
    <w:rsid w:val="00743C7A"/>
    <w:rsid w:val="00745475"/>
    <w:rsid w:val="00747271"/>
    <w:rsid w:val="00750586"/>
    <w:rsid w:val="00750E30"/>
    <w:rsid w:val="007514AE"/>
    <w:rsid w:val="007517A9"/>
    <w:rsid w:val="00756953"/>
    <w:rsid w:val="007578E8"/>
    <w:rsid w:val="00765864"/>
    <w:rsid w:val="00770581"/>
    <w:rsid w:val="00771233"/>
    <w:rsid w:val="0077319B"/>
    <w:rsid w:val="00780FFA"/>
    <w:rsid w:val="00781F59"/>
    <w:rsid w:val="0078413F"/>
    <w:rsid w:val="00787661"/>
    <w:rsid w:val="00792A18"/>
    <w:rsid w:val="00793D38"/>
    <w:rsid w:val="007943C4"/>
    <w:rsid w:val="00795217"/>
    <w:rsid w:val="007A16AB"/>
    <w:rsid w:val="007A1F55"/>
    <w:rsid w:val="007B119F"/>
    <w:rsid w:val="007B2226"/>
    <w:rsid w:val="007B589A"/>
    <w:rsid w:val="007B7ADE"/>
    <w:rsid w:val="007C3530"/>
    <w:rsid w:val="007C3680"/>
    <w:rsid w:val="007C6D8B"/>
    <w:rsid w:val="007D1021"/>
    <w:rsid w:val="007D192F"/>
    <w:rsid w:val="007D23D8"/>
    <w:rsid w:val="007D2A1F"/>
    <w:rsid w:val="007D2ED1"/>
    <w:rsid w:val="007D4D20"/>
    <w:rsid w:val="007D5325"/>
    <w:rsid w:val="007D5F8B"/>
    <w:rsid w:val="007D7113"/>
    <w:rsid w:val="007E431F"/>
    <w:rsid w:val="007E4E59"/>
    <w:rsid w:val="007E7607"/>
    <w:rsid w:val="007F0A5E"/>
    <w:rsid w:val="007F1374"/>
    <w:rsid w:val="007F21AC"/>
    <w:rsid w:val="007F2876"/>
    <w:rsid w:val="007F4DF3"/>
    <w:rsid w:val="007F70E3"/>
    <w:rsid w:val="007F7C24"/>
    <w:rsid w:val="00806C95"/>
    <w:rsid w:val="00806DA1"/>
    <w:rsid w:val="008070CB"/>
    <w:rsid w:val="00812602"/>
    <w:rsid w:val="008212C6"/>
    <w:rsid w:val="00823C71"/>
    <w:rsid w:val="00826649"/>
    <w:rsid w:val="00826AE9"/>
    <w:rsid w:val="00827BD6"/>
    <w:rsid w:val="008350BA"/>
    <w:rsid w:val="00835485"/>
    <w:rsid w:val="008362AB"/>
    <w:rsid w:val="00836514"/>
    <w:rsid w:val="008442F0"/>
    <w:rsid w:val="008453A2"/>
    <w:rsid w:val="008465B5"/>
    <w:rsid w:val="008476FF"/>
    <w:rsid w:val="00847EAD"/>
    <w:rsid w:val="008512BD"/>
    <w:rsid w:val="00852F8E"/>
    <w:rsid w:val="00854876"/>
    <w:rsid w:val="0085582C"/>
    <w:rsid w:val="00856428"/>
    <w:rsid w:val="0085681D"/>
    <w:rsid w:val="00857621"/>
    <w:rsid w:val="00861459"/>
    <w:rsid w:val="00863FBE"/>
    <w:rsid w:val="00864AA9"/>
    <w:rsid w:val="008662CA"/>
    <w:rsid w:val="00866E0E"/>
    <w:rsid w:val="00867FA8"/>
    <w:rsid w:val="00870D39"/>
    <w:rsid w:val="00871734"/>
    <w:rsid w:val="00872019"/>
    <w:rsid w:val="00872253"/>
    <w:rsid w:val="00874120"/>
    <w:rsid w:val="00874CA7"/>
    <w:rsid w:val="00875F2E"/>
    <w:rsid w:val="00877480"/>
    <w:rsid w:val="0088020A"/>
    <w:rsid w:val="00880B68"/>
    <w:rsid w:val="00884591"/>
    <w:rsid w:val="00884B43"/>
    <w:rsid w:val="0088588E"/>
    <w:rsid w:val="008909ED"/>
    <w:rsid w:val="00890B7F"/>
    <w:rsid w:val="00891D17"/>
    <w:rsid w:val="00896C9F"/>
    <w:rsid w:val="008A0582"/>
    <w:rsid w:val="008A1909"/>
    <w:rsid w:val="008A1DB0"/>
    <w:rsid w:val="008A3C4F"/>
    <w:rsid w:val="008A6656"/>
    <w:rsid w:val="008A6E85"/>
    <w:rsid w:val="008B1ED8"/>
    <w:rsid w:val="008B27BB"/>
    <w:rsid w:val="008B33CF"/>
    <w:rsid w:val="008B5D40"/>
    <w:rsid w:val="008B5E89"/>
    <w:rsid w:val="008B6DBB"/>
    <w:rsid w:val="008B72ED"/>
    <w:rsid w:val="008B7C50"/>
    <w:rsid w:val="008C05A4"/>
    <w:rsid w:val="008C5888"/>
    <w:rsid w:val="008D1C87"/>
    <w:rsid w:val="008D1E68"/>
    <w:rsid w:val="008D1F48"/>
    <w:rsid w:val="008D7705"/>
    <w:rsid w:val="008E3EB2"/>
    <w:rsid w:val="008E59C3"/>
    <w:rsid w:val="008E5D2D"/>
    <w:rsid w:val="008E727B"/>
    <w:rsid w:val="008E794A"/>
    <w:rsid w:val="008F6689"/>
    <w:rsid w:val="008F77DF"/>
    <w:rsid w:val="008F7C31"/>
    <w:rsid w:val="00901052"/>
    <w:rsid w:val="00911879"/>
    <w:rsid w:val="00911D6A"/>
    <w:rsid w:val="00912820"/>
    <w:rsid w:val="00912A7F"/>
    <w:rsid w:val="00913731"/>
    <w:rsid w:val="00914B3A"/>
    <w:rsid w:val="00914E46"/>
    <w:rsid w:val="00920AAF"/>
    <w:rsid w:val="00924833"/>
    <w:rsid w:val="00926FB9"/>
    <w:rsid w:val="00930546"/>
    <w:rsid w:val="0093255D"/>
    <w:rsid w:val="00932E94"/>
    <w:rsid w:val="009332A7"/>
    <w:rsid w:val="00934C03"/>
    <w:rsid w:val="00934DE0"/>
    <w:rsid w:val="00935809"/>
    <w:rsid w:val="009407A8"/>
    <w:rsid w:val="00940C5F"/>
    <w:rsid w:val="00942B91"/>
    <w:rsid w:val="00950324"/>
    <w:rsid w:val="009506B2"/>
    <w:rsid w:val="009518A7"/>
    <w:rsid w:val="0095326C"/>
    <w:rsid w:val="0095677C"/>
    <w:rsid w:val="00960F07"/>
    <w:rsid w:val="0096237B"/>
    <w:rsid w:val="00962900"/>
    <w:rsid w:val="00962DFB"/>
    <w:rsid w:val="009633EB"/>
    <w:rsid w:val="0096374C"/>
    <w:rsid w:val="009648A1"/>
    <w:rsid w:val="00965D16"/>
    <w:rsid w:val="00965DDF"/>
    <w:rsid w:val="0096619A"/>
    <w:rsid w:val="00970627"/>
    <w:rsid w:val="0097262E"/>
    <w:rsid w:val="009756D3"/>
    <w:rsid w:val="00975C7B"/>
    <w:rsid w:val="009812EF"/>
    <w:rsid w:val="00984E28"/>
    <w:rsid w:val="00984E9F"/>
    <w:rsid w:val="00987B80"/>
    <w:rsid w:val="00990359"/>
    <w:rsid w:val="00992D35"/>
    <w:rsid w:val="009938EE"/>
    <w:rsid w:val="00993CE7"/>
    <w:rsid w:val="00994CE4"/>
    <w:rsid w:val="009953F1"/>
    <w:rsid w:val="009959BB"/>
    <w:rsid w:val="00996153"/>
    <w:rsid w:val="00996D92"/>
    <w:rsid w:val="009A05EE"/>
    <w:rsid w:val="009A2864"/>
    <w:rsid w:val="009A4EBC"/>
    <w:rsid w:val="009A5F80"/>
    <w:rsid w:val="009B06B1"/>
    <w:rsid w:val="009B2518"/>
    <w:rsid w:val="009B4B27"/>
    <w:rsid w:val="009B58FF"/>
    <w:rsid w:val="009B689C"/>
    <w:rsid w:val="009B7791"/>
    <w:rsid w:val="009D01B5"/>
    <w:rsid w:val="009D1B12"/>
    <w:rsid w:val="009D1E42"/>
    <w:rsid w:val="009D2666"/>
    <w:rsid w:val="009D4E01"/>
    <w:rsid w:val="009D50BA"/>
    <w:rsid w:val="009D5239"/>
    <w:rsid w:val="009D6519"/>
    <w:rsid w:val="009D6CE4"/>
    <w:rsid w:val="009D73B8"/>
    <w:rsid w:val="009D7BA9"/>
    <w:rsid w:val="009E1B1F"/>
    <w:rsid w:val="009E25FB"/>
    <w:rsid w:val="009E3B2F"/>
    <w:rsid w:val="009E4037"/>
    <w:rsid w:val="009E41CC"/>
    <w:rsid w:val="009E7011"/>
    <w:rsid w:val="009E7C2C"/>
    <w:rsid w:val="009F12DB"/>
    <w:rsid w:val="009F3774"/>
    <w:rsid w:val="009F6550"/>
    <w:rsid w:val="00A02069"/>
    <w:rsid w:val="00A0393E"/>
    <w:rsid w:val="00A0628C"/>
    <w:rsid w:val="00A10549"/>
    <w:rsid w:val="00A13B5D"/>
    <w:rsid w:val="00A14798"/>
    <w:rsid w:val="00A163CC"/>
    <w:rsid w:val="00A16455"/>
    <w:rsid w:val="00A170C6"/>
    <w:rsid w:val="00A17A83"/>
    <w:rsid w:val="00A207BE"/>
    <w:rsid w:val="00A21C73"/>
    <w:rsid w:val="00A224F7"/>
    <w:rsid w:val="00A23A45"/>
    <w:rsid w:val="00A24F70"/>
    <w:rsid w:val="00A256EE"/>
    <w:rsid w:val="00A25C2E"/>
    <w:rsid w:val="00A25D3D"/>
    <w:rsid w:val="00A3094D"/>
    <w:rsid w:val="00A30AE5"/>
    <w:rsid w:val="00A40E99"/>
    <w:rsid w:val="00A413AA"/>
    <w:rsid w:val="00A41FC1"/>
    <w:rsid w:val="00A43321"/>
    <w:rsid w:val="00A45312"/>
    <w:rsid w:val="00A459FB"/>
    <w:rsid w:val="00A46358"/>
    <w:rsid w:val="00A46DD3"/>
    <w:rsid w:val="00A54AC4"/>
    <w:rsid w:val="00A56FDA"/>
    <w:rsid w:val="00A61221"/>
    <w:rsid w:val="00A61DB9"/>
    <w:rsid w:val="00A6636D"/>
    <w:rsid w:val="00A66A32"/>
    <w:rsid w:val="00A7181B"/>
    <w:rsid w:val="00A73BA9"/>
    <w:rsid w:val="00A751A8"/>
    <w:rsid w:val="00A779F0"/>
    <w:rsid w:val="00A8009C"/>
    <w:rsid w:val="00A804BE"/>
    <w:rsid w:val="00A8449C"/>
    <w:rsid w:val="00A86B7D"/>
    <w:rsid w:val="00A94D13"/>
    <w:rsid w:val="00A96715"/>
    <w:rsid w:val="00AA0B1E"/>
    <w:rsid w:val="00AA3E9B"/>
    <w:rsid w:val="00AA5682"/>
    <w:rsid w:val="00AA68B7"/>
    <w:rsid w:val="00AA7EEC"/>
    <w:rsid w:val="00AB2753"/>
    <w:rsid w:val="00AB2DC4"/>
    <w:rsid w:val="00AB535C"/>
    <w:rsid w:val="00AB5441"/>
    <w:rsid w:val="00AB672A"/>
    <w:rsid w:val="00AB6EED"/>
    <w:rsid w:val="00AC259D"/>
    <w:rsid w:val="00AC62F9"/>
    <w:rsid w:val="00AC6737"/>
    <w:rsid w:val="00AC762C"/>
    <w:rsid w:val="00AD1440"/>
    <w:rsid w:val="00AD3EED"/>
    <w:rsid w:val="00AD41F5"/>
    <w:rsid w:val="00AD4FC9"/>
    <w:rsid w:val="00AD508D"/>
    <w:rsid w:val="00AD7415"/>
    <w:rsid w:val="00AE0EDB"/>
    <w:rsid w:val="00AE220C"/>
    <w:rsid w:val="00AE2DC2"/>
    <w:rsid w:val="00AE300C"/>
    <w:rsid w:val="00AE4420"/>
    <w:rsid w:val="00AF31FC"/>
    <w:rsid w:val="00AF5BCC"/>
    <w:rsid w:val="00AF5C00"/>
    <w:rsid w:val="00B0263D"/>
    <w:rsid w:val="00B034C0"/>
    <w:rsid w:val="00B03528"/>
    <w:rsid w:val="00B03BA1"/>
    <w:rsid w:val="00B04F00"/>
    <w:rsid w:val="00B0773A"/>
    <w:rsid w:val="00B104D6"/>
    <w:rsid w:val="00B11366"/>
    <w:rsid w:val="00B159E8"/>
    <w:rsid w:val="00B16699"/>
    <w:rsid w:val="00B16DF0"/>
    <w:rsid w:val="00B17641"/>
    <w:rsid w:val="00B22ACA"/>
    <w:rsid w:val="00B23E84"/>
    <w:rsid w:val="00B23EF7"/>
    <w:rsid w:val="00B24356"/>
    <w:rsid w:val="00B26720"/>
    <w:rsid w:val="00B27719"/>
    <w:rsid w:val="00B27CAC"/>
    <w:rsid w:val="00B30E10"/>
    <w:rsid w:val="00B31395"/>
    <w:rsid w:val="00B31543"/>
    <w:rsid w:val="00B3164E"/>
    <w:rsid w:val="00B31AF8"/>
    <w:rsid w:val="00B32450"/>
    <w:rsid w:val="00B32737"/>
    <w:rsid w:val="00B32976"/>
    <w:rsid w:val="00B34E66"/>
    <w:rsid w:val="00B35293"/>
    <w:rsid w:val="00B37A0B"/>
    <w:rsid w:val="00B42145"/>
    <w:rsid w:val="00B467D7"/>
    <w:rsid w:val="00B519A4"/>
    <w:rsid w:val="00B53B29"/>
    <w:rsid w:val="00B546F9"/>
    <w:rsid w:val="00B5618F"/>
    <w:rsid w:val="00B56660"/>
    <w:rsid w:val="00B56846"/>
    <w:rsid w:val="00B61F0A"/>
    <w:rsid w:val="00B63D6F"/>
    <w:rsid w:val="00B64236"/>
    <w:rsid w:val="00B66052"/>
    <w:rsid w:val="00B6673F"/>
    <w:rsid w:val="00B677F7"/>
    <w:rsid w:val="00B67A48"/>
    <w:rsid w:val="00B73978"/>
    <w:rsid w:val="00B73F95"/>
    <w:rsid w:val="00B751E0"/>
    <w:rsid w:val="00B76853"/>
    <w:rsid w:val="00B77037"/>
    <w:rsid w:val="00B84F96"/>
    <w:rsid w:val="00B85767"/>
    <w:rsid w:val="00B87A1C"/>
    <w:rsid w:val="00B9123A"/>
    <w:rsid w:val="00B95122"/>
    <w:rsid w:val="00BA047E"/>
    <w:rsid w:val="00BA1DAE"/>
    <w:rsid w:val="00BA54AE"/>
    <w:rsid w:val="00BA5979"/>
    <w:rsid w:val="00BA5E00"/>
    <w:rsid w:val="00BB08E6"/>
    <w:rsid w:val="00BB3CE1"/>
    <w:rsid w:val="00BB412D"/>
    <w:rsid w:val="00BB6947"/>
    <w:rsid w:val="00BB6D5C"/>
    <w:rsid w:val="00BB79FD"/>
    <w:rsid w:val="00BB7ED9"/>
    <w:rsid w:val="00BC01DD"/>
    <w:rsid w:val="00BC1ED0"/>
    <w:rsid w:val="00BC6F69"/>
    <w:rsid w:val="00BC7AFB"/>
    <w:rsid w:val="00BC7C5D"/>
    <w:rsid w:val="00BC7D34"/>
    <w:rsid w:val="00BD0726"/>
    <w:rsid w:val="00BD0EC6"/>
    <w:rsid w:val="00BD57D8"/>
    <w:rsid w:val="00BD6959"/>
    <w:rsid w:val="00BE020A"/>
    <w:rsid w:val="00BE0D68"/>
    <w:rsid w:val="00BE1934"/>
    <w:rsid w:val="00BF3BED"/>
    <w:rsid w:val="00BF5C13"/>
    <w:rsid w:val="00BF70D9"/>
    <w:rsid w:val="00C007A4"/>
    <w:rsid w:val="00C00EBB"/>
    <w:rsid w:val="00C01927"/>
    <w:rsid w:val="00C022DF"/>
    <w:rsid w:val="00C02816"/>
    <w:rsid w:val="00C0305E"/>
    <w:rsid w:val="00C039CF"/>
    <w:rsid w:val="00C05E8A"/>
    <w:rsid w:val="00C06C20"/>
    <w:rsid w:val="00C10E7F"/>
    <w:rsid w:val="00C11DDC"/>
    <w:rsid w:val="00C12072"/>
    <w:rsid w:val="00C14017"/>
    <w:rsid w:val="00C23B04"/>
    <w:rsid w:val="00C2537D"/>
    <w:rsid w:val="00C31097"/>
    <w:rsid w:val="00C319F9"/>
    <w:rsid w:val="00C3553B"/>
    <w:rsid w:val="00C35574"/>
    <w:rsid w:val="00C401E7"/>
    <w:rsid w:val="00C416CC"/>
    <w:rsid w:val="00C4276E"/>
    <w:rsid w:val="00C43E60"/>
    <w:rsid w:val="00C452AB"/>
    <w:rsid w:val="00C45BD8"/>
    <w:rsid w:val="00C45C3F"/>
    <w:rsid w:val="00C5023F"/>
    <w:rsid w:val="00C50796"/>
    <w:rsid w:val="00C52DBC"/>
    <w:rsid w:val="00C5303E"/>
    <w:rsid w:val="00C5494D"/>
    <w:rsid w:val="00C56E79"/>
    <w:rsid w:val="00C60D30"/>
    <w:rsid w:val="00C61181"/>
    <w:rsid w:val="00C62FAD"/>
    <w:rsid w:val="00C63725"/>
    <w:rsid w:val="00C63EC4"/>
    <w:rsid w:val="00C6626E"/>
    <w:rsid w:val="00C7139B"/>
    <w:rsid w:val="00C71958"/>
    <w:rsid w:val="00C71993"/>
    <w:rsid w:val="00C720D8"/>
    <w:rsid w:val="00C73061"/>
    <w:rsid w:val="00C76CC1"/>
    <w:rsid w:val="00C778B0"/>
    <w:rsid w:val="00C8039E"/>
    <w:rsid w:val="00C820B3"/>
    <w:rsid w:val="00C83CBD"/>
    <w:rsid w:val="00C86DC7"/>
    <w:rsid w:val="00C87934"/>
    <w:rsid w:val="00C93773"/>
    <w:rsid w:val="00C95BE8"/>
    <w:rsid w:val="00CA2528"/>
    <w:rsid w:val="00CA3167"/>
    <w:rsid w:val="00CA57D0"/>
    <w:rsid w:val="00CA63B4"/>
    <w:rsid w:val="00CA686F"/>
    <w:rsid w:val="00CA6C65"/>
    <w:rsid w:val="00CA76B9"/>
    <w:rsid w:val="00CB1B69"/>
    <w:rsid w:val="00CB5F5E"/>
    <w:rsid w:val="00CB6287"/>
    <w:rsid w:val="00CC0136"/>
    <w:rsid w:val="00CC1419"/>
    <w:rsid w:val="00CC48EA"/>
    <w:rsid w:val="00CD12BB"/>
    <w:rsid w:val="00CD1838"/>
    <w:rsid w:val="00CD1FD9"/>
    <w:rsid w:val="00CD20FC"/>
    <w:rsid w:val="00CD3264"/>
    <w:rsid w:val="00CD5002"/>
    <w:rsid w:val="00CD7BEE"/>
    <w:rsid w:val="00CD7D29"/>
    <w:rsid w:val="00CD7D3C"/>
    <w:rsid w:val="00CD7E19"/>
    <w:rsid w:val="00CE40ED"/>
    <w:rsid w:val="00CE4569"/>
    <w:rsid w:val="00CE4724"/>
    <w:rsid w:val="00CE7B66"/>
    <w:rsid w:val="00CF341B"/>
    <w:rsid w:val="00CF4E8A"/>
    <w:rsid w:val="00CF55D2"/>
    <w:rsid w:val="00CF5768"/>
    <w:rsid w:val="00CF5791"/>
    <w:rsid w:val="00CF5F86"/>
    <w:rsid w:val="00CF6742"/>
    <w:rsid w:val="00D017FB"/>
    <w:rsid w:val="00D01A82"/>
    <w:rsid w:val="00D03B2C"/>
    <w:rsid w:val="00D1227A"/>
    <w:rsid w:val="00D146EA"/>
    <w:rsid w:val="00D14986"/>
    <w:rsid w:val="00D15420"/>
    <w:rsid w:val="00D17131"/>
    <w:rsid w:val="00D20593"/>
    <w:rsid w:val="00D22606"/>
    <w:rsid w:val="00D2387B"/>
    <w:rsid w:val="00D2452D"/>
    <w:rsid w:val="00D2566D"/>
    <w:rsid w:val="00D25990"/>
    <w:rsid w:val="00D27403"/>
    <w:rsid w:val="00D31BB5"/>
    <w:rsid w:val="00D41DE1"/>
    <w:rsid w:val="00D43546"/>
    <w:rsid w:val="00D4414B"/>
    <w:rsid w:val="00D45B0E"/>
    <w:rsid w:val="00D46031"/>
    <w:rsid w:val="00D46D8B"/>
    <w:rsid w:val="00D47919"/>
    <w:rsid w:val="00D50623"/>
    <w:rsid w:val="00D50ED4"/>
    <w:rsid w:val="00D53847"/>
    <w:rsid w:val="00D549F3"/>
    <w:rsid w:val="00D551D0"/>
    <w:rsid w:val="00D55C78"/>
    <w:rsid w:val="00D604FC"/>
    <w:rsid w:val="00D64AF7"/>
    <w:rsid w:val="00D664BD"/>
    <w:rsid w:val="00D66733"/>
    <w:rsid w:val="00D67788"/>
    <w:rsid w:val="00D70AB8"/>
    <w:rsid w:val="00D8064F"/>
    <w:rsid w:val="00D823B1"/>
    <w:rsid w:val="00D865E5"/>
    <w:rsid w:val="00D87FE5"/>
    <w:rsid w:val="00D90CA1"/>
    <w:rsid w:val="00D929F0"/>
    <w:rsid w:val="00DA1A46"/>
    <w:rsid w:val="00DA5774"/>
    <w:rsid w:val="00DA594C"/>
    <w:rsid w:val="00DB2C07"/>
    <w:rsid w:val="00DB34AF"/>
    <w:rsid w:val="00DB4331"/>
    <w:rsid w:val="00DB609A"/>
    <w:rsid w:val="00DB66CC"/>
    <w:rsid w:val="00DB7919"/>
    <w:rsid w:val="00DC1DB7"/>
    <w:rsid w:val="00DC3495"/>
    <w:rsid w:val="00DC3D70"/>
    <w:rsid w:val="00DC6659"/>
    <w:rsid w:val="00DC7BCB"/>
    <w:rsid w:val="00DD0572"/>
    <w:rsid w:val="00DD393E"/>
    <w:rsid w:val="00DD4C93"/>
    <w:rsid w:val="00DE08C0"/>
    <w:rsid w:val="00DE128F"/>
    <w:rsid w:val="00DF4D66"/>
    <w:rsid w:val="00DF5134"/>
    <w:rsid w:val="00E00504"/>
    <w:rsid w:val="00E03092"/>
    <w:rsid w:val="00E0322A"/>
    <w:rsid w:val="00E05FB9"/>
    <w:rsid w:val="00E06E5B"/>
    <w:rsid w:val="00E0706F"/>
    <w:rsid w:val="00E07555"/>
    <w:rsid w:val="00E07C88"/>
    <w:rsid w:val="00E109C1"/>
    <w:rsid w:val="00E1194B"/>
    <w:rsid w:val="00E134BF"/>
    <w:rsid w:val="00E13FCB"/>
    <w:rsid w:val="00E145A4"/>
    <w:rsid w:val="00E14CE2"/>
    <w:rsid w:val="00E14E6C"/>
    <w:rsid w:val="00E15302"/>
    <w:rsid w:val="00E23351"/>
    <w:rsid w:val="00E2374B"/>
    <w:rsid w:val="00E2402E"/>
    <w:rsid w:val="00E2697E"/>
    <w:rsid w:val="00E27286"/>
    <w:rsid w:val="00E27795"/>
    <w:rsid w:val="00E30243"/>
    <w:rsid w:val="00E35856"/>
    <w:rsid w:val="00E3595D"/>
    <w:rsid w:val="00E35D38"/>
    <w:rsid w:val="00E36B33"/>
    <w:rsid w:val="00E415B0"/>
    <w:rsid w:val="00E4174C"/>
    <w:rsid w:val="00E41DDE"/>
    <w:rsid w:val="00E41FCF"/>
    <w:rsid w:val="00E434BC"/>
    <w:rsid w:val="00E43B0D"/>
    <w:rsid w:val="00E450D7"/>
    <w:rsid w:val="00E458A9"/>
    <w:rsid w:val="00E4678D"/>
    <w:rsid w:val="00E536E6"/>
    <w:rsid w:val="00E53C1F"/>
    <w:rsid w:val="00E55A94"/>
    <w:rsid w:val="00E55EFA"/>
    <w:rsid w:val="00E64583"/>
    <w:rsid w:val="00E66C35"/>
    <w:rsid w:val="00E66CAB"/>
    <w:rsid w:val="00E71B6A"/>
    <w:rsid w:val="00E74858"/>
    <w:rsid w:val="00E7746B"/>
    <w:rsid w:val="00E777A8"/>
    <w:rsid w:val="00E84BF0"/>
    <w:rsid w:val="00E85357"/>
    <w:rsid w:val="00E87186"/>
    <w:rsid w:val="00E87BA5"/>
    <w:rsid w:val="00E94B42"/>
    <w:rsid w:val="00E958DF"/>
    <w:rsid w:val="00E97710"/>
    <w:rsid w:val="00EA1EF6"/>
    <w:rsid w:val="00EA4270"/>
    <w:rsid w:val="00EA6923"/>
    <w:rsid w:val="00EA6CF4"/>
    <w:rsid w:val="00EB6208"/>
    <w:rsid w:val="00EB7320"/>
    <w:rsid w:val="00EC3682"/>
    <w:rsid w:val="00EC4BA7"/>
    <w:rsid w:val="00EC707B"/>
    <w:rsid w:val="00ED4558"/>
    <w:rsid w:val="00EE04CE"/>
    <w:rsid w:val="00EE1C55"/>
    <w:rsid w:val="00EE36CE"/>
    <w:rsid w:val="00EE5098"/>
    <w:rsid w:val="00EF02E5"/>
    <w:rsid w:val="00EF04F9"/>
    <w:rsid w:val="00EF6B5D"/>
    <w:rsid w:val="00EF6BF7"/>
    <w:rsid w:val="00EF7493"/>
    <w:rsid w:val="00F0057F"/>
    <w:rsid w:val="00F02159"/>
    <w:rsid w:val="00F02EB5"/>
    <w:rsid w:val="00F038E0"/>
    <w:rsid w:val="00F04DD9"/>
    <w:rsid w:val="00F04FE9"/>
    <w:rsid w:val="00F051F3"/>
    <w:rsid w:val="00F053E1"/>
    <w:rsid w:val="00F065AC"/>
    <w:rsid w:val="00F07019"/>
    <w:rsid w:val="00F073B4"/>
    <w:rsid w:val="00F10039"/>
    <w:rsid w:val="00F10899"/>
    <w:rsid w:val="00F12BA8"/>
    <w:rsid w:val="00F16C5E"/>
    <w:rsid w:val="00F16E71"/>
    <w:rsid w:val="00F17156"/>
    <w:rsid w:val="00F177EB"/>
    <w:rsid w:val="00F179B4"/>
    <w:rsid w:val="00F22623"/>
    <w:rsid w:val="00F25F07"/>
    <w:rsid w:val="00F304C7"/>
    <w:rsid w:val="00F35816"/>
    <w:rsid w:val="00F36A36"/>
    <w:rsid w:val="00F36E9C"/>
    <w:rsid w:val="00F40A04"/>
    <w:rsid w:val="00F425D9"/>
    <w:rsid w:val="00F42D88"/>
    <w:rsid w:val="00F45DCF"/>
    <w:rsid w:val="00F47DFC"/>
    <w:rsid w:val="00F547DB"/>
    <w:rsid w:val="00F54D60"/>
    <w:rsid w:val="00F56B31"/>
    <w:rsid w:val="00F57ECB"/>
    <w:rsid w:val="00F71CB7"/>
    <w:rsid w:val="00F75A5F"/>
    <w:rsid w:val="00F76A86"/>
    <w:rsid w:val="00F80071"/>
    <w:rsid w:val="00F80A21"/>
    <w:rsid w:val="00F90584"/>
    <w:rsid w:val="00F9066F"/>
    <w:rsid w:val="00F95D04"/>
    <w:rsid w:val="00F96305"/>
    <w:rsid w:val="00F96A81"/>
    <w:rsid w:val="00F97173"/>
    <w:rsid w:val="00F97AB1"/>
    <w:rsid w:val="00FA284F"/>
    <w:rsid w:val="00FA33E8"/>
    <w:rsid w:val="00FA5F26"/>
    <w:rsid w:val="00FB161A"/>
    <w:rsid w:val="00FB1D24"/>
    <w:rsid w:val="00FB40BB"/>
    <w:rsid w:val="00FB64F2"/>
    <w:rsid w:val="00FC1455"/>
    <w:rsid w:val="00FC2DE3"/>
    <w:rsid w:val="00FC4B37"/>
    <w:rsid w:val="00FC6841"/>
    <w:rsid w:val="00FC73A2"/>
    <w:rsid w:val="00FD1544"/>
    <w:rsid w:val="00FD41A0"/>
    <w:rsid w:val="00FD63C5"/>
    <w:rsid w:val="00FD7F98"/>
    <w:rsid w:val="00FE17D0"/>
    <w:rsid w:val="00FE186E"/>
    <w:rsid w:val="00FE3F14"/>
    <w:rsid w:val="00FE448F"/>
    <w:rsid w:val="00FE451E"/>
    <w:rsid w:val="00FE4806"/>
    <w:rsid w:val="00FE4D72"/>
    <w:rsid w:val="00FE57D9"/>
    <w:rsid w:val="00FE5DE0"/>
    <w:rsid w:val="00FE7830"/>
    <w:rsid w:val="00FE7954"/>
    <w:rsid w:val="00FF061F"/>
    <w:rsid w:val="00FF0ACE"/>
    <w:rsid w:val="00FF3C0D"/>
    <w:rsid w:val="00FF4E01"/>
    <w:rsid w:val="00FF54AA"/>
    <w:rsid w:val="00FF76C9"/>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0AE0D08"/>
  <w14:defaultImageDpi w14:val="96"/>
  <w15:docId w15:val="{1986ABEA-5116-C146-81A8-1F8C965C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58A"/>
    <w:pPr>
      <w:adjustRightInd w:val="0"/>
      <w:spacing w:after="0" w:line="240" w:lineRule="auto"/>
    </w:pPr>
    <w:rPr>
      <w:rFonts w:ascii="Times New Roman" w:hAnsi="Times New Roman" w:cs="Times New Roman"/>
      <w:lang w:eastAsia="en-US"/>
    </w:rPr>
  </w:style>
  <w:style w:type="paragraph" w:styleId="Heading1">
    <w:name w:val="heading 1"/>
    <w:basedOn w:val="Normal"/>
    <w:next w:val="Normal"/>
    <w:link w:val="Heading1Char"/>
    <w:uiPriority w:val="1"/>
    <w:qFormat/>
    <w:rsid w:val="00F17156"/>
    <w:pPr>
      <w:numPr>
        <w:numId w:val="2"/>
      </w:numPr>
      <w:spacing w:before="240" w:after="240"/>
      <w:jc w:val="both"/>
      <w:outlineLvl w:val="0"/>
    </w:pPr>
    <w:rPr>
      <w:szCs w:val="20"/>
    </w:rPr>
  </w:style>
  <w:style w:type="paragraph" w:styleId="Heading2">
    <w:name w:val="heading 2"/>
    <w:basedOn w:val="Heading1"/>
    <w:next w:val="Normal"/>
    <w:link w:val="Heading2Char"/>
    <w:uiPriority w:val="1"/>
    <w:unhideWhenUsed/>
    <w:qFormat/>
    <w:rsid w:val="004B558A"/>
    <w:pPr>
      <w:numPr>
        <w:ilvl w:val="1"/>
      </w:numPr>
      <w:tabs>
        <w:tab w:val="num" w:pos="2160"/>
      </w:tabs>
      <w:spacing w:after="0"/>
      <w:outlineLvl w:val="1"/>
    </w:pPr>
    <w:rPr>
      <w:szCs w:val="22"/>
      <w:u w:val="single"/>
    </w:rPr>
  </w:style>
  <w:style w:type="paragraph" w:styleId="Heading3">
    <w:name w:val="heading 3"/>
    <w:basedOn w:val="Heading2"/>
    <w:next w:val="Normal"/>
    <w:link w:val="Heading3Char"/>
    <w:uiPriority w:val="9"/>
    <w:unhideWhenUsed/>
    <w:qFormat/>
    <w:rsid w:val="004B558A"/>
    <w:pPr>
      <w:numPr>
        <w:ilvl w:val="2"/>
      </w:numPr>
      <w:tabs>
        <w:tab w:val="clear" w:pos="2160"/>
      </w:tabs>
      <w:outlineLvl w:val="2"/>
    </w:pPr>
    <w:rPr>
      <w:u w:val="none"/>
    </w:rPr>
  </w:style>
  <w:style w:type="paragraph" w:styleId="Heading4">
    <w:name w:val="heading 4"/>
    <w:basedOn w:val="Heading3"/>
    <w:link w:val="Heading4Char"/>
    <w:uiPriority w:val="9"/>
    <w:unhideWhenUsed/>
    <w:qFormat/>
    <w:rsid w:val="003372F4"/>
    <w:pPr>
      <w:numPr>
        <w:ilvl w:val="3"/>
      </w:numPr>
      <w:outlineLvl w:val="3"/>
    </w:pPr>
  </w:style>
  <w:style w:type="paragraph" w:styleId="Heading5">
    <w:name w:val="heading 5"/>
    <w:basedOn w:val="Heading4"/>
    <w:link w:val="Heading5Char"/>
    <w:uiPriority w:val="9"/>
    <w:unhideWhenUsed/>
    <w:qFormat/>
    <w:rsid w:val="003372F4"/>
    <w:pPr>
      <w:numPr>
        <w:ilvl w:val="4"/>
      </w:numPr>
      <w:outlineLvl w:val="4"/>
    </w:pPr>
  </w:style>
  <w:style w:type="paragraph" w:styleId="Heading6">
    <w:name w:val="heading 6"/>
    <w:basedOn w:val="Heading5"/>
    <w:link w:val="Heading6Char"/>
    <w:uiPriority w:val="9"/>
    <w:unhideWhenUsed/>
    <w:qFormat/>
    <w:rsid w:val="003372F4"/>
    <w:pPr>
      <w:numPr>
        <w:ilvl w:val="5"/>
      </w:numPr>
      <w:outlineLvl w:val="5"/>
    </w:pPr>
  </w:style>
  <w:style w:type="paragraph" w:styleId="Heading7">
    <w:name w:val="heading 7"/>
    <w:basedOn w:val="Heading6"/>
    <w:link w:val="Heading7Char"/>
    <w:uiPriority w:val="9"/>
    <w:unhideWhenUsed/>
    <w:qFormat/>
    <w:rsid w:val="003372F4"/>
    <w:pPr>
      <w:numPr>
        <w:ilvl w:val="6"/>
      </w:numPr>
      <w:outlineLvl w:val="6"/>
    </w:pPr>
  </w:style>
  <w:style w:type="paragraph" w:styleId="Heading8">
    <w:name w:val="heading 8"/>
    <w:basedOn w:val="Heading7"/>
    <w:link w:val="Heading8Char"/>
    <w:uiPriority w:val="9"/>
    <w:unhideWhenUsed/>
    <w:qFormat/>
    <w:rsid w:val="003372F4"/>
    <w:pPr>
      <w:numPr>
        <w:ilvl w:val="7"/>
      </w:numPr>
      <w:outlineLvl w:val="7"/>
    </w:pPr>
  </w:style>
  <w:style w:type="paragraph" w:styleId="Heading9">
    <w:name w:val="heading 9"/>
    <w:basedOn w:val="Heading8"/>
    <w:link w:val="Heading9Char"/>
    <w:uiPriority w:val="9"/>
    <w:unhideWhenUsed/>
    <w:qFormat/>
    <w:rsid w:val="003372F4"/>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558A"/>
    <w:rPr>
      <w:rFonts w:ascii="Times New Roman" w:hAnsi="Times New Roman" w:cs="Times New Roman"/>
      <w:lang w:eastAsia="en-US"/>
    </w:rPr>
  </w:style>
  <w:style w:type="character" w:customStyle="1" w:styleId="Heading9Char">
    <w:name w:val="Heading 9 Char"/>
    <w:basedOn w:val="DefaultParagraphFont"/>
    <w:link w:val="Heading9"/>
    <w:uiPriority w:val="9"/>
    <w:rsid w:val="003372F4"/>
    <w:rPr>
      <w:rFonts w:ascii="Times New Roman" w:hAnsi="Times New Roman" w:cs="Times New Roman"/>
      <w:lang w:eastAsia="en-US"/>
    </w:rPr>
  </w:style>
  <w:style w:type="character" w:customStyle="1" w:styleId="BodyTextChar">
    <w:name w:val="Body Text Char"/>
    <w:basedOn w:val="DefaultParagraphFont"/>
    <w:link w:val="BodyText"/>
    <w:uiPriority w:val="1"/>
    <w:rsid w:val="00DE128F"/>
    <w:rPr>
      <w:rFonts w:ascii="Times New Roman" w:hAnsi="Times New Roman" w:cs="Times New Roman"/>
      <w:sz w:val="24"/>
      <w:szCs w:val="24"/>
    </w:rPr>
  </w:style>
  <w:style w:type="character" w:styleId="IntenseEmphasis">
    <w:name w:val="Intense Emphasis"/>
    <w:basedOn w:val="DefaultParagraphFont"/>
    <w:uiPriority w:val="21"/>
    <w:qFormat/>
    <w:rsid w:val="00914B3A"/>
    <w:rPr>
      <w:i/>
      <w:iCs/>
      <w:color w:val="4F81BD" w:themeColor="accent1"/>
    </w:rPr>
  </w:style>
  <w:style w:type="paragraph" w:styleId="FootnoteText">
    <w:name w:val="footnote text"/>
    <w:basedOn w:val="Normal"/>
    <w:next w:val="FootnoteTextContinued"/>
    <w:link w:val="FootnoteTextChar"/>
    <w:autoRedefine/>
    <w:uiPriority w:val="99"/>
    <w:rsid w:val="002974E9"/>
    <w:pPr>
      <w:tabs>
        <w:tab w:val="left" w:pos="360"/>
      </w:tabs>
      <w:spacing w:after="60"/>
      <w:jc w:val="both"/>
    </w:pPr>
    <w:rPr>
      <w:sz w:val="20"/>
      <w:szCs w:val="20"/>
    </w:rPr>
  </w:style>
  <w:style w:type="paragraph" w:styleId="BalloonText">
    <w:name w:val="Balloon Text"/>
    <w:basedOn w:val="Normal"/>
    <w:link w:val="BalloonTextChar"/>
    <w:uiPriority w:val="99"/>
    <w:semiHidden/>
    <w:unhideWhenUsed/>
    <w:rsid w:val="003D5E62"/>
    <w:rPr>
      <w:rFonts w:ascii="Segoe UI" w:hAnsi="Segoe UI" w:cs="Segoe UI"/>
      <w:sz w:val="18"/>
      <w:szCs w:val="18"/>
    </w:rPr>
  </w:style>
  <w:style w:type="character" w:customStyle="1" w:styleId="FootnoteReference1">
    <w:name w:val="FootnoteReference_1"/>
    <w:uiPriority w:val="99"/>
    <w:rPr>
      <w:rFonts w:ascii="Times New Roman" w:hAnsi="Times New Roman"/>
      <w:b w:val="0"/>
      <w:i w:val="0"/>
      <w:sz w:val="20"/>
      <w:vertAlign w:val="superscript"/>
    </w:rPr>
  </w:style>
  <w:style w:type="character" w:styleId="Hyperlink">
    <w:name w:val="Hyperlink"/>
    <w:basedOn w:val="DefaultParagraphFont"/>
    <w:uiPriority w:val="99"/>
    <w:unhideWhenUsed/>
    <w:rsid w:val="00C06C20"/>
    <w:rPr>
      <w:color w:val="0000FF"/>
      <w:u w:val="single"/>
    </w:rPr>
  </w:style>
  <w:style w:type="character" w:customStyle="1" w:styleId="Heading6Char">
    <w:name w:val="Heading 6 Char"/>
    <w:basedOn w:val="DefaultParagraphFont"/>
    <w:link w:val="Heading6"/>
    <w:uiPriority w:val="9"/>
    <w:rsid w:val="003372F4"/>
    <w:rPr>
      <w:rFonts w:ascii="Times New Roman" w:hAnsi="Times New Roman" w:cs="Times New Roman"/>
      <w:lang w:eastAsia="en-US"/>
    </w:rPr>
  </w:style>
  <w:style w:type="paragraph" w:styleId="BodyText">
    <w:name w:val="Body Text"/>
    <w:basedOn w:val="Normal"/>
    <w:link w:val="BodyTextChar"/>
    <w:uiPriority w:val="1"/>
    <w:qFormat/>
    <w:rsid w:val="00DE128F"/>
    <w:pPr>
      <w:adjustRightInd/>
      <w:spacing w:after="180"/>
      <w:ind w:firstLine="720"/>
      <w:jc w:val="both"/>
    </w:pPr>
    <w:rPr>
      <w:lang w:eastAsia="ko-KR"/>
    </w:rPr>
  </w:style>
  <w:style w:type="character" w:customStyle="1" w:styleId="normaltextrun">
    <w:name w:val="normaltextrun"/>
    <w:rPr>
      <w:sz w:val="22"/>
    </w:rPr>
  </w:style>
  <w:style w:type="paragraph" w:styleId="Header">
    <w:name w:val="header"/>
    <w:basedOn w:val="Normal"/>
    <w:link w:val="HeaderChar"/>
    <w:rsid w:val="004B558A"/>
    <w:rPr>
      <w:b/>
      <w:bCs/>
      <w:i/>
      <w:iCs/>
    </w:rPr>
  </w:style>
  <w:style w:type="character" w:customStyle="1" w:styleId="HeaderChar">
    <w:name w:val="Header Char"/>
    <w:basedOn w:val="DefaultParagraphFont"/>
    <w:link w:val="Header"/>
    <w:rsid w:val="004B558A"/>
    <w:rPr>
      <w:rFonts w:ascii="Times New Roman" w:hAnsi="Times New Roman" w:cs="Times New Roman"/>
      <w:b/>
      <w:bCs/>
      <w:i/>
      <w:iCs/>
      <w:lang w:eastAsia="en-US"/>
    </w:rPr>
  </w:style>
  <w:style w:type="paragraph" w:styleId="Footer">
    <w:name w:val="footer"/>
    <w:basedOn w:val="Normal"/>
    <w:link w:val="FooterChar"/>
    <w:uiPriority w:val="99"/>
    <w:pPr>
      <w:tabs>
        <w:tab w:val="center" w:pos="4680"/>
        <w:tab w:val="right" w:pos="8640"/>
      </w:tabs>
    </w:pPr>
  </w:style>
  <w:style w:type="character" w:customStyle="1" w:styleId="FooterChar">
    <w:name w:val="Footer Char"/>
    <w:basedOn w:val="DefaultParagraphFont"/>
    <w:link w:val="Footer"/>
    <w:uiPriority w:val="99"/>
  </w:style>
  <w:style w:type="character" w:customStyle="1" w:styleId="CommentTextChar">
    <w:name w:val="Comment Text Char"/>
    <w:basedOn w:val="DefaultParagraphFont"/>
    <w:link w:val="CommentText"/>
    <w:uiPriority w:val="99"/>
    <w:rsid w:val="004B558A"/>
    <w:rPr>
      <w:rFonts w:ascii="Times New Roman" w:hAnsi="Times New Roman" w:cs="Times New Roman"/>
      <w:i/>
      <w:iCs/>
      <w:lang w:eastAsia="en-US"/>
    </w:rPr>
  </w:style>
  <w:style w:type="paragraph" w:customStyle="1" w:styleId="Header1">
    <w:name w:val="Header_1"/>
    <w:uiPriority w:val="99"/>
    <w:pPr>
      <w:tabs>
        <w:tab w:val="center" w:pos="4680"/>
        <w:tab w:val="right" w:pos="8640"/>
      </w:tabs>
      <w:adjustRightInd w:val="0"/>
      <w:spacing w:after="0" w:line="240" w:lineRule="auto"/>
    </w:pPr>
    <w:rPr>
      <w:rFonts w:ascii="Times New Roman" w:hAnsi="Times New Roman" w:cs="Times New Roman"/>
      <w:sz w:val="24"/>
      <w:szCs w:val="24"/>
      <w:lang w:eastAsia="en-US"/>
    </w:rPr>
  </w:style>
  <w:style w:type="paragraph" w:customStyle="1" w:styleId="Header11">
    <w:name w:val="Header_11"/>
    <w:uiPriority w:val="99"/>
    <w:pPr>
      <w:tabs>
        <w:tab w:val="center" w:pos="4680"/>
        <w:tab w:val="right" w:pos="8640"/>
      </w:tabs>
      <w:adjustRightInd w:val="0"/>
      <w:spacing w:after="0" w:line="240" w:lineRule="auto"/>
    </w:pPr>
    <w:rPr>
      <w:rFonts w:ascii="Times New Roman" w:hAnsi="Times New Roman" w:cs="Times New Roman"/>
      <w:sz w:val="24"/>
      <w:szCs w:val="24"/>
      <w:lang w:eastAsia="en-US"/>
    </w:rPr>
  </w:style>
  <w:style w:type="paragraph" w:customStyle="1" w:styleId="Header12">
    <w:name w:val="Header_12"/>
    <w:uiPriority w:val="99"/>
    <w:pPr>
      <w:tabs>
        <w:tab w:val="center" w:pos="4680"/>
        <w:tab w:val="right" w:pos="8640"/>
      </w:tabs>
      <w:adjustRightInd w:val="0"/>
      <w:spacing w:after="0" w:line="240" w:lineRule="auto"/>
    </w:pPr>
    <w:rPr>
      <w:rFonts w:ascii="Times New Roman" w:hAnsi="Times New Roman" w:cs="Times New Roman"/>
      <w:sz w:val="24"/>
      <w:szCs w:val="24"/>
      <w:lang w:eastAsia="en-US"/>
    </w:rPr>
  </w:style>
  <w:style w:type="paragraph" w:customStyle="1" w:styleId="Header10">
    <w:name w:val="Header_1"/>
    <w:uiPriority w:val="99"/>
    <w:pPr>
      <w:adjustRightInd w:val="0"/>
      <w:spacing w:after="0" w:line="240" w:lineRule="auto"/>
    </w:pPr>
    <w:rPr>
      <w:rFonts w:ascii="Times New Roman" w:hAnsi="Times New Roman" w:cs="Times New Roman"/>
      <w:b/>
      <w:bCs/>
      <w:i/>
      <w:iCs/>
      <w:lang w:eastAsia="en-US"/>
    </w:rPr>
  </w:style>
  <w:style w:type="character" w:styleId="FootnoteReference">
    <w:name w:val="footnote reference"/>
    <w:basedOn w:val="DefaultParagraphFont"/>
    <w:rsid w:val="008F77DF"/>
    <w:rPr>
      <w:vertAlign w:val="superscript"/>
      <w:lang w:eastAsia="ko-KR"/>
    </w:rPr>
  </w:style>
  <w:style w:type="paragraph" w:customStyle="1" w:styleId="Bod">
    <w:name w:val="Bod"/>
    <w:basedOn w:val="Normal"/>
    <w:rsid w:val="00017138"/>
    <w:pPr>
      <w:shd w:val="clear" w:color="auto" w:fill="FFFFFF"/>
      <w:autoSpaceDE w:val="0"/>
      <w:autoSpaceDN w:val="0"/>
      <w:spacing w:after="240"/>
      <w:ind w:firstLine="720"/>
      <w:jc w:val="both"/>
    </w:pPr>
    <w:rPr>
      <w:rFonts w:eastAsia="Times New Roman Bold" w:cstheme="minorBidi"/>
    </w:rPr>
  </w:style>
  <w:style w:type="paragraph" w:customStyle="1" w:styleId="Company-1">
    <w:name w:val="Company-1"/>
    <w:basedOn w:val="Normal"/>
    <w:rsid w:val="00334608"/>
    <w:pPr>
      <w:keepLines/>
      <w:tabs>
        <w:tab w:val="left" w:pos="5310"/>
        <w:tab w:val="left" w:pos="8640"/>
      </w:tabs>
      <w:spacing w:after="240"/>
      <w:ind w:left="4680"/>
    </w:pPr>
  </w:style>
  <w:style w:type="paragraph" w:styleId="Date">
    <w:name w:val="Date"/>
    <w:basedOn w:val="Normal"/>
    <w:next w:val="Normal"/>
    <w:link w:val="DateChar"/>
    <w:uiPriority w:val="99"/>
    <w:pPr>
      <w:autoSpaceDE w:val="0"/>
      <w:autoSpaceDN w:val="0"/>
      <w:spacing w:after="240"/>
      <w:jc w:val="both"/>
    </w:pPr>
  </w:style>
  <w:style w:type="character" w:customStyle="1" w:styleId="DateChar">
    <w:name w:val="Date Char"/>
    <w:basedOn w:val="DefaultParagraphFont"/>
    <w:link w:val="Date"/>
    <w:uiPriority w:val="99"/>
  </w:style>
  <w:style w:type="paragraph" w:styleId="ListParagraph">
    <w:name w:val="List Paragraph"/>
    <w:basedOn w:val="Normal"/>
    <w:uiPriority w:val="1"/>
    <w:qFormat/>
    <w:rsid w:val="00861459"/>
    <w:pPr>
      <w:widowControl w:val="0"/>
      <w:adjustRightInd/>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2974E9"/>
    <w:rPr>
      <w:rFonts w:ascii="Times New Roman" w:hAnsi="Times New Roman" w:cs="Times New Roman"/>
      <w:sz w:val="20"/>
      <w:szCs w:val="20"/>
      <w:lang w:eastAsia="en-US"/>
    </w:rPr>
  </w:style>
  <w:style w:type="character" w:customStyle="1" w:styleId="Heading7Char">
    <w:name w:val="Heading 7 Char"/>
    <w:basedOn w:val="DefaultParagraphFont"/>
    <w:link w:val="Heading7"/>
    <w:uiPriority w:val="9"/>
    <w:rsid w:val="003372F4"/>
    <w:rPr>
      <w:rFonts w:ascii="Times New Roman" w:hAnsi="Times New Roman" w:cs="Times New Roman"/>
      <w:lang w:eastAsia="en-US"/>
    </w:rPr>
  </w:style>
  <w:style w:type="paragraph" w:customStyle="1" w:styleId="TableParagraph">
    <w:name w:val="Table Paragraph"/>
    <w:basedOn w:val="Normal"/>
    <w:uiPriority w:val="1"/>
    <w:qFormat/>
    <w:rsid w:val="00861459"/>
    <w:pPr>
      <w:widowControl w:val="0"/>
      <w:adjustRightInd/>
    </w:pPr>
    <w:rPr>
      <w:rFonts w:asciiTheme="minorHAnsi" w:eastAsiaTheme="minorHAnsi" w:hAnsiTheme="minorHAnsi" w:cstheme="minorBidi"/>
    </w:rPr>
  </w:style>
  <w:style w:type="paragraph" w:customStyle="1" w:styleId="MacPacTrailer">
    <w:name w:val="MacPac Trailer"/>
    <w:rsid w:val="0057268E"/>
    <w:pPr>
      <w:widowControl w:val="0"/>
      <w:spacing w:after="0" w:line="200" w:lineRule="exact"/>
    </w:pPr>
    <w:rPr>
      <w:rFonts w:ascii="Times New Roman" w:hAnsi="Times New Roman" w:cs="Times New Roman"/>
      <w:sz w:val="20"/>
      <w:lang w:eastAsia="en-US"/>
    </w:rPr>
  </w:style>
  <w:style w:type="character" w:customStyle="1" w:styleId="BalloonTextChar">
    <w:name w:val="Balloon Text Char"/>
    <w:basedOn w:val="DefaultParagraphFont"/>
    <w:link w:val="BalloonText"/>
    <w:uiPriority w:val="99"/>
    <w:semiHidden/>
    <w:rsid w:val="003D5E62"/>
    <w:rPr>
      <w:rFonts w:ascii="Segoe UI" w:hAnsi="Segoe UI" w:cs="Segoe UI"/>
      <w:sz w:val="18"/>
      <w:szCs w:val="18"/>
      <w:lang w:eastAsia="en-US"/>
    </w:rPr>
  </w:style>
  <w:style w:type="paragraph" w:styleId="Title">
    <w:name w:val="Title"/>
    <w:basedOn w:val="BodyText"/>
    <w:next w:val="Normal"/>
    <w:link w:val="TitleChar"/>
    <w:uiPriority w:val="10"/>
    <w:qFormat/>
    <w:rsid w:val="00DE128F"/>
    <w:pPr>
      <w:spacing w:before="240" w:after="240"/>
      <w:ind w:firstLine="0"/>
      <w:jc w:val="center"/>
    </w:pPr>
    <w:rPr>
      <w:b/>
    </w:rPr>
  </w:style>
  <w:style w:type="character" w:customStyle="1" w:styleId="Heading8Char">
    <w:name w:val="Heading 8 Char"/>
    <w:basedOn w:val="DefaultParagraphFont"/>
    <w:link w:val="Heading8"/>
    <w:uiPriority w:val="9"/>
    <w:rsid w:val="003372F4"/>
    <w:rPr>
      <w:rFonts w:ascii="Times New Roman" w:hAnsi="Times New Roman" w:cs="Times New Roman"/>
      <w:lang w:eastAsia="en-US"/>
    </w:rPr>
  </w:style>
  <w:style w:type="character" w:customStyle="1" w:styleId="PageNumber">
    <w:name w:val="PageNumber"/>
    <w:rPr>
      <w:rFonts w:ascii="Times New Roman" w:hAnsi="Times New Roman"/>
      <w:sz w:val="24"/>
      <w:lang w:val="en-US"/>
    </w:rPr>
  </w:style>
  <w:style w:type="character" w:customStyle="1" w:styleId="TitleChar">
    <w:name w:val="Title Char"/>
    <w:basedOn w:val="DefaultParagraphFont"/>
    <w:link w:val="Title"/>
    <w:uiPriority w:val="10"/>
    <w:rsid w:val="00DE128F"/>
    <w:rPr>
      <w:rFonts w:ascii="Times New Roman" w:hAnsi="Times New Roman" w:cs="Times New Roman"/>
      <w:b/>
      <w:sz w:val="24"/>
      <w:szCs w:val="24"/>
    </w:rPr>
  </w:style>
  <w:style w:type="paragraph" w:customStyle="1" w:styleId="FootnoteTextContinued">
    <w:name w:val="Footnote Text Continued"/>
    <w:basedOn w:val="Normal"/>
    <w:rsid w:val="007E431F"/>
    <w:pPr>
      <w:autoSpaceDE w:val="0"/>
      <w:autoSpaceDN w:val="0"/>
      <w:spacing w:after="60"/>
      <w:ind w:firstLine="360"/>
      <w:jc w:val="both"/>
    </w:pPr>
    <w:rPr>
      <w:color w:val="000000" w:themeColor="text1"/>
      <w:sz w:val="20"/>
    </w:rPr>
  </w:style>
  <w:style w:type="character" w:customStyle="1" w:styleId="Heading1Char">
    <w:name w:val="Heading 1 Char"/>
    <w:basedOn w:val="DefaultParagraphFont"/>
    <w:link w:val="Heading1"/>
    <w:uiPriority w:val="1"/>
    <w:rsid w:val="00F17156"/>
    <w:rPr>
      <w:rFonts w:ascii="Times New Roman" w:hAnsi="Times New Roman" w:cs="Times New Roman"/>
      <w:szCs w:val="20"/>
      <w:lang w:eastAsia="en-US"/>
    </w:rPr>
  </w:style>
  <w:style w:type="paragraph" w:customStyle="1" w:styleId="ListParagraph1">
    <w:name w:val="ListParagraph_1"/>
    <w:uiPriority w:val="1"/>
    <w:qFormat/>
    <w:pPr>
      <w:spacing w:before="240"/>
      <w:ind w:left="720" w:firstLine="720"/>
      <w:jc w:val="both"/>
    </w:pPr>
  </w:style>
  <w:style w:type="character" w:customStyle="1" w:styleId="Heading4Char">
    <w:name w:val="Heading 4 Char"/>
    <w:basedOn w:val="DefaultParagraphFont"/>
    <w:link w:val="Heading4"/>
    <w:uiPriority w:val="9"/>
    <w:rsid w:val="003372F4"/>
    <w:rPr>
      <w:rFonts w:ascii="Times New Roman" w:hAnsi="Times New Roman" w:cs="Times New Roman"/>
      <w:lang w:eastAsia="en-US"/>
    </w:rPr>
  </w:style>
  <w:style w:type="character" w:customStyle="1" w:styleId="Heading5Char">
    <w:name w:val="Heading 5 Char"/>
    <w:basedOn w:val="DefaultParagraphFont"/>
    <w:link w:val="Heading5"/>
    <w:uiPriority w:val="9"/>
    <w:rsid w:val="003372F4"/>
    <w:rPr>
      <w:rFonts w:ascii="Times New Roman" w:hAnsi="Times New Roman" w:cs="Times New Roman"/>
      <w:lang w:eastAsia="en-US"/>
    </w:rPr>
  </w:style>
  <w:style w:type="paragraph" w:customStyle="1" w:styleId="Plain">
    <w:name w:val="Plain"/>
    <w:basedOn w:val="Normal"/>
    <w:rsid w:val="000D36C4"/>
    <w:pPr>
      <w:widowControl w:val="0"/>
      <w:shd w:val="clear" w:color="auto" w:fill="FFFFFF"/>
      <w:autoSpaceDE w:val="0"/>
      <w:autoSpaceDN w:val="0"/>
      <w:spacing w:after="240"/>
      <w:jc w:val="both"/>
    </w:pPr>
  </w:style>
  <w:style w:type="paragraph" w:customStyle="1" w:styleId="EndnoteText">
    <w:name w:val="EndnoteText"/>
    <w:semiHidden/>
    <w:pPr>
      <w:tabs>
        <w:tab w:val="left" w:pos="360"/>
      </w:tabs>
      <w:spacing w:before="120" w:after="120"/>
      <w:ind w:firstLine="360"/>
    </w:pPr>
    <w:rPr>
      <w:sz w:val="20"/>
    </w:rPr>
  </w:style>
  <w:style w:type="paragraph" w:customStyle="1" w:styleId="HeadingPara2">
    <w:name w:val="Heading Para 2"/>
    <w:basedOn w:val="Heading2"/>
    <w:next w:val="Normal"/>
    <w:rsid w:val="007D1021"/>
    <w:pPr>
      <w:numPr>
        <w:ilvl w:val="0"/>
        <w:numId w:val="0"/>
      </w:numPr>
      <w:spacing w:after="240"/>
      <w:outlineLvl w:val="9"/>
    </w:pPr>
    <w:rPr>
      <w:u w:val="none"/>
    </w:rPr>
  </w:style>
  <w:style w:type="table" w:customStyle="1" w:styleId="TableGrid">
    <w:name w:val="TableGrid"/>
    <w:uiPriority w:val="99"/>
    <w:pPr>
      <w:adjustRightInd w:val="0"/>
      <w:spacing w:before="240" w:after="0"/>
      <w:ind w:firstLine="720"/>
      <w:jc w:val="both"/>
    </w:pPr>
    <w:rPr>
      <w:rFonts w:ascii="Times New Roman" w:eastAsia="Times New Roman Bold" w:hAnsi="Times New Roman" w:cs="Times New Roman"/>
      <w:lang w:eastAsia="en-US"/>
    </w:rPr>
    <w:tblPr>
      <w:tblInd w:w="0" w:type="dxa"/>
      <w:tblBorders>
        <w:top w:val="single" w:sz="4" w:space="0" w:color="auto"/>
        <w:left w:val="single" w:sz="4" w:space="0" w:color="auto"/>
        <w:bottom w:val="single" w:sz="4" w:space="0" w:color="auto"/>
        <w:right w:val="single" w:sz="4" w:space="0" w:color="auto"/>
      </w:tblBorders>
      <w:tblCellMar>
        <w:top w:w="3" w:type="dxa"/>
        <w:left w:w="108" w:type="dxa"/>
        <w:bottom w:w="3" w:type="dxa"/>
        <w:right w:w="108" w:type="dxa"/>
      </w:tblCellMar>
    </w:tblPr>
  </w:style>
  <w:style w:type="character" w:styleId="CommentReference">
    <w:name w:val="annotation reference"/>
    <w:basedOn w:val="DefaultParagraphFont"/>
    <w:uiPriority w:val="99"/>
    <w:semiHidden/>
    <w:unhideWhenUsed/>
    <w:rsid w:val="004C76B8"/>
    <w:rPr>
      <w:sz w:val="16"/>
      <w:szCs w:val="16"/>
    </w:rPr>
  </w:style>
  <w:style w:type="paragraph" w:styleId="CommentText">
    <w:name w:val="annotation text"/>
    <w:basedOn w:val="Normal"/>
    <w:link w:val="CommentTextChar"/>
    <w:uiPriority w:val="99"/>
    <w:unhideWhenUsed/>
    <w:rsid w:val="004B558A"/>
    <w:pPr>
      <w:spacing w:after="240"/>
    </w:pPr>
    <w:rPr>
      <w:i/>
      <w:iCs/>
    </w:rPr>
  </w:style>
  <w:style w:type="paragraph" w:styleId="CommentSubject">
    <w:name w:val="annotation subject"/>
    <w:basedOn w:val="CommentText"/>
    <w:next w:val="CommentText"/>
    <w:link w:val="CommentSubjectChar"/>
    <w:uiPriority w:val="99"/>
    <w:semiHidden/>
    <w:unhideWhenUsed/>
    <w:rsid w:val="004C76B8"/>
    <w:rPr>
      <w:b/>
      <w:bCs/>
    </w:rPr>
  </w:style>
  <w:style w:type="character" w:customStyle="1" w:styleId="CommentSubjectChar">
    <w:name w:val="Comment Subject Char"/>
    <w:basedOn w:val="CommentTextChar"/>
    <w:link w:val="CommentSubject"/>
    <w:uiPriority w:val="99"/>
    <w:semiHidden/>
    <w:rsid w:val="004C76B8"/>
    <w:rPr>
      <w:rFonts w:ascii="Times New Roman" w:hAnsi="Times New Roman" w:cs="Times New Roman"/>
      <w:b/>
      <w:bCs/>
      <w:i/>
      <w:iCs/>
      <w:sz w:val="20"/>
      <w:szCs w:val="20"/>
      <w:lang w:eastAsia="en-US"/>
    </w:rPr>
  </w:style>
  <w:style w:type="character" w:customStyle="1" w:styleId="FootnoteReference11">
    <w:name w:val="FootnoteReference_11"/>
    <w:uiPriority w:val="99"/>
    <w:rPr>
      <w:rFonts w:ascii="Times New Roman" w:hAnsi="Times New Roman" w:cs="Times New Roman"/>
      <w:sz w:val="24"/>
      <w:szCs w:val="24"/>
      <w:vertAlign w:val="superscript"/>
      <w:lang w:eastAsia="ko-KR"/>
    </w:rPr>
  </w:style>
  <w:style w:type="character" w:customStyle="1" w:styleId="FootnoteReference12">
    <w:name w:val="FootnoteReference_12"/>
    <w:uiPriority w:val="99"/>
    <w:rPr>
      <w:rFonts w:ascii="Times New Roman" w:hAnsi="Times New Roman" w:cs="Times New Roman"/>
      <w:sz w:val="24"/>
      <w:szCs w:val="24"/>
      <w:vertAlign w:val="superscript"/>
      <w:lang w:eastAsia="ko-KR"/>
    </w:rPr>
  </w:style>
  <w:style w:type="paragraph" w:customStyle="1" w:styleId="Center">
    <w:name w:val="Center"/>
    <w:basedOn w:val="Normal"/>
    <w:next w:val="Bod"/>
    <w:link w:val="CenterChar"/>
    <w:qFormat/>
    <w:rsid w:val="005A34A0"/>
    <w:pPr>
      <w:widowControl w:val="0"/>
      <w:shd w:val="clear" w:color="auto" w:fill="FFFFFF"/>
      <w:autoSpaceDE w:val="0"/>
      <w:autoSpaceDN w:val="0"/>
      <w:spacing w:after="240"/>
      <w:jc w:val="center"/>
    </w:pPr>
    <w:rPr>
      <w:b/>
      <w:bCs/>
      <w:sz w:val="24"/>
      <w:szCs w:val="24"/>
    </w:rPr>
  </w:style>
  <w:style w:type="paragraph" w:styleId="Revision">
    <w:name w:val="Revision"/>
    <w:hidden/>
    <w:uiPriority w:val="99"/>
    <w:semiHidden/>
    <w:rsid w:val="005C47D9"/>
    <w:pPr>
      <w:spacing w:after="0" w:line="240" w:lineRule="auto"/>
    </w:pPr>
    <w:rPr>
      <w:rFonts w:ascii="Times New Roman" w:hAnsi="Times New Roman" w:cs="Times New Roman"/>
      <w:lang w:eastAsia="en-US"/>
    </w:rPr>
  </w:style>
  <w:style w:type="character" w:customStyle="1" w:styleId="CenterChar">
    <w:name w:val="Center Char"/>
    <w:link w:val="Center"/>
    <w:rsid w:val="005A34A0"/>
    <w:rPr>
      <w:rFonts w:ascii="Times New Roman" w:hAnsi="Times New Roman" w:cs="Times New Roman"/>
      <w:b/>
      <w:bCs/>
      <w:sz w:val="24"/>
      <w:szCs w:val="24"/>
      <w:shd w:val="clear" w:color="auto" w:fill="FFFFFF"/>
      <w:lang w:eastAsia="en-US"/>
    </w:rPr>
  </w:style>
  <w:style w:type="paragraph" w:customStyle="1" w:styleId="HeadingPara1">
    <w:name w:val="Heading Para 1"/>
    <w:basedOn w:val="Heading1"/>
    <w:next w:val="Normal"/>
    <w:rsid w:val="004E2D06"/>
    <w:pPr>
      <w:numPr>
        <w:numId w:val="0"/>
      </w:numPr>
      <w:ind w:left="720"/>
      <w:outlineLvl w:val="9"/>
    </w:pPr>
  </w:style>
  <w:style w:type="numbering" w:styleId="ArticleSection">
    <w:name w:val="Outline List 3"/>
    <w:basedOn w:val="NoList"/>
    <w:uiPriority w:val="99"/>
    <w:semiHidden/>
    <w:unhideWhenUsed/>
    <w:rsid w:val="003B1F88"/>
    <w:pPr>
      <w:numPr>
        <w:numId w:val="12"/>
      </w:numPr>
    </w:pPr>
  </w:style>
  <w:style w:type="character" w:styleId="PlaceholderText">
    <w:name w:val="Placeholder Text"/>
    <w:basedOn w:val="DefaultParagraphFont"/>
    <w:uiPriority w:val="99"/>
    <w:semiHidden/>
    <w:rsid w:val="00511651"/>
    <w:rPr>
      <w:color w:val="666666"/>
    </w:rPr>
  </w:style>
  <w:style w:type="paragraph" w:customStyle="1" w:styleId="Footer1">
    <w:name w:val="Footer_1"/>
    <w:uiPriority w:val="99"/>
    <w:pPr>
      <w:tabs>
        <w:tab w:val="center" w:pos="4680"/>
        <w:tab w:val="right" w:pos="8640"/>
      </w:tabs>
      <w:adjustRightInd w:val="0"/>
      <w:spacing w:after="0" w:line="240" w:lineRule="auto"/>
    </w:pPr>
    <w:rPr>
      <w:rFonts w:ascii="Times New Roman" w:hAnsi="Times New Roman" w:cs="Times New Roman"/>
      <w:lang w:eastAsia="en-US"/>
    </w:rPr>
  </w:style>
  <w:style w:type="character" w:customStyle="1" w:styleId="FootnoteReference10">
    <w:name w:val="FootnoteReference_1"/>
    <w:rPr>
      <w:rFonts w:ascii="Times New Roman" w:hAnsi="Times New Roman" w:cs="Times New Roman"/>
      <w:vertAlign w:val="superscript"/>
      <w:lang w:eastAsia="ko-KR"/>
    </w:rPr>
  </w:style>
  <w:style w:type="paragraph" w:customStyle="1" w:styleId="FootnoteText1">
    <w:name w:val="FootnoteText_1"/>
    <w:autoRedefine/>
    <w:uiPriority w:val="99"/>
    <w:pPr>
      <w:tabs>
        <w:tab w:val="left" w:pos="360"/>
      </w:tabs>
      <w:adjustRightInd w:val="0"/>
      <w:spacing w:after="60" w:line="240" w:lineRule="auto"/>
      <w:jc w:val="both"/>
    </w:pPr>
    <w:rPr>
      <w:rFonts w:ascii="Times New Roman" w:hAnsi="Times New Roman" w:cs="Times New Roman"/>
      <w:sz w:val="20"/>
      <w:szCs w:val="20"/>
      <w:lang w:eastAsia="en-US"/>
    </w:rPr>
  </w:style>
  <w:style w:type="character" w:styleId="PageNumber0">
    <w:name w:val="page number"/>
    <w:basedOn w:val="DefaultParagraphFont"/>
    <w:uiPriority w:val="99"/>
    <w:rsid w:val="00015899"/>
  </w:style>
  <w:style w:type="character" w:customStyle="1" w:styleId="Heading2Char">
    <w:name w:val="Heading 2 Char"/>
    <w:basedOn w:val="DefaultParagraphFont"/>
    <w:link w:val="Heading2"/>
    <w:uiPriority w:val="1"/>
    <w:rsid w:val="00EF04F9"/>
    <w:rPr>
      <w:rFonts w:ascii="Times New Roman" w:hAnsi="Times New Roman" w:cs="Times New Roman"/>
      <w:u w:val="single"/>
      <w:lang w:eastAsia="en-US"/>
    </w:rPr>
  </w:style>
  <w:style w:type="character" w:styleId="UnresolvedMention">
    <w:name w:val="Unresolved Mention"/>
    <w:basedOn w:val="DefaultParagraphFont"/>
    <w:uiPriority w:val="99"/>
    <w:semiHidden/>
    <w:unhideWhenUsed/>
    <w:rsid w:val="001C4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21040">
      <w:bodyDiv w:val="1"/>
      <w:marLeft w:val="0"/>
      <w:marRight w:val="0"/>
      <w:marTop w:val="0"/>
      <w:marBottom w:val="0"/>
      <w:divBdr>
        <w:top w:val="none" w:sz="0" w:space="0" w:color="auto"/>
        <w:left w:val="none" w:sz="0" w:space="0" w:color="auto"/>
        <w:bottom w:val="none" w:sz="0" w:space="0" w:color="auto"/>
        <w:right w:val="none" w:sz="0" w:space="0" w:color="auto"/>
      </w:divBdr>
    </w:div>
    <w:div w:id="484470119">
      <w:bodyDiv w:val="1"/>
      <w:marLeft w:val="0"/>
      <w:marRight w:val="0"/>
      <w:marTop w:val="0"/>
      <w:marBottom w:val="0"/>
      <w:divBdr>
        <w:top w:val="none" w:sz="0" w:space="0" w:color="auto"/>
        <w:left w:val="none" w:sz="0" w:space="0" w:color="auto"/>
        <w:bottom w:val="none" w:sz="0" w:space="0" w:color="auto"/>
        <w:right w:val="none" w:sz="0" w:space="0" w:color="auto"/>
      </w:divBdr>
    </w:div>
    <w:div w:id="667177601">
      <w:bodyDiv w:val="1"/>
      <w:marLeft w:val="0"/>
      <w:marRight w:val="0"/>
      <w:marTop w:val="0"/>
      <w:marBottom w:val="0"/>
      <w:divBdr>
        <w:top w:val="none" w:sz="0" w:space="0" w:color="auto"/>
        <w:left w:val="none" w:sz="0" w:space="0" w:color="auto"/>
        <w:bottom w:val="none" w:sz="0" w:space="0" w:color="auto"/>
        <w:right w:val="none" w:sz="0" w:space="0" w:color="auto"/>
      </w:divBdr>
    </w:div>
    <w:div w:id="669715016">
      <w:bodyDiv w:val="1"/>
      <w:marLeft w:val="0"/>
      <w:marRight w:val="0"/>
      <w:marTop w:val="0"/>
      <w:marBottom w:val="0"/>
      <w:divBdr>
        <w:top w:val="none" w:sz="0" w:space="0" w:color="auto"/>
        <w:left w:val="none" w:sz="0" w:space="0" w:color="auto"/>
        <w:bottom w:val="none" w:sz="0" w:space="0" w:color="auto"/>
        <w:right w:val="none" w:sz="0" w:space="0" w:color="auto"/>
      </w:divBdr>
    </w:div>
    <w:div w:id="1046174259">
      <w:bodyDiv w:val="1"/>
      <w:marLeft w:val="0"/>
      <w:marRight w:val="0"/>
      <w:marTop w:val="0"/>
      <w:marBottom w:val="0"/>
      <w:divBdr>
        <w:top w:val="none" w:sz="0" w:space="0" w:color="auto"/>
        <w:left w:val="none" w:sz="0" w:space="0" w:color="auto"/>
        <w:bottom w:val="none" w:sz="0" w:space="0" w:color="auto"/>
        <w:right w:val="none" w:sz="0" w:space="0" w:color="auto"/>
      </w:divBdr>
    </w:div>
    <w:div w:id="1254629370">
      <w:bodyDiv w:val="1"/>
      <w:marLeft w:val="0"/>
      <w:marRight w:val="0"/>
      <w:marTop w:val="0"/>
      <w:marBottom w:val="0"/>
      <w:divBdr>
        <w:top w:val="none" w:sz="0" w:space="0" w:color="auto"/>
        <w:left w:val="none" w:sz="0" w:space="0" w:color="auto"/>
        <w:bottom w:val="none" w:sz="0" w:space="0" w:color="auto"/>
        <w:right w:val="none" w:sz="0" w:space="0" w:color="auto"/>
      </w:divBdr>
    </w:div>
    <w:div w:id="1325549257">
      <w:bodyDiv w:val="1"/>
      <w:marLeft w:val="0"/>
      <w:marRight w:val="0"/>
      <w:marTop w:val="0"/>
      <w:marBottom w:val="0"/>
      <w:divBdr>
        <w:top w:val="none" w:sz="0" w:space="0" w:color="auto"/>
        <w:left w:val="none" w:sz="0" w:space="0" w:color="auto"/>
        <w:bottom w:val="none" w:sz="0" w:space="0" w:color="auto"/>
        <w:right w:val="none" w:sz="0" w:space="0" w:color="auto"/>
      </w:divBdr>
    </w:div>
    <w:div w:id="1794867131">
      <w:bodyDiv w:val="1"/>
      <w:marLeft w:val="0"/>
      <w:marRight w:val="0"/>
      <w:marTop w:val="0"/>
      <w:marBottom w:val="0"/>
      <w:divBdr>
        <w:top w:val="none" w:sz="0" w:space="0" w:color="auto"/>
        <w:left w:val="none" w:sz="0" w:space="0" w:color="auto"/>
        <w:bottom w:val="none" w:sz="0" w:space="0" w:color="auto"/>
        <w:right w:val="none" w:sz="0" w:space="0" w:color="auto"/>
      </w:divBdr>
    </w:div>
    <w:div w:id="1829245094">
      <w:bodyDiv w:val="1"/>
      <w:marLeft w:val="0"/>
      <w:marRight w:val="0"/>
      <w:marTop w:val="0"/>
      <w:marBottom w:val="0"/>
      <w:divBdr>
        <w:top w:val="none" w:sz="0" w:space="0" w:color="auto"/>
        <w:left w:val="none" w:sz="0" w:space="0" w:color="auto"/>
        <w:bottom w:val="none" w:sz="0" w:space="0" w:color="auto"/>
        <w:right w:val="none" w:sz="0" w:space="0" w:color="auto"/>
      </w:divBdr>
    </w:div>
    <w:div w:id="211085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8.xml"/><Relationship Id="rId3" Type="http://schemas.openxmlformats.org/officeDocument/2006/relationships/customXml" Target="../customXml/item2.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yperlink" Target="https://www.standardcap.com/" TargetMode="External"/><Relationship Id="rId17" Type="http://schemas.openxmlformats.org/officeDocument/2006/relationships/header" Target="header3.xml"/><Relationship Id="rId25" Type="http://schemas.openxmlformats.org/officeDocument/2006/relationships/header" Target="header7.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header" Target="header9.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footer" Target="footer8.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3CE1BD5A562CB4B82EC65E39C99AF6A" ma:contentTypeVersion="11" ma:contentTypeDescription="Create a new document." ma:contentTypeScope="" ma:versionID="cb4cf6da84fbfabb14d81d8a1d2589d5">
  <xsd:schema xmlns:xsd="http://www.w3.org/2001/XMLSchema" xmlns:xs="http://www.w3.org/2001/XMLSchema" xmlns:p="http://schemas.microsoft.com/office/2006/metadata/properties" xmlns:ns2="9c0a36f1-4d58-430e-8449-b0eaaf5fe206" xmlns:ns3="37e6111b-6a63-4681-b603-c7bc9a020fd3" targetNamespace="http://schemas.microsoft.com/office/2006/metadata/properties" ma:root="true" ma:fieldsID="4889f2b19c1c6d75d4b9f15cb4599486" ns2:_="" ns3:_="">
    <xsd:import namespace="9c0a36f1-4d58-430e-8449-b0eaaf5fe206"/>
    <xsd:import namespace="37e6111b-6a63-4681-b603-c7bc9a020f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0a36f1-4d58-430e-8449-b0eaaf5fe2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e6111b-6a63-4681-b603-c7bc9a020f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2B469-7E30-4C47-835B-7763B26E76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3EC180-1850-4FF1-B211-6A9FDBBE09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0a36f1-4d58-430e-8449-b0eaaf5fe206"/>
    <ds:schemaRef ds:uri="37e6111b-6a63-4681-b603-c7bc9a020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057B06-AE9D-4286-B084-E41A47B31F01}">
  <ds:schemaRefs>
    <ds:schemaRef ds:uri="http://schemas.microsoft.com/sharepoint/v3/contenttype/forms"/>
  </ds:schemaRefs>
</ds:datastoreItem>
</file>

<file path=customXml/itemProps4.xml><?xml version="1.0" encoding="utf-8"?>
<ds:datastoreItem xmlns:ds="http://schemas.openxmlformats.org/officeDocument/2006/customXml" ds:itemID="{4ACF573A-D82A-4D1D-B968-8D9873F09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15430</Words>
  <Characters>87952</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Drumm, Stephanie L.</cp:lastModifiedBy>
  <cp:revision>4</cp:revision>
  <cp:lastPrinted>1900-01-01T08:00:00Z</cp:lastPrinted>
  <dcterms:created xsi:type="dcterms:W3CDTF">2025-09-17T22:16:00Z</dcterms:created>
  <dcterms:modified xsi:type="dcterms:W3CDTF">2025-09-17T22:16:00Z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0x01010083CE1BD5A562CB4B82EC65E39C99AF6A</vt:lpwstr>
  </property>
</Properties>
</file>