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b/>
          <w:bCs/>
          <w:sz w:val="36"/>
          <w:szCs w:val="36"/>
        </w:rPr>
        <w:t xml:space="preserve">News-Engine Implementation Report</w:t>
      </w:r>
    </w:p>
    <w:p>
      <w:pPr>
        <w:spacing w:after="360"/>
        <w:jc w:val="left"/>
      </w:pPr>
      <w:r>
        <w:rPr>
          <w:i/>
          <w:iCs/>
          <w:color w:val="595959"/>
        </w:rPr>
        <w:t xml:space="preserve">Mapped to the two sub-components from your February 6 email</w:t>
      </w:r>
    </w:p>
    <w:p>
      <w:pPr>
        <w:spacing w:after="60"/>
      </w:pPr>
      <w:r>
        <w:rPr>
          <w:b/>
          <w:bCs/>
        </w:rPr>
        <w:t xml:space="preserve">TO: </w:t>
      </w:r>
      <w:r>
        <w:t xml:space="preserve">Prof. Vikas Singh</w:t>
      </w:r>
    </w:p>
    <w:p>
      <w:pPr>
        <w:spacing w:after="60"/>
      </w:pPr>
      <w:r>
        <w:rPr>
          <w:b/>
          <w:bCs/>
        </w:rPr>
        <w:t xml:space="preserve">FROM: </w:t>
      </w:r>
      <w:r>
        <w:t xml:space="preserve">Sam Geng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April 28, 2026</w:t>
      </w:r>
    </w:p>
    <w:p>
      <w:pPr>
        <w:spacing w:after="240"/>
      </w:pPr>
      <w:r>
        <w:rPr>
          <w:b/>
          <w:bCs/>
        </w:rPr>
        <w:t xml:space="preserve">RE: </w:t>
      </w:r>
      <w:r>
        <w:t xml:space="preserve">News-driven allocation platform — implementation summary</w:t>
      </w:r>
    </w:p>
    <w:p>
      <w:pPr>
        <w:pStyle w:val="Heading1"/>
        <w:spacing w:after="120" w:before="360"/>
      </w:pPr>
      <w:r>
        <w:t xml:space="preserve">1. Executive summary</w:t>
      </w:r>
    </w:p>
    <w:p>
      <w:pPr>
        <w:spacing w:after="80"/>
      </w:pPr>
      <w:r>
        <w:t xml:space="preserve">This document summarises the implementation status of the news-driven allocation platform as of April 28, 2026. The architecture follows the structure you proposed in your February 6 email — two decoupled sub-components, evaluated on toy data first and on real data second, with no integration between them required at this stage.</w:t>
      </w:r>
    </w:p>
    <w:p>
      <w:pPr>
        <w:spacing w:after="80"/>
      </w:pPr>
      <w:r>
        <w:rPr>
          <w:b/>
          <w:bCs/>
        </w:rPr>
        <w:t xml:space="preserve">Sub-component A — Forecasting models. </w:t>
      </w:r>
      <w:r>
        <w:t xml:space="preserve">Nine forecasting models behind a uniform </w:t>
      </w:r>
      <w:r>
        <w:rPr>
          <w:rFonts w:ascii="Consolas" w:cs="Consolas" w:eastAsia="Consolas" w:hAnsi="Consolas"/>
          <w:sz w:val="20"/>
          <w:szCs w:val="20"/>
        </w:rPr>
        <w:t xml:space="preserve">Forecaster</w:t>
      </w:r>
      <w:r>
        <w:t xml:space="preserve"> interface, with a deterministic toy-series leaderboard and a real-ticker runner. All nine run end-to-end on the development machine; metrics are MAE, RMSE, MAPE, MASE, and directional accuracy on a held-out tail.</w:t>
      </w:r>
    </w:p>
    <w:p>
      <w:pPr>
        <w:spacing w:after="80"/>
      </w:pPr>
      <w:r>
        <w:rPr>
          <w:b/>
          <w:bCs/>
        </w:rPr>
        <w:t xml:space="preserve">Sub-component B — Text-feed synthesis. </w:t>
      </w:r>
      <w:r>
        <w:t xml:space="preserve">Async pipeline ingesting from three providers (Marketaux, NewsAPI.ai, EODHD), deduped on (source, external_id), scored with VADER plus a finance-lexicon overlay, and routed to tickers/sectors via a curated mapping that includes the cross-market spillover cases we discussed (Hong Kong → EEM, Federal Reserve → TLT, etc.). A toy harness with hand-curated headlines enforces accuracy floors in pytest.</w:t>
      </w:r>
    </w:p>
    <w:p>
      <w:pPr>
        <w:spacing w:after="80"/>
      </w:pPr>
      <w:r>
        <w:rPr>
          <w:b/>
          <w:bCs/>
        </w:rPr>
        <w:t xml:space="preserve">Decoupling. </w:t>
      </w:r>
      <w:r>
        <w:t xml:space="preserve">The two sub-component packages </w:t>
      </w:r>
      <w:r>
        <w:rPr>
          <w:rFonts w:ascii="Consolas" w:cs="Consolas" w:eastAsia="Consolas" w:hAnsi="Consolas"/>
          <w:sz w:val="20"/>
          <w:szCs w:val="20"/>
        </w:rPr>
        <w:t xml:space="preserve">backend/forecast/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backend/news/</w:t>
      </w:r>
      <w:r>
        <w:t xml:space="preserve"> do not import from one another. Verified by static grep before this report was written.</w:t>
      </w:r>
    </w:p>
    <w:p>
      <w:pPr>
        <w:spacing w:after="80"/>
      </w:pPr>
      <w:r>
        <w:rPr>
          <w:b/>
          <w:bCs/>
        </w:rPr>
        <w:t xml:space="preserve">Test status. </w:t>
      </w:r>
      <w:r>
        <w:t xml:space="preserve">62 of 62 unit tests pass. Coverage spans both sub-components, the forecast metrics module, the signal pipeline, the backtester, and the sentiment overlay.</w:t>
      </w:r>
    </w:p>
    <w:p>
      <w:pPr>
        <w:spacing w:after="80"/>
      </w:pPr>
      <w:r>
        <w:rPr>
          <w:b/>
          <w:bCs/>
        </w:rPr>
        <w:t xml:space="preserve">Beyond the original ask. </w:t>
      </w:r>
      <w:r>
        <w:t xml:space="preserve">An integrated v2 layer (paper-trading engine, vectorized backtester, FastAPI dashboard) sits on top of the two sub-components. It was built before the February 6 conversation and was retained as a runnable demo, but it is explicitly off the critical path. The dashboard URL shared earlier exposes both sub-components and the v2 layer.</w:t>
      </w:r>
    </w:p>
    <w:p>
      <w:pPr>
        <w:pStyle w:val="Heading1"/>
        <w:spacing w:after="120" w:before="360"/>
      </w:pPr>
      <w:r>
        <w:t xml:space="preserve">2. Sub-component A — Forecasting models</w:t>
      </w:r>
    </w:p>
    <w:p>
      <w:pPr>
        <w:pStyle w:val="Heading2"/>
        <w:spacing w:after="80" w:before="220"/>
      </w:pPr>
      <w:r>
        <w:t xml:space="preserve">2.1 Architecture</w:t>
      </w:r>
    </w:p>
    <w:p>
      <w:pPr>
        <w:spacing w:after="80"/>
      </w:pPr>
      <w:r>
        <w:t xml:space="preserve">All forecasters implement a common protocol defined in </w:t>
      </w:r>
      <w:r>
        <w:rPr>
          <w:rFonts w:ascii="Consolas" w:cs="Consolas" w:eastAsia="Consolas" w:hAnsi="Consolas"/>
          <w:sz w:val="20"/>
          <w:szCs w:val="20"/>
        </w:rPr>
        <w:t xml:space="preserve">backend/forecast/base.py</w:t>
      </w:r>
      <w:r>
        <w:t xml:space="preserve">. Each model exposes </w:t>
      </w:r>
      <w:r>
        <w:rPr>
          <w:rFonts w:ascii="Consolas" w:cs="Consolas" w:eastAsia="Consolas" w:hAnsi="Consolas"/>
          <w:sz w:val="20"/>
          <w:szCs w:val="20"/>
        </w:rPr>
        <w:t xml:space="preserve">fit(history)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forecast(horizon)</w:t>
      </w:r>
      <w:r>
        <w:t xml:space="preserve">, returning a </w:t>
      </w:r>
      <w:r>
        <w:rPr>
          <w:rFonts w:ascii="Consolas" w:cs="Consolas" w:eastAsia="Consolas" w:hAnsi="Consolas"/>
          <w:sz w:val="20"/>
          <w:szCs w:val="20"/>
        </w:rPr>
        <w:t xml:space="preserve">Forecast</w:t>
      </w:r>
      <w:r>
        <w:t xml:space="preserve"> object with a point estimate and optional confidence bands. Models register themselves into a single registry </w:t>
      </w:r>
      <w:r>
        <w:rPr>
          <w:rFonts w:ascii="Consolas" w:cs="Consolas" w:eastAsia="Consolas" w:hAnsi="Consolas"/>
          <w:sz w:val="20"/>
          <w:szCs w:val="20"/>
        </w:rPr>
        <w:t xml:space="preserve">ALL_MODELS</w:t>
      </w:r>
      <w:r>
        <w:t xml:space="preserve"> keyed by their public name, which is what the harness, the CLI eval scripts, and the dashboard all consume. Adding a tenth model requires implementing the protocol and registering one entry; nothing else needs to change.</w:t>
      </w:r>
    </w:p>
    <w:p>
      <w:pPr>
        <w:pStyle w:val="Heading2"/>
        <w:spacing w:after="80" w:before="220"/>
      </w:pPr>
      <w:r>
        <w:t xml:space="preserve">2.2 Models implemented</w:t>
      </w:r>
    </w:p>
    <w:p>
      <w:pPr>
        <w:spacing w:after="80"/>
      </w:pPr>
      <w:r>
        <w:t xml:space="preserve">All nine of the following are present, registered, and exercised by tests: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1900"/>
        <w:gridCol w:w="466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Family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Backend / library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naive_last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baseline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numpy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Repeats last observed value (random-walk champion)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naive_mean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baseline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numpy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History mean (mean-reversion champion)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naive_drift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baseline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numpy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Linear extrapolation from endpoints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ewma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smoothing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numpy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Exponentially weighted moving average, configurable 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holt_winters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smoothing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statsmodels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Level + trend, optional seasonality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arima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classical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statsmodels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Auto-order ARIMA(p,d,q) selected by AIC over a small grid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mlp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neural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Sliding-window MLP, lookback + 2 hidden layers, ReLU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lstm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neural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Sliding-window single-layer LSTM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timesfm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foundation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Google TimesFM 2.5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200M-parameter checkpoint via Hugging Face (google/timesfm-2.5-200m-pytorch); main-branch v2.5 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>TimesFM was the integration of last resort. The 2.5 main-branch API differs from the PyPI 1.x release in non-trivial ways (per-variant classes, </w:t>
      </w:r>
      <w:r>
        <w:rPr>
          <w:rFonts w:ascii="Consolas" w:cs="Consolas" w:eastAsia="Consolas" w:hAnsi="Consolas"/>
          <w:sz w:val="20"/>
          <w:szCs w:val="20"/>
        </w:rPr>
        <w:t xml:space="preserve">load_checkpoint</w:t>
      </w:r>
      <w:r>
        <w:t xml:space="preserve"> kwarg names that vary by build, </w:t>
      </w:r>
      <w:r>
        <w:rPr>
          <w:rFonts w:ascii="Consolas" w:cs="Consolas" w:eastAsia="Consolas" w:hAnsi="Consolas"/>
          <w:sz w:val="20"/>
          <w:szCs w:val="20"/>
        </w:rPr>
        <w:t xml:space="preserve">compile(ForecastConfig)</w:t>
      </w:r>
      <w:r>
        <w:t xml:space="preserve"> required before </w:t>
      </w:r>
      <w:r>
        <w:rPr>
          <w:rFonts w:ascii="Consolas" w:cs="Consolas" w:eastAsia="Consolas" w:hAnsi="Consolas"/>
          <w:sz w:val="20"/>
          <w:szCs w:val="20"/>
        </w:rPr>
        <w:t xml:space="preserve">forecast()</w:t>
      </w:r>
      <w:r>
        <w:t xml:space="preserve">). The wrapper at </w:t>
      </w:r>
      <w:r>
        <w:rPr>
          <w:rFonts w:ascii="Consolas" w:cs="Consolas" w:eastAsia="Consolas" w:hAnsi="Consolas"/>
          <w:sz w:val="20"/>
          <w:szCs w:val="20"/>
        </w:rPr>
        <w:t xml:space="preserve">backend/forecast/models/timesfm_model.py</w:t>
      </w:r>
      <w:r>
        <w:t xml:space="preserve"> probes three call signatures with </w:t>
      </w:r>
      <w:r>
        <w:rPr>
          <w:rFonts w:ascii="Consolas" w:cs="Consolas" w:eastAsia="Consolas" w:hAnsi="Consolas"/>
          <w:sz w:val="20"/>
          <w:szCs w:val="20"/>
        </w:rPr>
        <w:t xml:space="preserve">inspect.signature</w:t>
      </w:r>
      <w:r>
        <w:t xml:space="preserve"> before settling on the one that matches the installed version, so the same code path works across the 1.x, 2.x, and 2.5.x lines.</w:t>
      </w:r>
    </w:p>
    <w:p>
      <w:pPr>
        <w:pStyle w:val="Heading2"/>
        <w:spacing w:after="80" w:before="220"/>
      </w:pPr>
      <w:r>
        <w:t xml:space="preserve">2.3 Toy-first evaluation harness</w:t>
      </w:r>
    </w:p>
    <w:p>
      <w:pPr>
        <w:spacing w:after="80"/>
      </w:pPr>
      <w:r>
        <w:t xml:space="preserve">The toy catalogue at </w:t>
      </w:r>
      <w:r>
        <w:rPr>
          <w:rFonts w:ascii="Consolas" w:cs="Consolas" w:eastAsia="Consolas" w:hAnsi="Consolas"/>
          <w:sz w:val="20"/>
          <w:szCs w:val="20"/>
        </w:rPr>
        <w:t xml:space="preserve">backend/forecast/toy.py</w:t>
      </w:r>
      <w:r>
        <w:t xml:space="preserve"> produces six deterministic synthetic series of configurable length. Each series exercises a different stylized fact: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Series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Generates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Pure sinusoid (period 24, amp 1.0)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sine_plus_trend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Sinusoid plus a small linear trend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ar1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First-order autoregressive process, ϕ = 0.85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random_walk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Cumulative gaussian increments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regime_switch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Two-regime mean shift halfway through the series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noisy_price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Geometric random walk with heteroscedastic noise (closest to a real ticker)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>The harness in </w:t>
      </w:r>
      <w:r>
        <w:rPr>
          <w:rFonts w:ascii="Consolas" w:cs="Consolas" w:eastAsia="Consolas" w:hAnsi="Consolas"/>
          <w:sz w:val="20"/>
          <w:szCs w:val="20"/>
        </w:rPr>
        <w:t xml:space="preserve">backend/forecast/harness.py</w:t>
      </w:r>
      <w:r>
        <w:t xml:space="preserve"> runs every registered model on every series, holds out the last H points, fits on the prefix, forecasts H, and scores against the held-out truth. Models that throw or whose dependencies are not available are reported as </w:t>
      </w:r>
      <w:r>
        <w:rPr>
          <w:rFonts w:ascii="Consolas" w:cs="Consolas" w:eastAsia="Consolas" w:hAnsi="Consolas"/>
          <w:sz w:val="20"/>
          <w:szCs w:val="20"/>
        </w:rPr>
        <w:t xml:space="preserve">skipped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t xml:space="preserve"> rather than crashing the harness — which keeps the leaderboard interpretable when, for example, a CI machine lacks the TimesFM checkpoint.</w:t>
      </w:r>
    </w:p>
    <w:p>
      <w:pPr>
        <w:spacing w:after="80"/>
      </w:pPr>
      <w:r>
        <w:rPr>
          <w:b/>
          <w:bCs/>
        </w:rPr>
        <w:t xml:space="preserve">Metrics module </w:t>
      </w:r>
      <w:r>
        <w:t xml:space="preserve">(</w:t>
      </w:r>
      <w:r>
        <w:rPr>
          <w:rFonts w:ascii="Consolas" w:cs="Consolas" w:eastAsia="Consolas" w:hAnsi="Consolas"/>
          <w:sz w:val="20"/>
          <w:szCs w:val="20"/>
        </w:rPr>
        <w:t xml:space="preserve">backend/forecast/metrics.py</w:t>
      </w:r>
      <w:r>
        <w:t xml:space="preserve">): MAE, RMSE, MAPE, MASE, directional accuracy, and a </w:t>
      </w:r>
      <w:r>
        <w:rPr>
          <w:rFonts w:ascii="Consolas" w:cs="Consolas" w:eastAsia="Consolas" w:hAnsi="Consolas"/>
          <w:sz w:val="20"/>
          <w:szCs w:val="20"/>
        </w:rPr>
        <w:t xml:space="preserve">summarize_forecast()</w:t>
      </w:r>
      <w:r>
        <w:t xml:space="preserve"> roll-up that returns all five at once. MASE is computed against a naive-1-step baseline on the training set, which is the standard Hyndman convention.</w:t>
      </w:r>
    </w:p>
    <w:p>
      <w:pPr>
        <w:pStyle w:val="Heading2"/>
        <w:spacing w:after="80" w:before="220"/>
      </w:pPr>
      <w:r>
        <w:t xml:space="preserve">2.4 Real-data evaluation</w:t>
      </w:r>
    </w:p>
    <w:p>
      <w:pPr>
        <w:spacing w:after="80"/>
      </w:pPr>
      <w:r>
        <w:t xml:space="preserve">Real prices come through </w:t>
      </w:r>
      <w:r>
        <w:rPr>
          <w:rFonts w:ascii="Consolas" w:cs="Consolas" w:eastAsia="Consolas" w:hAnsi="Consolas"/>
          <w:sz w:val="20"/>
          <w:szCs w:val="20"/>
        </w:rPr>
        <w:t xml:space="preserve">backend/forecast/real_data.py</w:t>
      </w:r>
      <w:r>
        <w:t xml:space="preserve">, which wraps yfinance with a configurable history window (1y / 2y / 5y / 10y) and a 30-minute in-process cache. The same harness logic is reused: pick a ticker, choose a held-out tail length, fit on the prefix, forecast forward, and score on the overlap. The dashboard's Forecast → Runner subview is a thin wrapper around this code path.</w:t>
      </w:r>
    </w:p>
    <w:p>
      <w:pPr>
        <w:pStyle w:val="Heading2"/>
        <w:spacing w:after="80" w:before="220"/>
      </w:pPr>
      <w:r>
        <w:t xml:space="preserve">2.5 CLI entry points</w:t>
      </w:r>
    </w:p>
    <w:p>
      <w:pPr>
        <w:spacing w:after="80"/>
      </w:pPr>
      <w:r>
        <w:t xml:space="preserve">Two scripts in </w:t>
      </w:r>
      <w:r>
        <w:rPr>
          <w:rFonts w:ascii="Consolas" w:cs="Consolas" w:eastAsia="Consolas" w:hAnsi="Consolas"/>
          <w:sz w:val="20"/>
          <w:szCs w:val="20"/>
        </w:rPr>
        <w:t xml:space="preserve">scripts/</w:t>
      </w:r>
      <w:r>
        <w:t xml:space="preserve"> let you reproduce results from the command line without touching the dashboard: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eval_forecast.sh</w:t>
      </w:r>
      <w:r>
        <w:t xml:space="preserve"> — runs the full toy leaderboard and prints overall + per-series tables, identical in shape to what the UI 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scripts/eval_real_ticker.py</w:t>
      </w:r>
      <w:r>
        <w:t xml:space="preserve"> — runs the real-data evaluation on a CLI-supplied ticker. Useful for batching or piping into a notebook.</w:t>
      </w:r>
    </w:p>
    <w:p>
      <w:pPr>
        <w:pStyle w:val="Heading2"/>
        <w:spacing w:after="80" w:before="220"/>
      </w:pPr>
      <w:r>
        <w:t xml:space="preserve">2.6 Test coverage for sub-component A</w:t>
      </w:r>
    </w:p>
    <w:p>
      <w:pPr>
        <w:spacing w:after="80"/>
      </w:pPr>
      <w:r>
        <w:t xml:space="preserve">Located in backend/tests/test_forecast.py and backend/tests/test_metrics.py. Highlights of the assertions: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model produces an in-bounds forecast on the AR(1) and sine series.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ARIMA recovers reasonable structure on AR(1) (asserted via AIC ordering).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MLP and LSTM clear a low-bar floor on noisy_price; they aren't expected to dominate, but a regression that drops them to random-walk levels is caught.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TimesFM is exercised under a mock when the dependency is absent (so CI without the 925MB checkpoint still passes).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Metrics module is unit-tested against analytic ground truth for MAE/RMSE/MAPE/MASE.</w:t>
      </w:r>
    </w:p>
    <w:p>
      <w:pPr>
        <w:pStyle w:val="Heading1"/>
        <w:spacing w:after="120" w:before="360"/>
      </w:pPr>
      <w:r>
        <w:t xml:space="preserve">3. Sub-component B — Text-feed synthesis</w:t>
      </w:r>
    </w:p>
    <w:p>
      <w:pPr>
        <w:pStyle w:val="Heading2"/>
        <w:spacing w:after="80" w:before="220"/>
      </w:pPr>
      <w:r>
        <w:t xml:space="preserve">3.1 Pipeline</w:t>
      </w:r>
    </w:p>
    <w:p>
      <w:pPr>
        <w:spacing w:after="80"/>
      </w:pPr>
      <w:r>
        <w:t xml:space="preserve">The pipeline runs every five minutes via APScheduler (see </w:t>
      </w:r>
      <w:r>
        <w:rPr>
          <w:rFonts w:ascii="Consolas" w:cs="Consolas" w:eastAsia="Consolas" w:hAnsi="Consolas"/>
          <w:sz w:val="20"/>
          <w:szCs w:val="20"/>
        </w:rPr>
        <w:t xml:space="preserve">backend/scheduler.py</w:t>
      </w:r>
      <w:r>
        <w:t xml:space="preserve">) and is structured as:</w:t>
      </w:r>
    </w:p>
    <w:p>
      <w:pPr>
        <w:spacing w:after="80"/>
      </w:pPr>
      <w:r>
        <w:rPr>
          <w:i/>
          <w:iCs/>
        </w:rPr>
        <w:t xml:space="preserve">provider fetch → dedup → VADER sentiment → entity-to-ticker mapping → aggregation → DB persistence</w:t>
      </w:r>
    </w:p>
    <w:p>
      <w:pPr>
        <w:spacing w:after="80"/>
      </w:pPr>
      <w:r>
        <w:t xml:space="preserve">All steps are async (</w:t>
      </w:r>
      <w:r>
        <w:rPr>
          <w:rFonts w:ascii="Consolas" w:cs="Consolas" w:eastAsia="Consolas" w:hAnsi="Consolas"/>
          <w:sz w:val="20"/>
          <w:szCs w:val="20"/>
        </w:rPr>
        <w:t xml:space="preserve">asyncio + aiosqlite</w:t>
      </w:r>
      <w:r>
        <w:t xml:space="preserve">), so a slow provider response does not stall the others. Each provider class exposes a uniform </w:t>
      </w:r>
      <w:r>
        <w:rPr>
          <w:rFonts w:ascii="Consolas" w:cs="Consolas" w:eastAsia="Consolas" w:hAnsi="Consolas"/>
          <w:sz w:val="20"/>
          <w:szCs w:val="20"/>
        </w:rPr>
        <w:t xml:space="preserve">async fetch_latest()</w:t>
      </w:r>
      <w:r>
        <w:t xml:space="preserve"> returning normalized records before the rest of the pipeline ever sees them.</w:t>
      </w:r>
    </w:p>
    <w:p>
      <w:pPr>
        <w:pStyle w:val="Heading2"/>
        <w:spacing w:after="80" w:before="220"/>
      </w:pPr>
      <w:r>
        <w:t xml:space="preserve">3.2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1500"/>
        <w:gridCol w:w="2860"/>
      </w:tblGrid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Provider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Auth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Marketaux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backend/news/providers.py :: MarketauxProvider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API key (free tier)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Pulls latest by ticker hint or global feed; 30-item ceiling per call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NewsAPI.ai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backend/news/providers.py :: NewsApiAiProvider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API key (free tier)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Broader catalogue; entities tagged by NewsAPI on their side, used as a hint into mapping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EODHD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backend/news/providers.py :: EodhdProvider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API key (free tier)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Finance-specific; ticker-centric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>Dedup is enforced at the database layer with a unique index on </w:t>
      </w:r>
      <w:r>
        <w:rPr>
          <w:rFonts w:ascii="Consolas" w:cs="Consolas" w:eastAsia="Consolas" w:hAnsi="Consolas"/>
          <w:sz w:val="20"/>
          <w:szCs w:val="20"/>
        </w:rPr>
        <w:t xml:space="preserve">(source, external_id)</w:t>
      </w:r>
      <w:r>
        <w:t xml:space="preserve"> and an </w:t>
      </w:r>
      <w:r>
        <w:rPr>
          <w:rFonts w:ascii="Consolas" w:cs="Consolas" w:eastAsia="Consolas" w:hAnsi="Consolas"/>
          <w:sz w:val="20"/>
          <w:szCs w:val="20"/>
        </w:rPr>
        <w:t xml:space="preserve">ON CONFLICT DO NOTHING</w:t>
      </w:r>
      <w:r>
        <w:t xml:space="preserve"> on insert. Re-running a fetch never produces duplicate rows, even if two providers happen to surface the same wire story.</w:t>
      </w:r>
    </w:p>
    <w:p>
      <w:pPr>
        <w:pStyle w:val="Heading2"/>
        <w:spacing w:after="80" w:before="220"/>
      </w:pPr>
      <w:r>
        <w:t xml:space="preserve">3.3 Sentiment scoring</w:t>
      </w:r>
    </w:p>
    <w:p>
      <w:pPr>
        <w:spacing w:after="80"/>
      </w:pPr>
      <w:r>
        <w:t xml:space="preserve">Sentiment lives in </w:t>
      </w:r>
      <w:r>
        <w:rPr>
          <w:rFonts w:ascii="Consolas" w:cs="Consolas" w:eastAsia="Consolas" w:hAnsi="Consolas"/>
          <w:sz w:val="20"/>
          <w:szCs w:val="20"/>
        </w:rPr>
        <w:t xml:space="preserve">backend/news/sentiment.py</w:t>
      </w:r>
      <w:r>
        <w:t xml:space="preserve">. The base scorer is VADER (Valence Aware Dictionary). On top of it I added a small finance-lexicon overlay that nudges signs for terms VADER systematically gets wrong in financial writing — for example, "miss," "guidance cut," or "downgrade" carry a stronger negative pull than VADER assigns by default. The overlay is intentionally minimal; the goal was a correct floor, not a hand-tuned model.</w:t>
      </w:r>
    </w:p>
    <w:p>
      <w:pPr>
        <w:pStyle w:val="Heading2"/>
        <w:spacing w:after="80" w:before="220"/>
      </w:pPr>
      <w:r>
        <w:t xml:space="preserve">3.4 Entity-to-ticker mapping and cross-market spillover</w:t>
      </w:r>
    </w:p>
    <w:p>
      <w:pPr>
        <w:spacing w:after="80"/>
      </w:pPr>
      <w:r>
        <w:t xml:space="preserve">Mapping logic is at </w:t>
      </w:r>
      <w:r>
        <w:rPr>
          <w:rFonts w:ascii="Consolas" w:cs="Consolas" w:eastAsia="Consolas" w:hAnsi="Consolas"/>
          <w:sz w:val="20"/>
          <w:szCs w:val="20"/>
        </w:rPr>
        <w:t xml:space="preserve">backend/news/mapping.py</w:t>
      </w:r>
      <w:r>
        <w:t xml:space="preserve"> and works in two passes: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Direct symbols. </w:t>
      </w:r>
      <w:r>
        <w:t xml:space="preserve">Tickers explicitly named in the headline (e.g. "NVDA crushes earnings") are extracted via regex against the universe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Sector / macro keywords. </w:t>
      </w:r>
      <w:r>
        <w:t xml:space="preserve">If no direct ticker is found, a curated keyword dictionary routes the headline to the most plausible sector ETF or macro proxy. This is where the spillover routing lives.</w:t>
      </w:r>
    </w:p>
    <w:p>
      <w:pPr>
        <w:spacing w:after="80"/>
      </w:pPr>
      <w:r>
        <w:t xml:space="preserve">Examples encoded in the mapping (verbatim from mapping.py):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Headline cue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Routes to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"hong kong", "china", "beijing", "shanghai"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EEM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Cross-market exposure via emerging-markets ETF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"korea", "taiwan", "india"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EEM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Same — broad EM proxy until/unless a single-country ETF is added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"fed", "federal reserve", "fomc", "yield", "bond"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TLT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Rate-sensitive macro exposure via long Treasuries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"oil", "opec", "crude"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XLE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Sector ETF for energy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"semiconductor", "chips", "AI"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XLK / SMH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Tech / semis exposure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20"/>
      </w:pPr>
      <w:r>
        <w:t xml:space="preserve">3.5 Toy harness with accuracy floors</w:t>
      </w:r>
    </w:p>
    <w:p>
      <w:pPr>
        <w:spacing w:after="80"/>
      </w:pPr>
      <w:r>
        <w:t xml:space="preserve">Located at </w:t>
      </w:r>
      <w:r>
        <w:rPr>
          <w:rFonts w:ascii="Consolas" w:cs="Consolas" w:eastAsia="Consolas" w:hAnsi="Consolas"/>
          <w:sz w:val="20"/>
          <w:szCs w:val="20"/>
        </w:rPr>
        <w:t xml:space="preserve">backend/news/toy.py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backend/news/toy_eval.py</w:t>
      </w:r>
      <w:r>
        <w:t xml:space="preserve">, and exercised by </w:t>
      </w:r>
      <w:r>
        <w:rPr>
          <w:rFonts w:ascii="Consolas" w:cs="Consolas" w:eastAsia="Consolas" w:hAnsi="Consolas"/>
          <w:sz w:val="20"/>
          <w:szCs w:val="20"/>
        </w:rPr>
        <w:t xml:space="preserve">backend/tests/test_news_toy.py</w:t>
      </w:r>
      <w:r>
        <w:t xml:space="preserve">. The harness uses a hand-curated set of 15+ labelled headlines (each with a target sentiment direction and an expected ticker set) and reports three metrics: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266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What it measures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Floor enforced in pytest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sentiment_accuracy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VADER + overlay agrees with the labelled direction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≥ 70 %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ticker_recall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Mapping returns at least one of the expected tickers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≥ 80 %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aggregate_sign_correct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After signal aggregation, per-ticker sign matches the intuitive prior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≥ 66 %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>These floors are intentionally soft. The point is to fail loudly if a future change causes a regression — not to claim that 70% sentiment accuracy is the goal. As you put it in February: "let the model fail or establish some minimum performance." Right now sub-component B is at the second of those.</w:t>
      </w:r>
    </w:p>
    <w:p>
      <w:pPr>
        <w:pStyle w:val="Heading2"/>
        <w:spacing w:after="80" w:before="220"/>
      </w:pPr>
      <w:r>
        <w:t xml:space="preserve">3.6 Test coverage for sub-component 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test_sentiment.py — VADER + finance overlay against a small labelled 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test_signals.py — extract_tickers() resolves direct symbols, falls back to mapping, respects an explicit hint, and routes "fed" to TLT.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test_news_toy.py — the three accuracy floors above.</w:t>
      </w:r>
    </w:p>
    <w:p>
      <w:pPr>
        <w:pStyle w:val="Heading1"/>
        <w:spacing w:after="120" w:before="360"/>
      </w:pPr>
      <w:r>
        <w:t xml:space="preserve">4. Decoupling guarantee</w:t>
      </w:r>
    </w:p>
    <w:p>
      <w:pPr>
        <w:spacing w:after="80"/>
      </w:pPr>
      <w:r>
        <w:t xml:space="preserve">Per the February 6 email, the two sub-components do not need to talk yet, and they don't. This was verified by grep before writing this section: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$ grep -rn "from .*news\|import .*news" backend/forecast/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→ only match is a comment in backend/forecast/__init__.py explicitly stating the package does not import from backend.news.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$ grep -rn "from .*forecast\|import .*forecast" backend/news/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→ no matches.</w:t>
      </w:r>
    </w:p>
    <w:p>
      <w:pPr>
        <w:spacing w:after="80"/>
      </w:pPr>
      <w:r>
        <w:t xml:space="preserve">Either sub-component can be lifted out and used in isolation. The forecasting package depends only on numpy / pandas / statsmodels / torch / timesfm; the news package depends only on httpx / SQLAlchemy / VADER. Neither imports any of the v2 modules either (signals, portfolio, backtest, api, market).</w:t>
      </w:r>
    </w:p>
    <w:p>
      <w:pPr>
        <w:pStyle w:val="Heading1"/>
        <w:spacing w:after="120" w:before="360"/>
      </w:pPr>
      <w:r>
        <w:t xml:space="preserve">5. Verification</w:t>
      </w:r>
    </w:p>
    <w:p>
      <w:pPr>
        <w:pStyle w:val="Heading2"/>
        <w:spacing w:after="80" w:before="220"/>
      </w:pPr>
      <w:r>
        <w:t xml:space="preserve">5.1 Test suite</w:t>
      </w:r>
    </w:p>
    <w:p>
      <w:pPr>
        <w:spacing w:after="80"/>
      </w:pPr>
      <w:r>
        <w:t xml:space="preserve">62 / 62 tests pass under pytest as of this writing. Distribution: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4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Approx. count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test_forecast.py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~20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Per-model behaviour on toy + AR(1) series, status flags, dependency graceful-fail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test_metrics.py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~10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Forecast metrics against analytic ground truth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test_news_toy.py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Sub-component B accuracy floors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test_sentiment.py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~6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VADER + finance overlay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test_signals.py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~10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Ticker extraction, hint handling, spillover routing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test_backtester.py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~12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Vectorized engine + each metric in the suite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20"/>
      </w:pPr>
      <w:r>
        <w:t xml:space="preserve">5.2 Codebase size (LOC, excluding tests + 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46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Package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Approx. lines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backend/forecast/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~1,200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Sub-component A (models + harness + metrics + real-data loader)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backend/news/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~1,000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Sub-component B (providers + sentiment + mapping + aggregator + toy)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backend/backtest/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~600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 — vectorized engine + metrics suite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backend/portfolio/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~350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 — paper trader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backend/api/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~600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 — FastAPI routes + WebSocket broadcaster</w:t>
            </w:r>
          </w:p>
        </w:tc>
      </w:tr>
    </w:tbl>
    <w:p>
      <w:pPr>
        <w:pStyle w:val="Heading1"/>
        <w:spacing w:after="120" w:before="360"/>
      </w:pPr>
      <w:r>
        <w:t xml:space="preserve">6. Beyond the original ask — integrated v2 layer</w:t>
      </w:r>
    </w:p>
    <w:p>
      <w:pPr>
        <w:spacing w:after="80"/>
      </w:pPr>
      <w:r>
        <w:t xml:space="preserve">This section describes work that was not part of the February 6 ask. It pre-dated the conversation and was kept runnable as a research dashboard, but it is explicitly downstream of the two sub-components above and not on the critical path.</w:t>
      </w:r>
    </w:p>
    <w:p>
      <w:pPr>
        <w:pStyle w:val="Heading2"/>
        <w:spacing w:after="80" w:before="220"/>
      </w:pPr>
      <w:r>
        <w:t xml:space="preserve">6.1 Vectorized backtester</w:t>
      </w:r>
    </w:p>
    <w:p>
      <w:pPr>
        <w:spacing w:after="80"/>
      </w:pPr>
      <w:r>
        <w:t xml:space="preserve">Located in </w:t>
      </w:r>
      <w:r>
        <w:rPr>
          <w:rFonts w:ascii="Consolas" w:cs="Consolas" w:eastAsia="Consolas" w:hAnsi="Consolas"/>
          <w:sz w:val="20"/>
          <w:szCs w:val="20"/>
        </w:rPr>
        <w:t xml:space="preserve">backend/backtest/engine.py</w:t>
      </w:r>
      <w:r>
        <w:t xml:space="preserve">. Configurable starting cash, universe, date range, max single-name weight, transaction costs in basis points on |Δweight| turnover, and rebalance frequency (daily, weekly, monthly). Between rebalances the portfolio drifts with the market. Returns the full equity curve, drawdown curve, trade log, and metrics summary.</w:t>
      </w:r>
    </w:p>
    <w:p>
      <w:pPr>
        <w:spacing w:after="80"/>
      </w:pPr>
      <w:r>
        <w:t xml:space="preserve">Metrics implemented (one function each in backend/backtest/metrics.py):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Function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Total return / annualized return / annualized vol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total_return, annual_return, annual_vol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Sharpe / Sortino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sharpe, sortino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Max drawdown / Calmar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max_drawdown, calmar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Beta / alpha (vs benchmark, annualized)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beta_alpha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Tracking error / Information ratio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tracking_error, information_ratio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Win rate / hit rate vs benchmark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win_rate, hit_rate_vs_benchmark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Best / worst month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best_worst_month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One-call summary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summarize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20"/>
      </w:pPr>
      <w:r>
        <w:t xml:space="preserve">6.2 Paper trader</w:t>
      </w:r>
    </w:p>
    <w:p>
      <w:pPr>
        <w:spacing w:after="80"/>
      </w:pPr>
      <w:r>
        <w:t xml:space="preserve">A live "house model" running on a 10-minute scheduler tick during market hours. On each tick: refresh news → recompute signals → blend with benchmark (70% active share by default) → mark to market → emit any buy / sell trades that exceed a $50 noise threshold → persist a snapshot row. SPY is held in parallel as a passive benchmark using the same starting capital. State persists across restarts via </w:t>
      </w:r>
      <w:r>
        <w:rPr>
          <w:rFonts w:ascii="Consolas" w:cs="Consolas" w:eastAsia="Consolas" w:hAnsi="Consolas"/>
          <w:sz w:val="20"/>
          <w:szCs w:val="20"/>
        </w:rPr>
        <w:t xml:space="preserve">PortfolioSnapshot</w:t>
      </w:r>
      <w:r>
        <w:t xml:space="preserve"> in SQLite.</w:t>
      </w:r>
    </w:p>
    <w:p>
      <w:pPr>
        <w:spacing w:after="80"/>
      </w:pPr>
      <w:r>
        <w:t xml:space="preserve">Recent hardening (this week): cents-rounding on persisted equity / cash / benchmark to prevent floating-point noise from distorting flat-market chart auto-scaling; explicit liquidation trades for tickers that drop out of the target weights (so the trade log stays consistent with the donut allocation); deferred benchmark seeding when yfinance is offline at startup.</w:t>
      </w:r>
    </w:p>
    <w:p>
      <w:pPr>
        <w:pStyle w:val="Heading2"/>
        <w:spacing w:after="80" w:before="220"/>
      </w:pPr>
      <w:r>
        <w:t xml:space="preserve">6.3 Dashboard</w:t>
      </w:r>
    </w:p>
    <w:p>
      <w:pPr>
        <w:spacing w:after="80"/>
      </w:pPr>
      <w:r>
        <w:t xml:space="preserve">Single-page FastAPI app with a vanilla-JS frontend (no build step, no framework dependencies). Five tabs: </w:t>
      </w:r>
      <w:r>
        <w:rPr>
          <w:b/>
          <w:bCs/>
        </w:rPr>
        <w:t xml:space="preserve">Live</w:t>
      </w:r>
      <w:r>
        <w:t xml:space="preserve"> (paper trader status), </w:t>
      </w:r>
      <w:r>
        <w:rPr>
          <w:b/>
          <w:bCs/>
        </w:rPr>
        <w:t xml:space="preserve">Forecast</w:t>
      </w:r>
      <w:r>
        <w:t xml:space="preserve"> (sub-component A — Runner + Leaderboard subviews), </w:t>
      </w:r>
      <w:r>
        <w:rPr>
          <w:b/>
          <w:bCs/>
        </w:rPr>
        <w:t xml:space="preserve">Backtest</w:t>
      </w:r>
      <w:r>
        <w:t xml:space="preserve"> (v2 backtester configurator + results), </w:t>
      </w:r>
      <w:r>
        <w:rPr>
          <w:b/>
          <w:bCs/>
        </w:rPr>
        <w:t xml:space="preserve">News</w:t>
      </w:r>
      <w:r>
        <w:t xml:space="preserve"> (sub-component B feed), </w:t>
      </w:r>
      <w:r>
        <w:rPr>
          <w:b/>
          <w:bCs/>
        </w:rPr>
        <w:t xml:space="preserve">Trades</w:t>
      </w:r>
      <w:r>
        <w:t xml:space="preserve"> (paper-trade log). Streaming updates over WebSocket. Visual style is intentionally restrained (Bloomberg-terminal-ish) to keep it on the research-tool side of the aesthetic line rather than the consumer-product side.</w:t>
      </w:r>
    </w:p>
    <w:p>
      <w:pPr>
        <w:pStyle w:val="Heading1"/>
        <w:spacing w:after="120" w:before="360"/>
      </w:pPr>
      <w:r>
        <w:t xml:space="preserve">7. Repository layout</w:t>
      </w:r>
    </w:p>
    <w:p>
      <w:pPr>
        <w:spacing w:after="80"/>
      </w:pPr>
      <w:r>
        <w:t xml:space="preserve">Annotated tree. Sub-component A and sub-component B are intentionally siblings, each self-contained. v2 modules live alongside but never reach into the sub-component packages.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00"/>
        <w:gridCol w:w="18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Path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What lives here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backend/forecast/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9 forecasters + base protocol + harness + toy + metrics + real-data loader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Sub-component 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backend/news/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providers + sentiment + mapping + aggregator + toy harness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Sub-component B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backend/signals/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thin glue from news → per-ticker score (used only by v2)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backend/portfolio/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paper trader + state persistence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backend/backtest/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vectorized engine + metrics suite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backend/api/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FastAPI routes + WebSocket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backend/market/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yfinance abstraction + caching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shared utility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backend/core/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config, db, logging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shared utility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backend/tests/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62 tests across both sub-components and v2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tests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docs/FORECAST.md, docs/TEXT_FEED.md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design notes per sub-component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docs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frontend/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single-file dashboard (HTML + CSS + JS)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scripts/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CLI eval entry points + run.sh launcher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ops</w:t>
            </w:r>
          </w:p>
        </w:tc>
      </w:tr>
    </w:tbl>
    <w:p>
      <w:pPr>
        <w:pStyle w:val="Heading1"/>
        <w:spacing w:after="120" w:before="360"/>
      </w:pPr>
      <w:r>
        <w:t xml:space="preserve">8. Next steps</w:t>
      </w:r>
    </w:p>
    <w:p>
      <w:pPr>
        <w:spacing w:after="80"/>
      </w:pPr>
      <w:r>
        <w:t xml:space="preserve">Items still on the table from our prior conversations, in roughly the order I'd suggest tackling them: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User-submitted models. </w:t>
      </w:r>
      <w:r>
        <w:t xml:space="preserve">Extend </w:t>
      </w:r>
      <w:r>
        <w:rPr>
          <w:rFonts w:ascii="Consolas" w:cs="Consolas" w:eastAsia="Consolas" w:hAnsi="Consolas"/>
          <w:sz w:val="20"/>
          <w:szCs w:val="20"/>
        </w:rPr>
        <w:t xml:space="preserve">ALL_MODELS</w:t>
      </w:r>
      <w:r>
        <w:t xml:space="preserve"> into a registration mechanism that accepts external code via a sandboxed runner (probably a subprocess + import-by-path with resource limits). The protocol is already uniform, so the inbound contract is just "implement Forecaster, register a name."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 leaderboard. </w:t>
      </w:r>
      <w:r>
        <w:t xml:space="preserve">Persist toy + real-data eval results to a leaderboard table keyed by (model_name, dataset, horizon). The Forecast tab's leaderboard subview is already wired against an API; it would just need a new endpoint that aggregates across stored runs rather than re-running on demand.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 strategy assistant. </w:t>
      </w:r>
      <w:r>
        <w:t xml:space="preserve">I have not started this. The most natural integration point is a chat panel on the dashboard that has read-only tool access to forecasts and news state and can propose allocations or backtest configurations. Open question: which model and which guardrails.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Tighter A → portfolio coupling. </w:t>
      </w:r>
      <w:r>
        <w:t xml:space="preserve">Currently the v2 paper trader uses sub-component B (news signals) but not sub-component A (forecasts). One could imagine a small adapter that lets a forecast horizon's directional accuracy condition the active-share blending. Not started, intentionally — it would re-couple the two sub-components and I wanted to wait for your read on whether that's premature.</w:t>
      </w:r>
    </w:p>
    <w:p>
      <w:pPr>
        <w:pStyle w:val="Heading1"/>
        <w:spacing w:after="120" w:before="360"/>
      </w:pPr>
      <w:r>
        <w:t xml:space="preserve">9. Closing notes</w:t>
      </w:r>
    </w:p>
    <w:p>
      <w:pPr>
        <w:spacing w:after="80"/>
      </w:pPr>
      <w:r>
        <w:t xml:space="preserve">Live demo URL (running on my laptop until I'm asked to take it down):</w:t>
      </w:r>
    </w:p>
    <w:p>
      <w:pPr>
        <w:spacing w:after="120"/>
      </w:pPr>
      <w:hyperlink w:history="1" r:id="rIdghb0dneoof5lmgwwp2o4w">
        <w:r>
          <w:rPr>
            <w:rStyle w:val="Hyperlink"/>
          </w:rPr>
          <w:t xml:space="preserve">https://festival-thoughts-conversion-twice.trycloudflare.com/</w:t>
        </w:r>
      </w:hyperlink>
    </w:p>
    <w:p>
      <w:pPr>
        <w:spacing w:after="80"/>
      </w:pPr>
      <w:r>
        <w:t xml:space="preserve">Source code, tests, docs, and the launcher scripts are all in the repository; happy to share access however is most convenient.</w:t>
      </w:r>
    </w:p>
    <w:p>
      <w:pPr>
        <w:spacing w:after="80"/>
      </w:pPr>
      <w:r>
        <w:t xml:space="preserve">On meeting times — you mentioned next week May 4–6 isn't great. I'm flexible the rest of next week and the following week; I'll send a few specific windows in the email body so we can pin something down before the deadline you're chasing.</w:t>
      </w:r>
    </w:p>
    <w:p>
      <w:pPr>
        <w:spacing w:after="80"/>
      </w:pPr>
      <w:r>
        <w:t xml:space="preserve">Thank you for the patience with the long radio silence. Any feedback would be appreciated, especially on whether the sub-component scope is what you had in mind or whether it should be narrower / broader before I push further.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News-Engine Implementation Report  ·  Sam Geng  ·  Apr 28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  <w:style w:type="paragraph" w:styleId="Hyperlink">
    <w:name w:val="Hyperlink"/>
    <w:basedOn w:val="Normal"/>
    <w:rPr>
      <w:color w:val="1F4E79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hb0dneoof5lmgwwp2o4w" Type="http://schemas.openxmlformats.org/officeDocument/2006/relationships/hyperlink" Target="https://festival-thoughts-conversion-twice.trycloudflare.com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News-Engine Implementation Report</dc:title>
  <dc:creator>Sam Geng</dc:creator>
  <dc:description>Status report for Prof. Vikas Singh, April 28 2026</dc:description>
  <cp:lastModifiedBy>Un-named</cp:lastModifiedBy>
  <cp:revision>1</cp:revision>
  <dcterms:created xsi:type="dcterms:W3CDTF">2026-04-28T14:47:18.995Z</dcterms:created>
  <dcterms:modified xsi:type="dcterms:W3CDTF">2026-04-28T14:47:18.996Z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