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характеристика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информационной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Симуляция технологии обогащения угля шахты “Северная”, средствами 3D моделирования и визуализации.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Основания для проведения работ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Работа выполняется на основании договоренности с заказчиком в качестве дипломной работы для студентов ИИТМА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Заказчик и разработчик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Заказчик: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Адрес фактический: г. Кемерово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Телефон: 8-923-489-5240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Разработчики: Жидков Андрей Евгеньевич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Коваль Кирилл Александрович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Адрес фактический: г. Кемерово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Телефон: 8-923-600-4520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  8-904-961-2042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Плановые сроки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Сроки уточняются в течение недели.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Приблизительно до конца июня 2015 года.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финансирования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Проект выполняется в рамках благотворительности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оформления и предъявления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Работы по созданию анимированной 3D модели (Обогатиттельной фабрики), а также обучающего фильма по ней, будут представлены непременно заказчику или должносному лицу назначеному следить за ходом выполнения работ.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и цели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Модель предзначначена, для демонстрации, как сотрудникам, так и на прочих презентациях производственной цепочки. Может использоваться с целью обучения и подготовлению будущих сотрудников, для работы на предприятии.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927" w:hanging="360"/>
        <w:contextualSpacing w:val="1"/>
        <w:rPr/>
      </w:pPr>
      <w:r w:rsidDel="00000000" w:rsidR="00000000" w:rsidRPr="00000000">
        <w:rPr>
          <w:rtl w:val="0"/>
        </w:rPr>
        <w:t xml:space="preserve">Разбор модели на составные части для получения более детальной информации о системе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927" w:hanging="360"/>
        <w:contextualSpacing w:val="1"/>
        <w:rPr/>
      </w:pPr>
      <w:r w:rsidDel="00000000" w:rsidR="00000000" w:rsidRPr="00000000">
        <w:rPr>
          <w:rtl w:val="0"/>
        </w:rPr>
        <w:t xml:space="preserve">Симуляция технологии обогащения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927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системы в различных обучающих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Симуляция технологии обогащения угля, или ее части, должны в полной мере отражать всю информацию об этой технологии на всех этапах работы системы. Для этого вся модель должна быть разбита на подэтапы (части основной модели).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Каждая часть основной системы должна быть согласована с другими ее частями по технологии, и не нарушать последовательность всей системы.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Каждый этап системы должен, в полной мере, быть детально визуализирован: наложены соответствующие материалы и текстуры, проработана геометрика всех объектов, создана анимация движущихся частей и проработаны физические свойства объектов при необходимости.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Кроме всего прочего, система не должна быть перегружена как в целом, так и на ее этапах, иначе это приведет к снижению эффективности симуляции системы и ее быстрой модификации. Для этого, в модели не должно быть много анимированных частей, использованы среднеполигональные объекты, а также текстуры небольшого разрешения.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851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численности и квалификации персонала системы и режиму его работы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состав персонала, необходимого для обеспечения эксплуатации модели в рамках соответствующих подразделений Заказчика, необходимо выделение следующих ответственных лиц: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- 3D художник, дизайнер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Аниматор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Данные лица должны выполнять следующие функциональные обязанности: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- 3D художник должен своевременно вносить измененияв существующую модель при изменении самой технологии или ее частей, накладывать материалы и текстуры, предоствлять аниматору готовые смоделированные объекты.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Аниматор должен задавать динамику объектов, задавать физические свойства объектов.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Показатели назначения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Обеспечение приспособляемости системы должно выполняться за счет: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модернизации (детализации) системы и ее частей;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модификации системы;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Table1"/>
        <w:bidi w:val="0"/>
        <w:tblW w:w="8655.0" w:type="dxa"/>
        <w:jc w:val="left"/>
        <w:tblInd w:w="-135.0" w:type="dxa"/>
        <w:tblLayout w:type="fixed"/>
        <w:tblLook w:val="0400"/>
      </w:tblPr>
      <w:tblGrid>
        <w:gridCol w:w="4311"/>
        <w:gridCol w:w="4344"/>
        <w:tblGridChange w:id="0">
          <w:tblGrid>
            <w:gridCol w:w="4311"/>
            <w:gridCol w:w="4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Вероятное условие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Ошибка открытия исходников модели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Восстановление по резервным копиям системы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Снижение быстродействия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Возврат к предыдущим версиям модели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Потеря объектов, анимации, текстур, материалов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Указание/импорт файлов/каталогов потеряных элементов модели, либо восстановление предыдущей версии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Надежность должна обеспечиваться за счет: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соблюдения правил эксплуатации и технического обслуживания программно-аппаратных средств;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предварительного обучения пользователей и обслуживающего персонала.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должна соответствовать следующим параметрам: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Среднее время восстановления 0,5 часов -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аварийной ситуацией понимается аварийное завершение процесса, выполняемого той или иной программой для работы с моделью, а также «зависание» этого процесса.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работе системы возможны следующие аварийные ситуации, которые влияют на надежность работы системы: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сбой в электроснабжении сети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сбой программы для работы с моделью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зависание программы при нехватке ресурсов ПО или ПК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 надежности оборудования предъявляются следующие требования: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в качестве аппаратных платформ должны использоваться средства с повышенной надежностью;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применение технических средств соответствующих классу решаемых задач;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Надежность аппаратных и программных средств должна обеспечиваться за счет следующих организационных мероприятий: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предварительного обучения пользователей и обслуживающего персонала;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соблюдения правил эксплуатации и технического обслуживания программно-аппаратных средств;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своевременное выполнение процедур резервного копирования данных.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Обеспечение информационное безопасности файлообменной cистемы должно удовлетворять следующим требованиям: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Защита cистемы должна обеспечиваться комплексом программно-технических средств и поддерживающих их организационных мер.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Программно-технические средства защиты не должны существенно ухудшать основные функциональные характеристики cистемы (надежность, быстродействие, возможность изменения конфигурации).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безопасности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Временной регламент реализации каждой функции, задачи</w:t>
      </w:r>
    </w:p>
    <w:tbl>
      <w:tblPr>
        <w:tblStyle w:val="Table2"/>
        <w:bidi w:val="0"/>
        <w:tblW w:w="8655.0" w:type="dxa"/>
        <w:jc w:val="left"/>
        <w:tblInd w:w="-135.0" w:type="dxa"/>
        <w:tblLayout w:type="fixed"/>
        <w:tblLook w:val="0400"/>
      </w:tblPr>
      <w:tblGrid>
        <w:gridCol w:w="4176"/>
        <w:gridCol w:w="4479"/>
        <w:tblGridChange w:id="0">
          <w:tblGrid>
            <w:gridCol w:w="4176"/>
            <w:gridCol w:w="447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Требования к временному регламенту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Создание, редактирование и удаление процессов сбора, обработки и загрузки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Определение и изменение расписания процессов сбора, обработки и загрузки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Весь период функционирования системы, при возникновении необходимости изменения расписания процессов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Ведение журналов результатов сбора, обработки и загрузки данных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Регулярно, при работе подсистемы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Оперативное уведомление пользователей обо всех нетипичных ситуациях в процессе работы подсистемы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Регулярно, при возникновении нештатной ситуации в процессе работы подсистемы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Требования к качеству реализации функций, задач</w:t>
      </w:r>
    </w:p>
    <w:tbl>
      <w:tblPr>
        <w:tblStyle w:val="Table3"/>
        <w:bidi w:val="0"/>
        <w:tblW w:w="8655.0" w:type="dxa"/>
        <w:jc w:val="left"/>
        <w:tblInd w:w="-135.0" w:type="dxa"/>
        <w:tblLayout w:type="fixed"/>
        <w:tblLook w:val="0400"/>
      </w:tblPr>
      <w:tblGrid>
        <w:gridCol w:w="3435"/>
        <w:gridCol w:w="2227"/>
        <w:gridCol w:w="2993"/>
        <w:tblGridChange w:id="0">
          <w:tblGrid>
            <w:gridCol w:w="3435"/>
            <w:gridCol w:w="2227"/>
            <w:gridCol w:w="299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Форма представления выходной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Характеристики точности и времени выполнения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Анимированные 3D модели обогатительной фабрики, идентичные оригиналу по функционалу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Скриншоты, видео, интерфейс 3D max.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Определяется регламентом эксплуатации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Анимированные 3D модели сырья, что будет изменяться по ходу производственной цепочки.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Скриншоты, видео, интерфейс 3D max.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60.0" w:type="dxa"/>
              <w:left w:w="135.0" w:type="dxa"/>
              <w:bottom w:w="60.0" w:type="dxa"/>
              <w:right w:w="13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Определяется регламентом эксплуатации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информационному обеспечению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Заказчик должен поставлять полную и точную информацию разработчикам. Желательно, чтобы был оговорен выезд на сам объект с возможностью сбора материала о работе предприятия, чтобы увидеть все процессы, для переноса их в систему.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Необходимы фотографии, видео, чертежи и прочие информационные материалы, что помогут точно реализовать объекты. В зависимости от качества поставляемой информации будут регулироваться сроки выполнения всего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08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реализации системы должно использоваться ПО компании Autodesk, предоставляющее возможность работать с 3D геометрикой и анимацией. Например, 3D MAX, Maya или AutoCAD.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создании динамики объектов, либо каких-либо анимированных 3D эффектов, должны использоваться инструменты этих же программ, либо сторонних программ, совместимых с ПО, в которой создавалась вся технология.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создании физических свойств объектов для наилучшей анимации элементов системы, должны использоваться инструменты/скрипты собственного написания, либо готовые скрипты того же ПО.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глобальной проработки освещения, а также для ее отдельных элементов, необходимо использовать плагин - систему рендеринга, VRay, не ниже версии 2.0.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Работы по созданию системы выполняются в 5-ти этапа: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Сбор информации и материалов для реализации проекта.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Создание эскизов 3D модели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Модификация и модернизация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Анимирование </w:t>
      </w:r>
      <w:r w:rsidDel="00000000" w:rsidR="00000000" w:rsidRPr="00000000">
        <w:rPr>
          <w:rtl w:val="0"/>
        </w:rPr>
        <w:t xml:space="preserve">3D</w:t>
      </w:r>
      <w:r w:rsidDel="00000000" w:rsidR="00000000" w:rsidRPr="00000000">
        <w:rPr>
          <w:rtl w:val="0"/>
        </w:rPr>
        <w:t xml:space="preserve"> моделей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Сдача проекта заказчику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red"/>
          <w:rtl w:val="0"/>
        </w:rPr>
        <w:t xml:space="preserve">{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Конкретные сроки выполнения стадий и этапов разработки и создания cистемы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927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 разработки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Договор №003-АКОУ от 10.11.2015г.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ГОСТ Р 50571.22-2000 «Электроустановки зданий».</w:t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27" w:firstLine="567"/>
      </w:pPr>
      <w:rPr/>
    </w:lvl>
    <w:lvl w:ilvl="1">
      <w:start w:val="1"/>
      <w:numFmt w:val="decimal"/>
      <w:lvlText w:val="%1.%2."/>
      <w:lvlJc w:val="left"/>
      <w:pPr>
        <w:ind w:left="927" w:firstLine="567"/>
      </w:pPr>
      <w:rPr/>
    </w:lvl>
    <w:lvl w:ilvl="2">
      <w:start w:val="1"/>
      <w:numFmt w:val="decimal"/>
      <w:lvlText w:val="%1.%2.%3."/>
      <w:lvlJc w:val="left"/>
      <w:pPr>
        <w:ind w:left="1287" w:firstLine="566.9999999999999"/>
      </w:pPr>
      <w:rPr/>
    </w:lvl>
    <w:lvl w:ilvl="3">
      <w:start w:val="1"/>
      <w:numFmt w:val="decimal"/>
      <w:lvlText w:val="%1.%2.%3.%4."/>
      <w:lvlJc w:val="left"/>
      <w:pPr>
        <w:ind w:left="1287" w:firstLine="566.9999999999999"/>
      </w:pPr>
      <w:rPr/>
    </w:lvl>
    <w:lvl w:ilvl="4">
      <w:start w:val="1"/>
      <w:numFmt w:val="decimal"/>
      <w:lvlText w:val="%1.%2.%3.%4.%5."/>
      <w:lvlJc w:val="left"/>
      <w:pPr>
        <w:ind w:left="1647" w:firstLine="566.9999999999999"/>
      </w:pPr>
      <w:rPr/>
    </w:lvl>
    <w:lvl w:ilvl="5">
      <w:start w:val="1"/>
      <w:numFmt w:val="decimal"/>
      <w:lvlText w:val="%1.%2.%3.%4.%5.%6."/>
      <w:lvlJc w:val="left"/>
      <w:pPr>
        <w:ind w:left="1647" w:firstLine="566.9999999999999"/>
      </w:pPr>
      <w:rPr/>
    </w:lvl>
    <w:lvl w:ilvl="6">
      <w:start w:val="1"/>
      <w:numFmt w:val="decimal"/>
      <w:lvlText w:val="%1.%2.%3.%4.%5.%6.%7."/>
      <w:lvlJc w:val="left"/>
      <w:pPr>
        <w:ind w:left="2007" w:firstLine="566.9999999999999"/>
      </w:pPr>
      <w:rPr/>
    </w:lvl>
    <w:lvl w:ilvl="7">
      <w:start w:val="1"/>
      <w:numFmt w:val="decimal"/>
      <w:lvlText w:val="%1.%2.%3.%4.%5.%6.%7.%8."/>
      <w:lvlJc w:val="left"/>
      <w:pPr>
        <w:ind w:left="2007" w:firstLine="566.9999999999999"/>
      </w:pPr>
      <w:rPr/>
    </w:lvl>
    <w:lvl w:ilvl="8">
      <w:start w:val="1"/>
      <w:numFmt w:val="decimal"/>
      <w:lvlText w:val="%1.%2.%3.%4.%5.%6.%7.%8.%9."/>
      <w:lvlJc w:val="left"/>
      <w:pPr>
        <w:ind w:left="2367" w:firstLine="566.999999999999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firstLine="567"/>
      </w:pPr>
      <w:rPr/>
    </w:lvl>
    <w:lvl w:ilvl="1">
      <w:start w:val="1"/>
      <w:numFmt w:val="decimal"/>
      <w:lvlText w:val="%1.%2"/>
      <w:lvlJc w:val="left"/>
      <w:pPr>
        <w:ind w:left="1080" w:firstLine="720"/>
      </w:pPr>
      <w:rPr/>
    </w:lvl>
    <w:lvl w:ilvl="2">
      <w:start w:val="1"/>
      <w:numFmt w:val="decimal"/>
      <w:lvlText w:val="%1.%2.%3"/>
      <w:lvlJc w:val="left"/>
      <w:pPr>
        <w:ind w:left="1593" w:firstLine="873.0000000000001"/>
      </w:pPr>
      <w:rPr/>
    </w:lvl>
    <w:lvl w:ilvl="3">
      <w:start w:val="1"/>
      <w:numFmt w:val="decimal"/>
      <w:lvlText w:val="%1.%2.%3.%4"/>
      <w:lvlJc w:val="left"/>
      <w:pPr>
        <w:ind w:left="1746" w:firstLine="1026"/>
      </w:pPr>
      <w:rPr/>
    </w:lvl>
    <w:lvl w:ilvl="4">
      <w:start w:val="1"/>
      <w:numFmt w:val="decimal"/>
      <w:lvlText w:val="%1.%2.%3.%4.%5"/>
      <w:lvlJc w:val="left"/>
      <w:pPr>
        <w:ind w:left="2259" w:firstLine="1179"/>
      </w:pPr>
      <w:rPr/>
    </w:lvl>
    <w:lvl w:ilvl="5">
      <w:start w:val="1"/>
      <w:numFmt w:val="decimal"/>
      <w:lvlText w:val="%1.%2.%3.%4.%5.%6"/>
      <w:lvlJc w:val="left"/>
      <w:pPr>
        <w:ind w:left="2412" w:firstLine="1332"/>
      </w:pPr>
      <w:rPr/>
    </w:lvl>
    <w:lvl w:ilvl="6">
      <w:start w:val="1"/>
      <w:numFmt w:val="decimal"/>
      <w:lvlText w:val="%1.%2.%3.%4.%5.%6.%7"/>
      <w:lvlJc w:val="left"/>
      <w:pPr>
        <w:ind w:left="2925" w:firstLine="1485"/>
      </w:pPr>
      <w:rPr/>
    </w:lvl>
    <w:lvl w:ilvl="7">
      <w:start w:val="1"/>
      <w:numFmt w:val="decimal"/>
      <w:lvlText w:val="%1.%2.%3.%4.%5.%6.%7.%8"/>
      <w:lvlJc w:val="left"/>
      <w:pPr>
        <w:ind w:left="3078" w:firstLine="1638"/>
      </w:pPr>
      <w:rPr/>
    </w:lvl>
    <w:lvl w:ilvl="8">
      <w:start w:val="1"/>
      <w:numFmt w:val="decimal"/>
      <w:lvlText w:val="%1.%2.%3.%4.%5.%6.%7.%8.%9"/>
      <w:lvlJc w:val="left"/>
      <w:pPr>
        <w:ind w:left="3591" w:firstLine="1791.0000000000002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567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