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F3D44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【私募名称】-【主要策略】</w:t>
      </w:r>
    </w:p>
    <w:p w14:paraId="6D7973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u w:val="single"/>
          <w:lang w:val="en-US" w:eastAsia="zh-CN"/>
        </w:rPr>
        <w:t>备注：修改后请删除对应的【】。段落分段以目前格式为主，不要随意增删段落。完成内容后请删除所有斜体的段落备注。如果某些内容找不到，则删除对应文字，正常情况下，经过详细尽调后，可填写90%以上的内容。</w:t>
      </w:r>
    </w:p>
    <w:p w14:paraId="517775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/>
          <w:i/>
          <w:iCs/>
          <w:color w:val="FF000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/>
          <w:iCs/>
          <w:color w:val="FF0000"/>
          <w:sz w:val="21"/>
          <w:szCs w:val="21"/>
          <w:u w:val="single"/>
          <w:lang w:val="en-US" w:eastAsia="zh-CN"/>
        </w:rPr>
        <w:t>参考材料中，不在模板中的内容，请仿照模板加进去，或者加在补充信息中。</w:t>
      </w:r>
    </w:p>
    <w:p w14:paraId="26C0B1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</w:pPr>
    </w:p>
    <w:p w14:paraId="71CF0E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尽调日期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：【】年【】月【】日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此处填写尽调该私募的日期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）</w:t>
      </w:r>
    </w:p>
    <w:p w14:paraId="58EA4451">
      <w:pPr>
        <w:pageBreakBefore w:val="0"/>
        <w:widowControl w:val="0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公司概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/>
          <w:sz w:val="21"/>
          <w:szCs w:val="21"/>
        </w:rPr>
        <w:t>况：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公司完整全称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】，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【】年【】月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成立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，【】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年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月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在中基协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登记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，【有/无】投顾资质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注册地址【简化到市】，办公地址【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到市/区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截至【2025年xx月】管理总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规模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【】亿，分策略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来看，其中量化选股【】亿，中性策略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【】亿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其中300/500/1000/混合中性、灵活对冲分别【】亿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），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指数增强【】亿（其中300/500/1000/2000/A500/小市值等等指增分别【】亿）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T0策略【】亿，CTA策略【】亿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。</w:t>
      </w:r>
    </w:p>
    <w:p w14:paraId="1FB5002E">
      <w:pPr>
        <w:pageBreakBefore w:val="0"/>
        <w:widowControl w:val="0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投资团队：总人数【】人，其中投研【】人、IT【】人，投研模式是【流水线/多PM制/课题组制等】，投研核心是【】。投研核心人员重点介绍：姓名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职位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年量化投资经验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或从业经验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教育背景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、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工作履历。</w:t>
      </w:r>
    </w:p>
    <w:p w14:paraId="12424D74">
      <w:pPr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策略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条线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：主要包括哪些策略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一，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股票策略：量化选股、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指增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（300/500/1000/2000/A500）、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量化择时。二，对冲策略：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股票多空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市场中性策略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灵活对冲。三，套利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T0策略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期现套利、ETF套利、T0策略。四，CTA策略：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（股指/商品）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五，债券策略：利率债/信用债策略】</w:t>
      </w:r>
    </w:p>
    <w:p w14:paraId="01E3CEC4">
      <w:pPr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</w:p>
    <w:p w14:paraId="3B603EA1">
      <w:pPr>
        <w:keepNext w:val="0"/>
        <w:keepLines w:val="0"/>
        <w:pageBreakBefore w:val="0"/>
        <w:widowControl w:val="0"/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</w:rPr>
        <w:t>（上面列出来的策略条线放在下面分段介绍</w:t>
      </w: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  <w:t>如有其他策略，请模仿填写</w:t>
      </w: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</w:rPr>
        <w:t>）</w:t>
      </w:r>
    </w:p>
    <w:p w14:paraId="67A2F7D5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主观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选股策略（【策略规模】、【策略容量】）：</w:t>
      </w:r>
    </w:p>
    <w:p w14:paraId="0DD16857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选股域方面：剔除【哪些股票，比如st股】，在哪里选股【如top3800/全市场，小500】，是否有部分策略纯成分股选股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是否偏好某些行业、概念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。</w:t>
      </w:r>
    </w:p>
    <w:p w14:paraId="2A13D0E0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股票持仓分布：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数量，成分股占比：沪深300【】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中证500【】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中证3800【】、中证3800以外【】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。持仓周期，是否满仓运作。</w:t>
      </w:r>
    </w:p>
    <w:p w14:paraId="2749BC4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选股逻辑：【主要依据什么逻辑、子策略，如何解释】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。</w:t>
      </w:r>
    </w:p>
    <w:p w14:paraId="6F2B331E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换手率：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年化双边换手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倍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。</w:t>
      </w:r>
    </w:p>
    <w:p w14:paraId="12AE716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风控方面：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是否做主观择时，如何做的。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个股权重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限制等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遇到回撤如何应对，是否有硬止损。</w:t>
      </w:r>
    </w:p>
    <w:p w14:paraId="64B4D79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其余可补充的细节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】</w:t>
      </w:r>
    </w:p>
    <w:p w14:paraId="415E7C25">
      <w:pPr>
        <w:keepNext w:val="0"/>
        <w:keepLines w:val="0"/>
        <w:pageBreakBefore w:val="0"/>
        <w:widowControl w:val="0"/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</w:pPr>
    </w:p>
    <w:p w14:paraId="63DB5657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量化选股策略（【策略规模】、【策略容量】）：</w:t>
      </w:r>
    </w:p>
    <w:p w14:paraId="005E9A7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选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股池：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：剔除【哪些股票，比如st股】，在哪里选股【如top3800/全市场，小500】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。</w:t>
      </w:r>
    </w:p>
    <w:p w14:paraId="6DBA5A77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股票持仓分布：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数量，成分股占比：沪深300【】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中证500【】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中证3800【】、中证3800以外【】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。持仓周期，是否满仓运作。</w:t>
      </w:r>
    </w:p>
    <w:p w14:paraId="6C847A1D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因子层面：因子挖掘方式（人工占比，机器占比），因子数量，因子占比：基本面【】%/量价【】%/另类【】%。</w:t>
      </w:r>
    </w:p>
    <w:p w14:paraId="2844461A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信号层面：预测频段包括（最短比如5分钟-最长比如10天）。</w:t>
      </w:r>
    </w:p>
    <w:p w14:paraId="3CDC207D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交易方式模型层面：是否线性为主，AI技术应用情况，组合优化方面如何确定子策略权重，如果用优化器那么目标是如何设定。是否主动做风格轮动，如果是会做哪些风格（市值、板块、高股息等），是模型来决定还是人工，历史择时胜率如何，是否犯过较大错误导致回撤。</w:t>
      </w:r>
    </w:p>
    <w:p w14:paraId="0232A2EF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换手率：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年化双边换手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倍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，【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是否包含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T0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如有T0，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收益增加%多少】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。</w:t>
      </w:r>
    </w:p>
    <w:p w14:paraId="67E5977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风控方面：行业偏离不超过相对/绝对【】%，Barra风格偏离不超过【】%，个股权重不超过【】%。风格和行业是否硬控。是否做人工干预，如果是，有哪些。</w:t>
      </w:r>
    </w:p>
    <w:p w14:paraId="3380297C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其他：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其余可补充的细节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】</w:t>
      </w:r>
    </w:p>
    <w:p w14:paraId="6BE9D1BF">
      <w:pPr>
        <w:pStyle w:val="10"/>
        <w:keepNext w:val="0"/>
        <w:keepLines w:val="0"/>
        <w:pageBreakBefore w:val="0"/>
        <w:widowControl w:val="0"/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p w14:paraId="4A166AA2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某某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指增策略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例如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300/500/1000/2000/A500/红利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/小市值指增等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（【策略规模】、【策略容量】）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  <w:t>注意：对于多个指增策略，其大部分逻辑如果基本相同，需要合并填写，不同处分别说明各自情况。</w:t>
      </w: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  <w:t>）</w:t>
      </w:r>
    </w:p>
    <w:p w14:paraId="28FD688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选股池：剔除【哪些股票】，在哪里选股【如top3800/全市场，小500】，是否有部分策略纯成分股选股。</w:t>
      </w:r>
    </w:p>
    <w:p w14:paraId="6091B262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持仓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平均持有股票数量，成分股占比【】（例如中证500指增，中证500成分股占比【】，沪深300占比【】，中证1000占比【】）</w:t>
      </w:r>
    </w:p>
    <w:p w14:paraId="26C00220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换手率：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年化双边换手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倍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，【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是否包含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T0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如有T0，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收益增加%多少】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。</w:t>
      </w:r>
    </w:p>
    <w:p w14:paraId="711D5A98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风控方面：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Beta敞口限制【】。行业偏离不超过相对/绝对【】%，Barra风格偏离不超过【】%，个股权重不超过【】%。风格和行业是否硬控。是否做人工干预，如果是，有哪些。</w:t>
      </w:r>
    </w:p>
    <w:p w14:paraId="69A4043F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其他：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其余可补充的细节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】</w:t>
      </w:r>
    </w:p>
    <w:p w14:paraId="3DA3050E">
      <w:pPr>
        <w:keepNext w:val="0"/>
        <w:keepLines w:val="0"/>
        <w:pageBreakBefore w:val="0"/>
        <w:widowControl w:val="0"/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p w14:paraId="616D6AED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中性策略（【策略规模】、【策略容量】）：</w:t>
      </w:r>
    </w:p>
    <w:p w14:paraId="0E97CB8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选股池：剔除【哪些股票】，在哪里选股【如top3800/全市场，小500】，是否有部分策略纯成分股选股。</w:t>
      </w:r>
    </w:p>
    <w:p w14:paraId="66F10C96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因子及信号：因子种类、数量、信号预测周期。</w:t>
      </w:r>
    </w:p>
    <w:p w14:paraId="0B746438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对冲上：对冲工具有IH/IF/IC/IM、融券、期权，各个对冲工具的比例；</w:t>
      </w:r>
    </w:p>
    <w:p w14:paraId="6F0EFBB6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对标指数：是单指数中性还是【具体指数】混合中性，是否留多头敞口，如果是什么时候会有敞口，资金是否满仓运作，如果不是什么时候减仓。是否叠加T0，增厚收益年化【】%。</w:t>
      </w:r>
    </w:p>
    <w:p w14:paraId="2B6619E0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换手率：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Hans"/>
        </w:rPr>
        <w:t>年化双边换手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Hans"/>
        </w:rPr>
        <w:t>倍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（不考虑T0）。如有T0，增厚到【】倍。T0收益贡献多少。</w:t>
      </w:r>
    </w:p>
    <w:p w14:paraId="0C507AA2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风控方面：行业偏离不超过相对/绝对【】%，Barra风格偏离不超过【】%，个股权重不超过【】%。风格和行业是否硬控。是否做人工干预，如果是，有哪些。动量。</w:t>
      </w:r>
    </w:p>
    <w:p w14:paraId="6901CF24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其他：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其余可补充的细节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】</w:t>
      </w:r>
    </w:p>
    <w:p w14:paraId="5243CB6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</w:p>
    <w:p w14:paraId="176CA683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T0策略（【策略规模】、【策略容量】）：</w:t>
      </w:r>
    </w:p>
    <w:p w14:paraId="0F27A27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交易标的，多头端【】，空头端【】</w:t>
      </w:r>
    </w:p>
    <w:p w14:paraId="5D6C2DB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交易风格（高频/低频）</w:t>
      </w:r>
    </w:p>
    <w:p w14:paraId="5DA0D13A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因子：使用什么因子（量价/基本），</w:t>
      </w:r>
    </w:p>
    <w:p w14:paraId="66B53C62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信号预测周期，交易方式（如趋势信号驱动/先买后卖/先卖后买）。</w:t>
      </w:r>
    </w:p>
    <w:p w14:paraId="4C15E4A1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风控方面：行业偏离不超过相对/绝对【】%，Barra风格偏离不超过【】%，个股权重不超过【】%。风格和行业是否硬控。是否做人工干预，如果是，有哪些。</w:t>
      </w:r>
    </w:p>
    <w:p w14:paraId="582E164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其他：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其余可补充的细节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】</w:t>
      </w:r>
    </w:p>
    <w:p w14:paraId="5027362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p w14:paraId="0C330B49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CTA策略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（【策略规模】、【策略容量】）：</w:t>
      </w:r>
    </w:p>
    <w:p w14:paraId="7E378552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子策略：趋势追踪策略（时序类/截面类），统计套利策略（期现套利/跨市场套利/跨期套利/跨品种套利）。</w:t>
      </w:r>
    </w:p>
    <w:p w14:paraId="7640F2DD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子策略配置：股指期货占比【】，商品期货占比【】，国债期货占比【】。股指细分：IM（中证1000）占比【】，IC（中证500）占比【】，IF（沪深300）占比【】。商品覆盖（例如农产品/化工为主/黑色系），单品种持仓【】。</w:t>
      </w:r>
    </w:p>
    <w:p w14:paraId="39DC41B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持仓时间：持仓周期（短/中/长）</w:t>
      </w:r>
    </w:p>
    <w:p w14:paraId="3B3C578C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因子：因子挖掘方式（人工占比，机器占比），因子数量，因子占比：基本面【】%/量价【】%/另类【】%。因子迭代数量【】%。策略数量【】，收益贡献情况。</w:t>
      </w:r>
    </w:p>
    <w:p w14:paraId="01FAF367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风控机制：预警线/平仓线，保证金使用率，回撤管理手段，内部产品风控【】%，单品种单边持仓上限，单板块持仓上限。</w:t>
      </w:r>
    </w:p>
    <w:p w14:paraId="491834EE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其他：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其余可补充的细节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】</w:t>
      </w:r>
    </w:p>
    <w:p w14:paraId="666E2DC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</w:p>
    <w:p w14:paraId="5282A6DF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灵活对冲策略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【策略规模】、【策略容量】）：</w:t>
      </w:r>
    </w:p>
    <w:p w14:paraId="61A12C3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目标为构建年化收益【15%】以上、最大回撤控制在【6%】以内的绝对收益产品。</w:t>
      </w:r>
    </w:p>
    <w:p w14:paraId="6966B6C7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策略由【多头】与【动态对冲仓位】组合而成，多头部分【为绝对收益型量化选股，股票池以1800成分股为主，占比60%–70%】；对冲端采用【IF、IC、IM等股指期货混合使用，仓位控制在50%–70%之间】，具体对冲比例。</w:t>
      </w:r>
    </w:p>
    <w:p w14:paraId="2EB62C12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其他：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其余可补充的细节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】</w:t>
      </w:r>
    </w:p>
    <w:p w14:paraId="3B6D0131">
      <w:pPr>
        <w:pStyle w:val="10"/>
        <w:keepNext w:val="0"/>
        <w:keepLines w:val="0"/>
        <w:pageBreakBefore w:val="0"/>
        <w:widowControl w:val="0"/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p w14:paraId="6E98110D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转债策略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（【策略规模】、【策略容量】）：</w:t>
      </w:r>
    </w:p>
    <w:p w14:paraId="14F6BB3E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可转债池子：依据什么逻辑，评级筛选，转债价格筛选，剔除【哪些转债】，构建多少转债白名单。</w:t>
      </w:r>
    </w:p>
    <w:p w14:paraId="30B9433D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评级分布：剔除什么评级，主要标的为何类评级。</w:t>
      </w:r>
    </w:p>
    <w:p w14:paraId="53A94CF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因子及策略：因子种类、数量、信号预测周期。</w:t>
      </w:r>
    </w:p>
    <w:p w14:paraId="0E903D5E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对冲上：是否对冲，对冲工具选择有IH/IF/IC/IM、融券、期权，各个对冲工具的比例；</w:t>
      </w:r>
    </w:p>
    <w:p w14:paraId="23BAF07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对标基准指数：选择中证转债指数，还是wind等权转债指数，或无基准。</w:t>
      </w:r>
    </w:p>
    <w:p w14:paraId="5DC46EEE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换手率：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Hans"/>
        </w:rPr>
        <w:t>年化双边换手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Hans"/>
        </w:rPr>
        <w:t>倍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（不考虑T0）。如有T0，增厚到【】倍。T0收益贡献多少。</w:t>
      </w:r>
    </w:p>
    <w:p w14:paraId="6C6EBB1D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转债T0策略：是否包含T0.换手多少，预测周期。</w:t>
      </w:r>
    </w:p>
    <w:p w14:paraId="0733430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风控方面：评级、价格、个券比例上限。是否有主观干预、仓位调整。</w:t>
      </w:r>
    </w:p>
    <w:p w14:paraId="4BE20DEF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其他：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其余可补充的细节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】</w:t>
      </w:r>
    </w:p>
    <w:p w14:paraId="480BF79A">
      <w:pPr>
        <w:pStyle w:val="10"/>
        <w:keepNext w:val="0"/>
        <w:keepLines w:val="0"/>
        <w:pageBreakBefore w:val="0"/>
        <w:widowControl w:val="0"/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p w14:paraId="0A814A3D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其他XX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策略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【策略规模】、【策略容量】）：</w:t>
      </w:r>
    </w:p>
    <w:p w14:paraId="2103BAA7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策略目标：年化收益【15%】以上、最大回撤控制在【6%】以内。</w:t>
      </w:r>
    </w:p>
    <w:p w14:paraId="6B06530C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策略构成：哪些子策略、因子等；</w:t>
      </w:r>
    </w:p>
    <w:p w14:paraId="183A458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资产标的：主要交易、股票、债券、ETF、期货、期权等哪些资产，比例如何。</w:t>
      </w:r>
    </w:p>
    <w:p w14:paraId="4D2E50D1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信号及换手率情况：</w:t>
      </w:r>
    </w:p>
    <w:p w14:paraId="6CED85E1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其余可补充的细节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】</w:t>
      </w:r>
    </w:p>
    <w:p w14:paraId="28B15FA3">
      <w:pPr>
        <w:pStyle w:val="10"/>
        <w:keepNext w:val="0"/>
        <w:keepLines w:val="0"/>
        <w:pageBreakBefore w:val="0"/>
        <w:widowControl w:val="0"/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p w14:paraId="7608E355">
      <w:pPr>
        <w:pStyle w:val="10"/>
        <w:keepNext w:val="0"/>
        <w:keepLines w:val="0"/>
        <w:pageBreakBefore w:val="0"/>
        <w:widowControl w:val="0"/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p w14:paraId="19C193AD">
      <w:pPr>
        <w:keepNext w:val="0"/>
        <w:keepLines w:val="0"/>
        <w:pageBreakBefore w:val="0"/>
        <w:widowControl w:val="0"/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交易风控：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本段根据实际情况填写，请勿复制照抄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】，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一般分为事前，事中，事后。比如事前【主动风控：量化投资模型内嵌风险模块，依据过往十余年历史数据统计归纳，包含风险预警指标，自主研判市场是否处于常态】，事中【系统检测：自建以极限亏损比例、最大下行风险、流动性、回撤幅度等核心指标的风险管理系统，有效实现盘中实时、程序化自动监控。过程管理、损益管理、部位审核相结合的多层次风险管理系统。】，事后【绩效评估：自建完善的绩效评估体系，每日复盘。体系包括策略效果评估和交易管理评估，重点考察投资结果与设计目标的差异、投资结果与理论模型的差异。】</w:t>
      </w:r>
    </w:p>
    <w:p w14:paraId="33E98C6E">
      <w:pPr>
        <w:keepNext w:val="0"/>
        <w:keepLines w:val="0"/>
        <w:pageBreakBefore w:val="0"/>
        <w:widowControl w:val="0"/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p w14:paraId="4140C5CC">
      <w:pPr>
        <w:keepNext w:val="0"/>
        <w:keepLines w:val="0"/>
        <w:pageBreakBefore w:val="0"/>
        <w:widowControl w:val="0"/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产品情况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  <w:t>每个代表性策略，对应一个产品分析。中性策略分析收益，股票多头/指增，需要额外分析超额收益</w:t>
      </w: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  <w:t>）</w:t>
      </w:r>
    </w:p>
    <w:p w14:paraId="3F370971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【如市场中性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期权套利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 xml:space="preserve">】策略代表产品：【产品名称】 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同策略产品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规模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合计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【】万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业绩上，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某日至某日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】，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累计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收益【】%，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年化收益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27.01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%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，最大回撤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%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，夏普【】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2024年收益率【】%，2025年截至【】月当年收益率【】%，2024年春节回撤【】%，国庆期间回撤【】%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产品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最大回撤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发生在【历史某期间】，主要是因为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，【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用了多久时间修复回撤】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2024年春节/国庆期间，净值及回撤如何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历史极端时期表现和原因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例如2024年春节、国庆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】</w:t>
      </w:r>
    </w:p>
    <w:p w14:paraId="3F3FD88D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【如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300指增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 xml:space="preserve">】策略代表产品：【产品名称】 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同策略产品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规模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合计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【】万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业绩上，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某日至某日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】，超额收益【】%，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超额年化收益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27.01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%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，超额最大回撤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%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，超额夏普【】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2024年超额收益率【】%，2025年截至【】月当年超额收益率【】%，2024年春节期间超额回撤【】%，国庆期间回撤【】%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产品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最大回撤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发生在【某期间】，主要是因为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【】。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历史极端时期表现和原因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例如2024年春节、国庆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】</w:t>
      </w:r>
    </w:p>
    <w:p w14:paraId="2459493D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【如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转债多头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 xml:space="preserve">】策略代表产品：【产品名称】 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同策略产品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规模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合计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【】万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业绩上，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某日至某日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年化收益【】，最大回撤【】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基准指数为【例如中证转债、wind等权转债】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超额年化收益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27.01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%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，超额最大回撤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Hans"/>
        </w:rPr>
        <w:t>%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，超额夏普【】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2024年超额收益率【】%，2025年截至【】月当年超额收益率【】%，2024年春节期间超额回撤【】%，国庆期间回撤【】%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产品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最大回撤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发生在【某期间】，主要是因为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【】。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历史极端时期表现和原因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例如2024年春节、国庆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】</w:t>
      </w:r>
    </w:p>
    <w:p w14:paraId="007D77F8">
      <w:pPr>
        <w:keepNext w:val="0"/>
        <w:keepLines w:val="0"/>
        <w:pageBreakBefore w:val="0"/>
        <w:widowControl w:val="0"/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p w14:paraId="201D19B9">
      <w:pPr>
        <w:keepNext w:val="0"/>
        <w:keepLines w:val="0"/>
        <w:pageBreakBefore w:val="0"/>
        <w:widowControl w:val="0"/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p w14:paraId="146890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综合评价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公司全称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】，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管理规模【多少亿】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，【有/无】投顾资质，团队投研背景【较好】，核心投研量化经验【】年，【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国内券商/公募/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外资】背景。分策略规模【】。策略方面，换手【】倍，因子量价【】成，基本面【】成，另类【】成，【】人工挖掘，选股域【只做前3800成分股，并且1000成分股硬约束占比不低于50%】，风控方面【较为严格】，barra风格偏离≤【0.3】σ，行业偏离≤【3】%。【是否】人工干预。业绩方面，【坤望量化对冲5号】，业绩区间【20230406-20240509】，年化收益【】%，最大回撤【】%，夏普【】%，发生在【2024年国庆前后股指升水】时期。收益来源【】。</w:t>
      </w:r>
    </w:p>
    <w:p w14:paraId="48BFE4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p w14:paraId="34E870E4">
      <w:pPr>
        <w:keepNext w:val="0"/>
        <w:keepLines w:val="0"/>
        <w:pageBreakBefore w:val="0"/>
        <w:widowControl w:val="0"/>
        <w:tabs>
          <w:tab w:val="left" w:pos="312"/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其他信息：【对外合作、公司变化、舆情新闻、负面处罚等，未在上面列出的信息。】，如果没有则删除本段。</w:t>
      </w:r>
    </w:p>
    <w:p w14:paraId="7B7398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p w14:paraId="5AC90E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C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C00000"/>
          <w:sz w:val="21"/>
          <w:szCs w:val="21"/>
          <w:lang w:val="en-US" w:eastAsia="zh-CN"/>
        </w:rPr>
        <w:t>内部商务</w:t>
      </w:r>
      <w:r>
        <w:rPr>
          <w:rFonts w:hint="eastAsia" w:ascii="宋体" w:hAnsi="宋体" w:eastAsia="宋体" w:cs="宋体"/>
          <w:b w:val="0"/>
          <w:bCs/>
          <w:color w:val="C00000"/>
          <w:sz w:val="21"/>
          <w:szCs w:val="21"/>
        </w:rPr>
        <w:t>信息（</w:t>
      </w:r>
      <w:r>
        <w:rPr>
          <w:rFonts w:hint="eastAsia" w:ascii="宋体" w:hAnsi="宋体" w:eastAsia="宋体" w:cs="宋体"/>
          <w:b w:val="0"/>
          <w:bCs/>
          <w:color w:val="C00000"/>
          <w:sz w:val="21"/>
          <w:szCs w:val="21"/>
          <w:lang w:val="en-US" w:eastAsia="zh-CN"/>
        </w:rPr>
        <w:t>本部分为内部信息，标红，如无请删除本部分</w:t>
      </w:r>
      <w:r>
        <w:rPr>
          <w:rFonts w:hint="eastAsia" w:ascii="宋体" w:hAnsi="宋体" w:eastAsia="宋体" w:cs="宋体"/>
          <w:b w:val="0"/>
          <w:bCs/>
          <w:color w:val="C00000"/>
          <w:sz w:val="21"/>
          <w:szCs w:val="21"/>
        </w:rPr>
        <w:t>）</w:t>
      </w:r>
    </w:p>
    <w:p w14:paraId="4298BFC4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  <w:color w:val="C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C00000"/>
          <w:sz w:val="21"/>
          <w:szCs w:val="21"/>
        </w:rPr>
        <w:t>MOM</w:t>
      </w:r>
      <w:r>
        <w:rPr>
          <w:rFonts w:hint="eastAsia" w:ascii="宋体" w:hAnsi="宋体" w:eastAsia="宋体" w:cs="宋体"/>
          <w:b w:val="0"/>
          <w:bCs/>
          <w:color w:val="C00000"/>
          <w:sz w:val="21"/>
          <w:szCs w:val="21"/>
          <w:lang w:val="en-US" w:eastAsia="zh-CN"/>
        </w:rPr>
        <w:t>/FOF</w:t>
      </w:r>
      <w:r>
        <w:rPr>
          <w:rFonts w:hint="eastAsia" w:ascii="宋体" w:hAnsi="宋体" w:eastAsia="宋体" w:cs="宋体"/>
          <w:b w:val="0"/>
          <w:bCs/>
          <w:color w:val="C00000"/>
          <w:sz w:val="21"/>
          <w:szCs w:val="21"/>
        </w:rPr>
        <w:t>合作意愿：</w:t>
      </w:r>
    </w:p>
    <w:p w14:paraId="591B1EF6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  <w:color w:val="C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C00000"/>
          <w:sz w:val="21"/>
          <w:szCs w:val="21"/>
          <w:lang w:val="en-US" w:eastAsia="zh-CN"/>
        </w:rPr>
        <w:t>已和哪些保险、理财开展合作：</w:t>
      </w:r>
    </w:p>
    <w:p w14:paraId="41531A94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  <w:color w:val="C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C00000"/>
          <w:sz w:val="21"/>
          <w:szCs w:val="21"/>
          <w:lang w:val="en-US" w:eastAsia="zh-CN"/>
        </w:rPr>
        <w:t>单一产品</w:t>
      </w:r>
      <w:r>
        <w:rPr>
          <w:rFonts w:hint="eastAsia" w:ascii="宋体" w:hAnsi="宋体" w:eastAsia="宋体" w:cs="宋体"/>
          <w:b w:val="0"/>
          <w:bCs/>
          <w:color w:val="C00000"/>
          <w:sz w:val="21"/>
          <w:szCs w:val="21"/>
        </w:rPr>
        <w:t>起投规模</w:t>
      </w:r>
      <w:r>
        <w:rPr>
          <w:rFonts w:hint="eastAsia" w:ascii="宋体" w:hAnsi="宋体" w:eastAsia="宋体" w:cs="宋体"/>
          <w:b w:val="0"/>
          <w:bCs/>
          <w:color w:val="C00000"/>
          <w:sz w:val="21"/>
          <w:szCs w:val="21"/>
          <w:lang w:val="en-US" w:eastAsia="zh-CN"/>
        </w:rPr>
        <w:t>与费率</w:t>
      </w:r>
      <w:r>
        <w:rPr>
          <w:rFonts w:hint="eastAsia" w:ascii="宋体" w:hAnsi="宋体" w:eastAsia="宋体" w:cs="宋体"/>
          <w:b w:val="0"/>
          <w:bCs/>
          <w:color w:val="C00000"/>
          <w:sz w:val="21"/>
          <w:szCs w:val="21"/>
        </w:rPr>
        <w:t>：</w:t>
      </w:r>
    </w:p>
    <w:p w14:paraId="64A7A21F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  <w:color w:val="C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C00000"/>
          <w:sz w:val="21"/>
          <w:szCs w:val="21"/>
          <w:lang w:val="en-US" w:eastAsia="zh-CN"/>
        </w:rPr>
        <w:t>现有MOM/FOF合作的机构：</w:t>
      </w:r>
    </w:p>
    <w:p w14:paraId="0D4DB519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  <w:color w:val="C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C00000"/>
          <w:sz w:val="21"/>
          <w:szCs w:val="21"/>
          <w:lang w:val="en-US" w:eastAsia="zh-CN"/>
        </w:rPr>
        <w:t>产品的封盘情况：</w:t>
      </w:r>
    </w:p>
    <w:p w14:paraId="5030C2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p w14:paraId="193DB2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  <w:t>正文最后放图、表。</w:t>
      </w:r>
    </w:p>
    <w:p w14:paraId="377C3696">
      <w:pPr>
        <w:pageBreakBefore w:val="0"/>
        <w:widowControl w:val="0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</w:rPr>
        <w:t>（备注：产品情况需每个策略都列出一个代表产品，指增策略里不同指数如300，500等也需要拆分开来写代表产品，并配上产品净值</w:t>
      </w: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  <w:t>及超额</w:t>
      </w: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</w:rPr>
        <w:t>图</w:t>
      </w: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  <w:t>和业绩指标表（例如收益、回撤、夏普等），示例如下</w:t>
      </w: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</w:rPr>
        <w:t>）</w:t>
      </w:r>
    </w:p>
    <w:p w14:paraId="0111B7E4">
      <w:pPr>
        <w:pageBreakBefore w:val="0"/>
        <w:widowControl w:val="0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i/>
          <w:iCs/>
          <w:sz w:val="21"/>
          <w:szCs w:val="21"/>
        </w:rPr>
      </w:pPr>
    </w:p>
    <w:p w14:paraId="12E2C5AA">
      <w:pPr>
        <w:pageBreakBefore w:val="0"/>
        <w:widowControl w:val="0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宋体" w:hAnsi="宋体" w:eastAsia="宋体" w:cs="宋体"/>
          <w:b w:val="0"/>
          <w:bCs/>
          <w:i/>
          <w:iCs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  <w:t>备注：针对相对收益策略的模板，例如量化选股、指增、转债多头等；量化选股基准为中证全指，转债多头基准为中证转债。</w:t>
      </w:r>
    </w:p>
    <w:p w14:paraId="129ECD73">
      <w:pPr>
        <w:pageBreakBefore w:val="0"/>
        <w:widowControl w:val="0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drawing>
          <wp:inline distT="0" distB="0" distL="114300" distR="114300">
            <wp:extent cx="4495165" cy="2061210"/>
            <wp:effectExtent l="0" t="0" r="635" b="15240"/>
            <wp:docPr id="1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92AB">
      <w:pPr>
        <w:pageBreakBefore w:val="0"/>
        <w:widowControl w:val="0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  <w:t>+业绩指标统计表格</w:t>
      </w:r>
    </w:p>
    <w:p w14:paraId="3256837A">
      <w:pPr>
        <w:pageBreakBefore w:val="0"/>
        <w:widowControl w:val="0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</w:pPr>
    </w:p>
    <w:p w14:paraId="5B13FD28">
      <w:pPr>
        <w:pageBreakBefore w:val="0"/>
        <w:widowControl w:val="0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b w:val="0"/>
          <w:bCs/>
          <w:sz w:val="16"/>
          <w:szCs w:val="16"/>
          <w:vertAlign w:val="baseline"/>
          <w:lang w:val="en-US" w:eastAsia="zh-CN"/>
          <w14:ligatures w14:val="standardContextual"/>
        </w:rPr>
      </w:pPr>
    </w:p>
    <w:p w14:paraId="3B02B760">
      <w:pPr>
        <w:pageBreakBefore w:val="0"/>
        <w:widowControl w:val="0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  <w:t>备注：针对绝对收益策略的模板，例如市场中性、套利等；</w:t>
      </w:r>
    </w:p>
    <w:p w14:paraId="154C4A46">
      <w:pPr>
        <w:pageBreakBefore w:val="0"/>
        <w:widowControl w:val="0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749040" cy="1800225"/>
            <wp:effectExtent l="0" t="0" r="3810" b="9525"/>
            <wp:docPr id="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B0C77">
      <w:pPr>
        <w:pageBreakBefore w:val="0"/>
        <w:widowControl w:val="0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  <w:t>+业绩指标统计表格</w:t>
      </w:r>
    </w:p>
    <w:p w14:paraId="27816F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p w14:paraId="5B12F5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p w14:paraId="4C1943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A749F1"/>
    <w:multiLevelType w:val="singleLevel"/>
    <w:tmpl w:val="C2A749F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0184E3F1"/>
    <w:multiLevelType w:val="singleLevel"/>
    <w:tmpl w:val="0184E3F1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60FB594"/>
    <w:multiLevelType w:val="singleLevel"/>
    <w:tmpl w:val="560FB59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5EE1BE3D"/>
    <w:multiLevelType w:val="singleLevel"/>
    <w:tmpl w:val="5EE1BE3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Dc2NmJlZTBhZjg5N2I0NmIzZjE0ODU1YzhmMzkifQ=="/>
  </w:docVars>
  <w:rsids>
    <w:rsidRoot w:val="00552C1F"/>
    <w:rsid w:val="000064BE"/>
    <w:rsid w:val="000236D0"/>
    <w:rsid w:val="0004716B"/>
    <w:rsid w:val="000525BD"/>
    <w:rsid w:val="00066066"/>
    <w:rsid w:val="0008085F"/>
    <w:rsid w:val="0008242E"/>
    <w:rsid w:val="00083387"/>
    <w:rsid w:val="00087D9A"/>
    <w:rsid w:val="000A0715"/>
    <w:rsid w:val="000A0D96"/>
    <w:rsid w:val="000A5C90"/>
    <w:rsid w:val="000C0B68"/>
    <w:rsid w:val="000D1608"/>
    <w:rsid w:val="000D77F5"/>
    <w:rsid w:val="000E09EE"/>
    <w:rsid w:val="000E0F05"/>
    <w:rsid w:val="000F7D75"/>
    <w:rsid w:val="00102D85"/>
    <w:rsid w:val="001042A8"/>
    <w:rsid w:val="00106209"/>
    <w:rsid w:val="0014065C"/>
    <w:rsid w:val="0014268F"/>
    <w:rsid w:val="0014752B"/>
    <w:rsid w:val="00161AD7"/>
    <w:rsid w:val="00175E52"/>
    <w:rsid w:val="001874CA"/>
    <w:rsid w:val="001A1C55"/>
    <w:rsid w:val="001A3CEE"/>
    <w:rsid w:val="001D053C"/>
    <w:rsid w:val="001F3532"/>
    <w:rsid w:val="0020672F"/>
    <w:rsid w:val="0021730C"/>
    <w:rsid w:val="00220CAA"/>
    <w:rsid w:val="00221000"/>
    <w:rsid w:val="00221B9D"/>
    <w:rsid w:val="00234197"/>
    <w:rsid w:val="00237CD1"/>
    <w:rsid w:val="002528BF"/>
    <w:rsid w:val="00261C2D"/>
    <w:rsid w:val="002628B4"/>
    <w:rsid w:val="00271A64"/>
    <w:rsid w:val="002A1F97"/>
    <w:rsid w:val="002A54F6"/>
    <w:rsid w:val="002B703C"/>
    <w:rsid w:val="002D53CE"/>
    <w:rsid w:val="002F67F6"/>
    <w:rsid w:val="00313E56"/>
    <w:rsid w:val="00333222"/>
    <w:rsid w:val="00353485"/>
    <w:rsid w:val="0036503F"/>
    <w:rsid w:val="00376535"/>
    <w:rsid w:val="0037787C"/>
    <w:rsid w:val="00383763"/>
    <w:rsid w:val="00386C73"/>
    <w:rsid w:val="003874DA"/>
    <w:rsid w:val="0039099D"/>
    <w:rsid w:val="003A125B"/>
    <w:rsid w:val="003A2ED1"/>
    <w:rsid w:val="003B4D32"/>
    <w:rsid w:val="003B60E2"/>
    <w:rsid w:val="003D0097"/>
    <w:rsid w:val="003D0793"/>
    <w:rsid w:val="003D1B96"/>
    <w:rsid w:val="003D1F36"/>
    <w:rsid w:val="003E6D2E"/>
    <w:rsid w:val="00401DF4"/>
    <w:rsid w:val="00412D99"/>
    <w:rsid w:val="00414EE6"/>
    <w:rsid w:val="0042559C"/>
    <w:rsid w:val="004348D5"/>
    <w:rsid w:val="00435633"/>
    <w:rsid w:val="00435898"/>
    <w:rsid w:val="00441DD7"/>
    <w:rsid w:val="00446567"/>
    <w:rsid w:val="00455783"/>
    <w:rsid w:val="00470FD1"/>
    <w:rsid w:val="0047485C"/>
    <w:rsid w:val="00490FF5"/>
    <w:rsid w:val="00494F12"/>
    <w:rsid w:val="00495469"/>
    <w:rsid w:val="004C2C51"/>
    <w:rsid w:val="004C7D3B"/>
    <w:rsid w:val="004E0B7F"/>
    <w:rsid w:val="004E6B25"/>
    <w:rsid w:val="004F3324"/>
    <w:rsid w:val="00523BB7"/>
    <w:rsid w:val="005272C3"/>
    <w:rsid w:val="00552C1F"/>
    <w:rsid w:val="005534AD"/>
    <w:rsid w:val="00557B8B"/>
    <w:rsid w:val="00571EA0"/>
    <w:rsid w:val="005834E0"/>
    <w:rsid w:val="005A334A"/>
    <w:rsid w:val="005C3406"/>
    <w:rsid w:val="005D1E44"/>
    <w:rsid w:val="005D3BA0"/>
    <w:rsid w:val="006042D9"/>
    <w:rsid w:val="00612000"/>
    <w:rsid w:val="00616672"/>
    <w:rsid w:val="00641060"/>
    <w:rsid w:val="00681D74"/>
    <w:rsid w:val="006869E5"/>
    <w:rsid w:val="0069018F"/>
    <w:rsid w:val="00695A98"/>
    <w:rsid w:val="006B66C3"/>
    <w:rsid w:val="006E1E62"/>
    <w:rsid w:val="006F610D"/>
    <w:rsid w:val="007024B6"/>
    <w:rsid w:val="007102F7"/>
    <w:rsid w:val="007258F6"/>
    <w:rsid w:val="00737F9C"/>
    <w:rsid w:val="00777B52"/>
    <w:rsid w:val="00777E17"/>
    <w:rsid w:val="00786996"/>
    <w:rsid w:val="00794F85"/>
    <w:rsid w:val="007958C3"/>
    <w:rsid w:val="007968B4"/>
    <w:rsid w:val="007C56BA"/>
    <w:rsid w:val="007D40E5"/>
    <w:rsid w:val="007D7536"/>
    <w:rsid w:val="007E0ECD"/>
    <w:rsid w:val="007E46F3"/>
    <w:rsid w:val="007E78B9"/>
    <w:rsid w:val="007F4EC1"/>
    <w:rsid w:val="0081369F"/>
    <w:rsid w:val="00815631"/>
    <w:rsid w:val="0083011E"/>
    <w:rsid w:val="00830CEE"/>
    <w:rsid w:val="008332DC"/>
    <w:rsid w:val="00847FDC"/>
    <w:rsid w:val="008571E6"/>
    <w:rsid w:val="008950C3"/>
    <w:rsid w:val="008A29ED"/>
    <w:rsid w:val="008A77BE"/>
    <w:rsid w:val="008B6402"/>
    <w:rsid w:val="008C26F6"/>
    <w:rsid w:val="008C513C"/>
    <w:rsid w:val="008E24E7"/>
    <w:rsid w:val="008E4565"/>
    <w:rsid w:val="008F1C55"/>
    <w:rsid w:val="008F2B00"/>
    <w:rsid w:val="008F4A49"/>
    <w:rsid w:val="00917C88"/>
    <w:rsid w:val="00937D15"/>
    <w:rsid w:val="00943294"/>
    <w:rsid w:val="009441F6"/>
    <w:rsid w:val="0095109C"/>
    <w:rsid w:val="00954217"/>
    <w:rsid w:val="00966170"/>
    <w:rsid w:val="00971D75"/>
    <w:rsid w:val="0098206F"/>
    <w:rsid w:val="00993397"/>
    <w:rsid w:val="00994E33"/>
    <w:rsid w:val="00994EDF"/>
    <w:rsid w:val="00995339"/>
    <w:rsid w:val="009A57FC"/>
    <w:rsid w:val="009B1031"/>
    <w:rsid w:val="009C3A69"/>
    <w:rsid w:val="009C503A"/>
    <w:rsid w:val="009C5CCC"/>
    <w:rsid w:val="009E21EB"/>
    <w:rsid w:val="009E3F6A"/>
    <w:rsid w:val="009E5701"/>
    <w:rsid w:val="00A04A44"/>
    <w:rsid w:val="00A14AED"/>
    <w:rsid w:val="00A150CE"/>
    <w:rsid w:val="00A22389"/>
    <w:rsid w:val="00A23F1F"/>
    <w:rsid w:val="00A2429D"/>
    <w:rsid w:val="00A355BA"/>
    <w:rsid w:val="00A359F8"/>
    <w:rsid w:val="00A40646"/>
    <w:rsid w:val="00A44036"/>
    <w:rsid w:val="00A45DBC"/>
    <w:rsid w:val="00A503D6"/>
    <w:rsid w:val="00A5285E"/>
    <w:rsid w:val="00A642C8"/>
    <w:rsid w:val="00A6570B"/>
    <w:rsid w:val="00A70019"/>
    <w:rsid w:val="00A72A2C"/>
    <w:rsid w:val="00A77A9A"/>
    <w:rsid w:val="00AA78B2"/>
    <w:rsid w:val="00AB547B"/>
    <w:rsid w:val="00B04B3E"/>
    <w:rsid w:val="00B22098"/>
    <w:rsid w:val="00B3051F"/>
    <w:rsid w:val="00B4427D"/>
    <w:rsid w:val="00B47E18"/>
    <w:rsid w:val="00B5155D"/>
    <w:rsid w:val="00B52570"/>
    <w:rsid w:val="00B54B35"/>
    <w:rsid w:val="00B5640F"/>
    <w:rsid w:val="00B60A27"/>
    <w:rsid w:val="00B631DA"/>
    <w:rsid w:val="00B63DA7"/>
    <w:rsid w:val="00B6525E"/>
    <w:rsid w:val="00B65BEA"/>
    <w:rsid w:val="00B667A8"/>
    <w:rsid w:val="00B708E7"/>
    <w:rsid w:val="00B75413"/>
    <w:rsid w:val="00B96BC9"/>
    <w:rsid w:val="00BB1806"/>
    <w:rsid w:val="00BB330A"/>
    <w:rsid w:val="00BC6B2D"/>
    <w:rsid w:val="00BD3818"/>
    <w:rsid w:val="00BD625A"/>
    <w:rsid w:val="00BE19EC"/>
    <w:rsid w:val="00C20449"/>
    <w:rsid w:val="00C205D0"/>
    <w:rsid w:val="00C2258D"/>
    <w:rsid w:val="00C26057"/>
    <w:rsid w:val="00C31967"/>
    <w:rsid w:val="00C33DB1"/>
    <w:rsid w:val="00C40398"/>
    <w:rsid w:val="00C4350E"/>
    <w:rsid w:val="00C45248"/>
    <w:rsid w:val="00C63E9A"/>
    <w:rsid w:val="00C73981"/>
    <w:rsid w:val="00C753FC"/>
    <w:rsid w:val="00CB1EB4"/>
    <w:rsid w:val="00CB3EEF"/>
    <w:rsid w:val="00CC0BC2"/>
    <w:rsid w:val="00CC248B"/>
    <w:rsid w:val="00CD3085"/>
    <w:rsid w:val="00CD4192"/>
    <w:rsid w:val="00CE68A0"/>
    <w:rsid w:val="00D154DD"/>
    <w:rsid w:val="00D250D4"/>
    <w:rsid w:val="00D346BF"/>
    <w:rsid w:val="00DA07B0"/>
    <w:rsid w:val="00DA56FD"/>
    <w:rsid w:val="00DA577F"/>
    <w:rsid w:val="00DB4695"/>
    <w:rsid w:val="00DC090B"/>
    <w:rsid w:val="00DE4AD2"/>
    <w:rsid w:val="00DE6F09"/>
    <w:rsid w:val="00DF4485"/>
    <w:rsid w:val="00E02B59"/>
    <w:rsid w:val="00E02E14"/>
    <w:rsid w:val="00E053EF"/>
    <w:rsid w:val="00E10066"/>
    <w:rsid w:val="00E20253"/>
    <w:rsid w:val="00E25AEF"/>
    <w:rsid w:val="00E36CAC"/>
    <w:rsid w:val="00E45850"/>
    <w:rsid w:val="00E47087"/>
    <w:rsid w:val="00E76B4A"/>
    <w:rsid w:val="00E96A84"/>
    <w:rsid w:val="00EB7EBD"/>
    <w:rsid w:val="00EC1535"/>
    <w:rsid w:val="00EC71FA"/>
    <w:rsid w:val="00ED4F2E"/>
    <w:rsid w:val="00EE50EC"/>
    <w:rsid w:val="00EE6BB0"/>
    <w:rsid w:val="00F1053F"/>
    <w:rsid w:val="00F11E1E"/>
    <w:rsid w:val="00F7190C"/>
    <w:rsid w:val="00F73D81"/>
    <w:rsid w:val="00F75997"/>
    <w:rsid w:val="00F87B4E"/>
    <w:rsid w:val="00FA763B"/>
    <w:rsid w:val="00FC0D51"/>
    <w:rsid w:val="00FE7700"/>
    <w:rsid w:val="01211AD4"/>
    <w:rsid w:val="013302D2"/>
    <w:rsid w:val="01342EE1"/>
    <w:rsid w:val="01730582"/>
    <w:rsid w:val="01FC36D0"/>
    <w:rsid w:val="026659F0"/>
    <w:rsid w:val="029D4AEC"/>
    <w:rsid w:val="03A52548"/>
    <w:rsid w:val="042C547D"/>
    <w:rsid w:val="06A06B28"/>
    <w:rsid w:val="071C1CA7"/>
    <w:rsid w:val="075F6EB2"/>
    <w:rsid w:val="07D01B5E"/>
    <w:rsid w:val="0874082F"/>
    <w:rsid w:val="090155D6"/>
    <w:rsid w:val="095C18FB"/>
    <w:rsid w:val="0992531D"/>
    <w:rsid w:val="0CE0002A"/>
    <w:rsid w:val="0E5D1AEE"/>
    <w:rsid w:val="0EC51DAC"/>
    <w:rsid w:val="0F0F252F"/>
    <w:rsid w:val="10710382"/>
    <w:rsid w:val="10CD15A8"/>
    <w:rsid w:val="10EC7FB3"/>
    <w:rsid w:val="119F1A52"/>
    <w:rsid w:val="122C2BEE"/>
    <w:rsid w:val="136E5FA6"/>
    <w:rsid w:val="13806B2E"/>
    <w:rsid w:val="142B7531"/>
    <w:rsid w:val="14F96B98"/>
    <w:rsid w:val="15BB3584"/>
    <w:rsid w:val="15F63F61"/>
    <w:rsid w:val="167230D2"/>
    <w:rsid w:val="17B4A0DD"/>
    <w:rsid w:val="17C4348D"/>
    <w:rsid w:val="181B5077"/>
    <w:rsid w:val="1B2B3823"/>
    <w:rsid w:val="1B3B4F61"/>
    <w:rsid w:val="1B7A44AB"/>
    <w:rsid w:val="1C273FEB"/>
    <w:rsid w:val="1C8539A6"/>
    <w:rsid w:val="1ED071E4"/>
    <w:rsid w:val="1FD6E39C"/>
    <w:rsid w:val="200C3C23"/>
    <w:rsid w:val="2058313A"/>
    <w:rsid w:val="207E43F5"/>
    <w:rsid w:val="20A21E92"/>
    <w:rsid w:val="20DB03EB"/>
    <w:rsid w:val="211C10DC"/>
    <w:rsid w:val="21276CB8"/>
    <w:rsid w:val="21C347B6"/>
    <w:rsid w:val="22001566"/>
    <w:rsid w:val="2291491A"/>
    <w:rsid w:val="232402E6"/>
    <w:rsid w:val="23307C29"/>
    <w:rsid w:val="23E97DD8"/>
    <w:rsid w:val="2492046F"/>
    <w:rsid w:val="25EB7E37"/>
    <w:rsid w:val="25ED2BD6"/>
    <w:rsid w:val="262D48F3"/>
    <w:rsid w:val="289C0AD7"/>
    <w:rsid w:val="28F827CB"/>
    <w:rsid w:val="2A5C57A7"/>
    <w:rsid w:val="2A73664D"/>
    <w:rsid w:val="2BCF735E"/>
    <w:rsid w:val="2BE55328"/>
    <w:rsid w:val="2BF14902"/>
    <w:rsid w:val="2D0D41F1"/>
    <w:rsid w:val="2D480265"/>
    <w:rsid w:val="2D9864E1"/>
    <w:rsid w:val="2DA40A38"/>
    <w:rsid w:val="2DC52BEE"/>
    <w:rsid w:val="2DDE1586"/>
    <w:rsid w:val="2F9E6F16"/>
    <w:rsid w:val="2FA8323D"/>
    <w:rsid w:val="2FEF388A"/>
    <w:rsid w:val="2FFF48DB"/>
    <w:rsid w:val="30943775"/>
    <w:rsid w:val="30A03186"/>
    <w:rsid w:val="30C145B6"/>
    <w:rsid w:val="30F70E2F"/>
    <w:rsid w:val="31436D79"/>
    <w:rsid w:val="3168314E"/>
    <w:rsid w:val="322546D1"/>
    <w:rsid w:val="32D53959"/>
    <w:rsid w:val="33265BCE"/>
    <w:rsid w:val="33676D0E"/>
    <w:rsid w:val="338C5108"/>
    <w:rsid w:val="33C2512E"/>
    <w:rsid w:val="33F7B890"/>
    <w:rsid w:val="35126EA1"/>
    <w:rsid w:val="362768D1"/>
    <w:rsid w:val="362F5B1E"/>
    <w:rsid w:val="36EE1D97"/>
    <w:rsid w:val="36F7C0F9"/>
    <w:rsid w:val="377E2D07"/>
    <w:rsid w:val="386A108F"/>
    <w:rsid w:val="39FA049E"/>
    <w:rsid w:val="3A476D5F"/>
    <w:rsid w:val="3B779C8E"/>
    <w:rsid w:val="3B7BEF95"/>
    <w:rsid w:val="3BBD6C92"/>
    <w:rsid w:val="3BD90ADB"/>
    <w:rsid w:val="3BFF6D13"/>
    <w:rsid w:val="3C125CC6"/>
    <w:rsid w:val="3D632551"/>
    <w:rsid w:val="3DC92CFC"/>
    <w:rsid w:val="3DDB6A69"/>
    <w:rsid w:val="3EE85E64"/>
    <w:rsid w:val="3EEB74EB"/>
    <w:rsid w:val="3F5E4D69"/>
    <w:rsid w:val="3F7AC961"/>
    <w:rsid w:val="3F7FB86D"/>
    <w:rsid w:val="3FBD6F7C"/>
    <w:rsid w:val="3FDB49F4"/>
    <w:rsid w:val="40A73F49"/>
    <w:rsid w:val="41744D2D"/>
    <w:rsid w:val="41E22779"/>
    <w:rsid w:val="42D86EDE"/>
    <w:rsid w:val="44A066E8"/>
    <w:rsid w:val="44DC50C3"/>
    <w:rsid w:val="450308A1"/>
    <w:rsid w:val="45280308"/>
    <w:rsid w:val="45FA5CDA"/>
    <w:rsid w:val="460C7C2A"/>
    <w:rsid w:val="46266C29"/>
    <w:rsid w:val="46B93146"/>
    <w:rsid w:val="47176886"/>
    <w:rsid w:val="47DF10A7"/>
    <w:rsid w:val="48362D3C"/>
    <w:rsid w:val="49C01457"/>
    <w:rsid w:val="4ACFAED9"/>
    <w:rsid w:val="4BAE2125"/>
    <w:rsid w:val="4C202381"/>
    <w:rsid w:val="4C2D13EF"/>
    <w:rsid w:val="4C8A45BD"/>
    <w:rsid w:val="4C9E5219"/>
    <w:rsid w:val="4CA37286"/>
    <w:rsid w:val="4CBE77A4"/>
    <w:rsid w:val="4D4E6DDE"/>
    <w:rsid w:val="4FAC4D90"/>
    <w:rsid w:val="4FDAD34F"/>
    <w:rsid w:val="504A7CCC"/>
    <w:rsid w:val="513F5357"/>
    <w:rsid w:val="53232F74"/>
    <w:rsid w:val="54A429BD"/>
    <w:rsid w:val="54D62F5F"/>
    <w:rsid w:val="567A0BDF"/>
    <w:rsid w:val="567A473C"/>
    <w:rsid w:val="572F524D"/>
    <w:rsid w:val="573214BA"/>
    <w:rsid w:val="574F6A3F"/>
    <w:rsid w:val="577E8BEC"/>
    <w:rsid w:val="57F5FD17"/>
    <w:rsid w:val="57FEDEF7"/>
    <w:rsid w:val="58B77EC9"/>
    <w:rsid w:val="593F8485"/>
    <w:rsid w:val="59DD71BC"/>
    <w:rsid w:val="5A053178"/>
    <w:rsid w:val="5A8E07B6"/>
    <w:rsid w:val="5AB0391C"/>
    <w:rsid w:val="5BBEEA2D"/>
    <w:rsid w:val="5BF7C482"/>
    <w:rsid w:val="5BFF117C"/>
    <w:rsid w:val="5C036F81"/>
    <w:rsid w:val="5CB36BF9"/>
    <w:rsid w:val="5D4E00FB"/>
    <w:rsid w:val="5DA62433"/>
    <w:rsid w:val="5DCD6D43"/>
    <w:rsid w:val="5EA47734"/>
    <w:rsid w:val="5F284AEB"/>
    <w:rsid w:val="5F9A2BDF"/>
    <w:rsid w:val="5FABB8F9"/>
    <w:rsid w:val="5FACA417"/>
    <w:rsid w:val="5FBFA809"/>
    <w:rsid w:val="5FE7500C"/>
    <w:rsid w:val="5FEDF252"/>
    <w:rsid w:val="5FFD0EE9"/>
    <w:rsid w:val="60CA0BC1"/>
    <w:rsid w:val="60E802FA"/>
    <w:rsid w:val="60F1392F"/>
    <w:rsid w:val="61F6706E"/>
    <w:rsid w:val="635FD91E"/>
    <w:rsid w:val="63620A31"/>
    <w:rsid w:val="63952BB5"/>
    <w:rsid w:val="641B27AA"/>
    <w:rsid w:val="64F7132B"/>
    <w:rsid w:val="65FB91BC"/>
    <w:rsid w:val="662B2715"/>
    <w:rsid w:val="66B43C9A"/>
    <w:rsid w:val="66C57C55"/>
    <w:rsid w:val="676F9589"/>
    <w:rsid w:val="685612CB"/>
    <w:rsid w:val="691B0606"/>
    <w:rsid w:val="69B947F9"/>
    <w:rsid w:val="6ABD7A39"/>
    <w:rsid w:val="6AE78971"/>
    <w:rsid w:val="6AFC750E"/>
    <w:rsid w:val="6B7EE705"/>
    <w:rsid w:val="6C776E79"/>
    <w:rsid w:val="6D5F0010"/>
    <w:rsid w:val="6D6F85C8"/>
    <w:rsid w:val="6D7D8D36"/>
    <w:rsid w:val="6D7FC8CA"/>
    <w:rsid w:val="6ED5601B"/>
    <w:rsid w:val="6EF3EED3"/>
    <w:rsid w:val="6F3F26D4"/>
    <w:rsid w:val="6F8F352C"/>
    <w:rsid w:val="6FA37491"/>
    <w:rsid w:val="6FBF108F"/>
    <w:rsid w:val="6FCD1E3D"/>
    <w:rsid w:val="6FF610E4"/>
    <w:rsid w:val="6FF9F828"/>
    <w:rsid w:val="70291255"/>
    <w:rsid w:val="703025E3"/>
    <w:rsid w:val="70D70345"/>
    <w:rsid w:val="716B31A7"/>
    <w:rsid w:val="71FE8B68"/>
    <w:rsid w:val="72A9667D"/>
    <w:rsid w:val="72DBE875"/>
    <w:rsid w:val="736EFA45"/>
    <w:rsid w:val="73CC6A01"/>
    <w:rsid w:val="743E609F"/>
    <w:rsid w:val="744077A8"/>
    <w:rsid w:val="749C00EA"/>
    <w:rsid w:val="749E1A44"/>
    <w:rsid w:val="75BF4142"/>
    <w:rsid w:val="75F419BD"/>
    <w:rsid w:val="75F7644A"/>
    <w:rsid w:val="75FB9373"/>
    <w:rsid w:val="764F753B"/>
    <w:rsid w:val="76778558"/>
    <w:rsid w:val="775681CF"/>
    <w:rsid w:val="7777CE5C"/>
    <w:rsid w:val="779B65B0"/>
    <w:rsid w:val="77CF2852"/>
    <w:rsid w:val="77D6752F"/>
    <w:rsid w:val="77DF40D5"/>
    <w:rsid w:val="77FA353D"/>
    <w:rsid w:val="77FBF2F7"/>
    <w:rsid w:val="77FCCF9C"/>
    <w:rsid w:val="787C4D96"/>
    <w:rsid w:val="78DB5CC3"/>
    <w:rsid w:val="7A234A4C"/>
    <w:rsid w:val="7A5E7DB1"/>
    <w:rsid w:val="7B67B21B"/>
    <w:rsid w:val="7B7D6117"/>
    <w:rsid w:val="7B876B3D"/>
    <w:rsid w:val="7B9993F7"/>
    <w:rsid w:val="7BE758E9"/>
    <w:rsid w:val="7BEFCA06"/>
    <w:rsid w:val="7BF2A453"/>
    <w:rsid w:val="7C035ECF"/>
    <w:rsid w:val="7C7F64AF"/>
    <w:rsid w:val="7CBD8E77"/>
    <w:rsid w:val="7D6F1484"/>
    <w:rsid w:val="7E270B0E"/>
    <w:rsid w:val="7E392EE4"/>
    <w:rsid w:val="7E732CB9"/>
    <w:rsid w:val="7E907C00"/>
    <w:rsid w:val="7E97768A"/>
    <w:rsid w:val="7EFF11F7"/>
    <w:rsid w:val="7F773496"/>
    <w:rsid w:val="7F8E4830"/>
    <w:rsid w:val="7FB7A424"/>
    <w:rsid w:val="7FDEEF85"/>
    <w:rsid w:val="7FEA323D"/>
    <w:rsid w:val="7FEBDB7A"/>
    <w:rsid w:val="7FFEE318"/>
    <w:rsid w:val="7FFFD03F"/>
    <w:rsid w:val="8D6FEB6E"/>
    <w:rsid w:val="8EFAAFAD"/>
    <w:rsid w:val="8F5FF4FB"/>
    <w:rsid w:val="96BF0E92"/>
    <w:rsid w:val="975A7820"/>
    <w:rsid w:val="9ADF29C6"/>
    <w:rsid w:val="9B7975EB"/>
    <w:rsid w:val="9D88F216"/>
    <w:rsid w:val="9F37D313"/>
    <w:rsid w:val="9FBB2198"/>
    <w:rsid w:val="9FFA1EE6"/>
    <w:rsid w:val="A37F8EA3"/>
    <w:rsid w:val="AF33BA18"/>
    <w:rsid w:val="AFFFD95A"/>
    <w:rsid w:val="B27B21AF"/>
    <w:rsid w:val="B3E7DF4E"/>
    <w:rsid w:val="B4DFBD09"/>
    <w:rsid w:val="B5A2387D"/>
    <w:rsid w:val="B6F9394B"/>
    <w:rsid w:val="B6FFE469"/>
    <w:rsid w:val="B7FE9DBF"/>
    <w:rsid w:val="B8588A86"/>
    <w:rsid w:val="B93F390D"/>
    <w:rsid w:val="BA655E57"/>
    <w:rsid w:val="BB344418"/>
    <w:rsid w:val="BBFF9EAE"/>
    <w:rsid w:val="BD3EBC4A"/>
    <w:rsid w:val="BD8F8B90"/>
    <w:rsid w:val="BDAF1C4F"/>
    <w:rsid w:val="BEBD791E"/>
    <w:rsid w:val="BF6BF268"/>
    <w:rsid w:val="BFF78CBC"/>
    <w:rsid w:val="C7ED8976"/>
    <w:rsid w:val="CBDFC02D"/>
    <w:rsid w:val="CBF7B4F3"/>
    <w:rsid w:val="CFFFE582"/>
    <w:rsid w:val="D1BE9669"/>
    <w:rsid w:val="D7638E18"/>
    <w:rsid w:val="D7BB88D5"/>
    <w:rsid w:val="D7FC8A7E"/>
    <w:rsid w:val="D8BDA2C7"/>
    <w:rsid w:val="DB27036F"/>
    <w:rsid w:val="DB2F024C"/>
    <w:rsid w:val="DBEE777C"/>
    <w:rsid w:val="DD6160F2"/>
    <w:rsid w:val="DDDBF5E6"/>
    <w:rsid w:val="DEBE3F86"/>
    <w:rsid w:val="DF37AF45"/>
    <w:rsid w:val="DF7F554F"/>
    <w:rsid w:val="DFDC25EB"/>
    <w:rsid w:val="DFEFF634"/>
    <w:rsid w:val="E672B2B2"/>
    <w:rsid w:val="E6F748BE"/>
    <w:rsid w:val="E7BF819E"/>
    <w:rsid w:val="E7DF03A3"/>
    <w:rsid w:val="E7FA6513"/>
    <w:rsid w:val="E7FFDA0A"/>
    <w:rsid w:val="EADF2436"/>
    <w:rsid w:val="EAFE6EB0"/>
    <w:rsid w:val="EB6B6F30"/>
    <w:rsid w:val="ECCF1814"/>
    <w:rsid w:val="EDBF355E"/>
    <w:rsid w:val="EDFFFA80"/>
    <w:rsid w:val="EFF38719"/>
    <w:rsid w:val="F17FD835"/>
    <w:rsid w:val="F3AED883"/>
    <w:rsid w:val="F45E4767"/>
    <w:rsid w:val="F53F7D6A"/>
    <w:rsid w:val="F5FD007C"/>
    <w:rsid w:val="F5FF2B36"/>
    <w:rsid w:val="F645676B"/>
    <w:rsid w:val="F7176FF2"/>
    <w:rsid w:val="F77A0AD0"/>
    <w:rsid w:val="F7AF44FB"/>
    <w:rsid w:val="F7EFFFC8"/>
    <w:rsid w:val="F7FD911C"/>
    <w:rsid w:val="F96DA82C"/>
    <w:rsid w:val="F9EBC9CC"/>
    <w:rsid w:val="FBF305EE"/>
    <w:rsid w:val="FCDCD1E6"/>
    <w:rsid w:val="FCFF72C3"/>
    <w:rsid w:val="FD07972C"/>
    <w:rsid w:val="FD1B9831"/>
    <w:rsid w:val="FD726441"/>
    <w:rsid w:val="FD7F18CF"/>
    <w:rsid w:val="FDAE03E6"/>
    <w:rsid w:val="FDAF205D"/>
    <w:rsid w:val="FDB7BCD6"/>
    <w:rsid w:val="FDC79680"/>
    <w:rsid w:val="FE2F2370"/>
    <w:rsid w:val="FE3F4675"/>
    <w:rsid w:val="FE77BCFA"/>
    <w:rsid w:val="FEEE2250"/>
    <w:rsid w:val="FEF3759E"/>
    <w:rsid w:val="FF359276"/>
    <w:rsid w:val="FF3713E4"/>
    <w:rsid w:val="FF3F1880"/>
    <w:rsid w:val="FF3F39B5"/>
    <w:rsid w:val="FF7FD1A9"/>
    <w:rsid w:val="FF93755B"/>
    <w:rsid w:val="FF9F2D1D"/>
    <w:rsid w:val="FFB9501C"/>
    <w:rsid w:val="FFBD5303"/>
    <w:rsid w:val="FFBF9A8E"/>
    <w:rsid w:val="FFCE29C3"/>
    <w:rsid w:val="FFDBC7C1"/>
    <w:rsid w:val="FFDEC98F"/>
    <w:rsid w:val="FFDFCB47"/>
    <w:rsid w:val="FFF4355B"/>
    <w:rsid w:val="FFF79032"/>
    <w:rsid w:val="FFFF525B"/>
    <w:rsid w:val="FFFF9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rPr>
      <w:kern w:val="2"/>
      <w:sz w:val="21"/>
      <w:szCs w:val="2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Header Char"/>
    <w:basedOn w:val="9"/>
    <w:link w:val="6"/>
    <w:qFormat/>
    <w:uiPriority w:val="99"/>
    <w:rPr>
      <w:sz w:val="18"/>
      <w:szCs w:val="18"/>
    </w:rPr>
  </w:style>
  <w:style w:type="character" w:customStyle="1" w:styleId="12">
    <w:name w:val="Footer Char"/>
    <w:basedOn w:val="9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4391</Words>
  <Characters>4755</Characters>
  <Lines>15</Lines>
  <Paragraphs>4</Paragraphs>
  <TotalTime>0</TotalTime>
  <ScaleCrop>false</ScaleCrop>
  <LinksUpToDate>false</LinksUpToDate>
  <CharactersWithSpaces>4758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2025-06-04T22:24:00Z</dcterms:created>
  <dc:creator>煜 沈</dc:creator>
  <cp:lastModifiedBy>日落月明夜微凉－</cp:lastModifiedBy>
  <dcterms:modified xsi:type="dcterms:W3CDTF">2025-12-16T08:54:35Z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72AEEB6F58124D788F6E77A5C9FB4E2D_13</vt:lpwstr>
  </property>
  <property fmtid="{D5CDD505-2E9C-101B-9397-08002B2CF9AE}" pid="4" name="KSOTemplateDocerSaveRecord">
    <vt:lpwstr>eyJoZGlkIjoiNjM2ZDY5NzI1YWFlYmEzMTIyM2Y0ZGI5YTEwNDFjZDciLCJ1c2VySWQiOiI1MzU5MjYyNjYifQ==</vt:lpwstr>
  </property>
</Properties>
</file>