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1F3864"/>
          <w:sz w:val="33"/>
        </w:rPr>
        <w:t>北京涵德投资管理有限公司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2C2C2C"/>
          <w:sz w:val="27"/>
        </w:rPr>
        <w:t>中证500指数增强策略介绍材料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AB8CA"/>
          <w:left w:val="single" w:sz="5" w:space="0" w:color="AAB8CA"/>
          <w:bottom w:val="single" w:sz="5" w:space="0" w:color="AAB8CA"/>
          <w:right w:val="single" w:sz="5" w:space="0" w:color="AAB8CA"/>
          <w:insideH w:val="single" w:sz="5" w:space="0" w:color="AAB8CA"/>
          <w:insideV w:val="single" w:sz="5" w:space="0" w:color="AAB8C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19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864"/>
                <w:sz w:val="19"/>
              </w:rPr>
              <w:t>关注策略</w:t>
            </w:r>
          </w:p>
        </w:tc>
        <w:tc>
          <w:tcPr>
            <w:tcW w:type="dxa" w:w="3345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C2C2C"/>
                <w:sz w:val="19"/>
              </w:rPr>
              <w:t>中证500指数增强</w:t>
            </w:r>
          </w:p>
        </w:tc>
        <w:tc>
          <w:tcPr>
            <w:tcW w:type="dxa" w:w="119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864"/>
                <w:sz w:val="19"/>
              </w:rPr>
              <w:t>材料日期</w:t>
            </w:r>
          </w:p>
        </w:tc>
        <w:tc>
          <w:tcPr>
            <w:tcW w:type="dxa" w:w="3345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C2C2C"/>
                <w:sz w:val="19"/>
              </w:rPr>
              <w:t>2026年6月18日</w:t>
            </w:r>
          </w:p>
        </w:tc>
      </w:tr>
      <w:tr>
        <w:tc>
          <w:tcPr>
            <w:tcW w:type="dxa" w:w="119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864"/>
                <w:sz w:val="19"/>
              </w:rPr>
              <w:t>公司口径</w:t>
            </w:r>
          </w:p>
        </w:tc>
        <w:tc>
          <w:tcPr>
            <w:tcW w:type="dxa" w:w="3345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C2C2C"/>
                <w:sz w:val="19"/>
              </w:rPr>
              <w:t>2026年6月访谈</w:t>
            </w:r>
          </w:p>
        </w:tc>
        <w:tc>
          <w:tcPr>
            <w:tcW w:type="dxa" w:w="119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AF0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864"/>
                <w:sz w:val="19"/>
              </w:rPr>
              <w:t>业绩截止</w:t>
            </w:r>
          </w:p>
        </w:tc>
        <w:tc>
          <w:tcPr>
            <w:tcW w:type="dxa" w:w="3345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C2C2C"/>
                <w:sz w:val="19"/>
              </w:rPr>
              <w:t>2026年5月29日</w:t>
            </w:r>
          </w:p>
        </w:tc>
      </w:tr>
    </w:tbl>
    <w:p>
      <w:pPr>
        <w:keepNext/>
        <w:spacing w:before="100" w:after="50"/>
        <w:ind w:left="0"/>
        <w:pBdr>
          <w:bottom w:val="single" w:sz="7" w:space="2" w:color="6F8FB8"/>
        </w:pBdr>
      </w:pPr>
      <w:r>
        <w:rPr>
          <w:rFonts w:ascii="Noto Sans CJK SC" w:hAnsi="Noto Sans CJK SC" w:eastAsia="Noto Sans CJK SC"/>
          <w:b/>
          <w:color w:val="1F3864"/>
          <w:sz w:val="23"/>
        </w:rPr>
        <w:t>一、核心概览</w:t>
      </w:r>
    </w:p>
    <w:p>
      <w:pPr>
        <w:spacing w:line="269" w:lineRule="auto" w:after="44"/>
        <w:ind w:firstLine="420"/>
        <w:jc w:val="both"/>
      </w:pPr>
      <w:r>
        <w:rPr>
          <w:rFonts w:ascii="Noto Sans CJK SC" w:hAnsi="Noto Sans CJK SC" w:eastAsia="Noto Sans CJK SC"/>
          <w:b w:val="0"/>
          <w:color w:val="2C2C2C"/>
          <w:sz w:val="21"/>
        </w:rPr>
        <w:t>北京涵德投资管理有限公司成立于2013年，2014年完成私募基金管理人登记，总部位于北京。截至2026年6月访谈，公司管理规模约70亿元，其中股票策略约50亿元（市场中性约45亿元、指数增强约5亿元），CTA策略约20亿元。公司约65人，量化投研及开发人员约48人；股票策略团队约14人。</w:t>
      </w:r>
    </w:p>
    <w:p>
      <w:pPr>
        <w:spacing w:line="269" w:lineRule="auto" w:after="44"/>
        <w:ind w:firstLine="420"/>
        <w:jc w:val="both"/>
      </w:pPr>
      <w:r>
        <w:rPr>
          <w:rFonts w:ascii="Noto Sans CJK SC" w:hAnsi="Noto Sans CJK SC" w:eastAsia="Noto Sans CJK SC"/>
          <w:b w:val="0"/>
          <w:color w:val="2C2C2C"/>
          <w:sz w:val="21"/>
        </w:rPr>
        <w:t>公司股票策略由合伙人、研究总监李维佳负责。李维佳于2007—2021年任职于WorldQuant，曾负责全球研究团队及股票量化组合管理，2021年加入涵德后搭建股票投研体系。两位创始合伙人秦志宇、顾小军均具有千禧管理量化团队经历。</w:t>
      </w:r>
    </w:p>
    <w:p>
      <w:pPr>
        <w:keepNext/>
        <w:spacing w:before="100" w:after="50"/>
        <w:ind w:left="0"/>
        <w:pBdr>
          <w:bottom w:val="single" w:sz="7" w:space="2" w:color="6F8FB8"/>
        </w:pBdr>
      </w:pPr>
      <w:r>
        <w:rPr>
          <w:rFonts w:ascii="Noto Sans CJK SC" w:hAnsi="Noto Sans CJK SC" w:eastAsia="Noto Sans CJK SC"/>
          <w:b/>
          <w:color w:val="1F3864"/>
          <w:sz w:val="23"/>
        </w:rPr>
        <w:t>二、策略框架与收益来源</w:t>
      </w:r>
    </w:p>
    <w:p>
      <w:pPr>
        <w:spacing w:line="259" w:lineRule="auto" w:after="30"/>
        <w:ind w:left="312" w:hanging="181"/>
      </w:pPr>
      <w:r>
        <w:rPr>
          <w:rFonts w:ascii="Noto Sans CJK SC" w:hAnsi="Noto Sans CJK SC" w:eastAsia="Noto Sans CJK SC"/>
          <w:b/>
          <w:color w:val="1F3864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C2C2C"/>
          <w:sz w:val="21"/>
        </w:rPr>
        <w:t>投资目标：以中证500指数为基准，通过全市场多因子选股获取相对指数的超额收益；组合保持较高股票仓位，原则上不进行主观择时。</w:t>
      </w:r>
    </w:p>
    <w:p>
      <w:pPr>
        <w:spacing w:line="259" w:lineRule="auto" w:after="30"/>
        <w:ind w:left="312" w:hanging="181"/>
      </w:pPr>
      <w:r>
        <w:rPr>
          <w:rFonts w:ascii="Noto Sans CJK SC" w:hAnsi="Noto Sans CJK SC" w:eastAsia="Noto Sans CJK SC"/>
          <w:b/>
          <w:color w:val="1F3864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C2C2C"/>
          <w:sz w:val="21"/>
        </w:rPr>
        <w:t>选股与持仓：覆盖全市场，流动性排名前3500只股票的权重占比超过90%；剔除ST、新股、监管调查及流动性较差标的。组合通常持有约600—700只股票，中证500成分股权重不低于50%。</w:t>
      </w:r>
    </w:p>
    <w:p>
      <w:pPr>
        <w:spacing w:line="259" w:lineRule="auto" w:after="30"/>
        <w:ind w:left="312" w:hanging="181"/>
      </w:pPr>
      <w:r>
        <w:rPr>
          <w:rFonts w:ascii="Noto Sans CJK SC" w:hAnsi="Noto Sans CJK SC" w:eastAsia="Noto Sans CJK SC"/>
          <w:b/>
          <w:color w:val="1F3864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C2C2C"/>
          <w:sz w:val="21"/>
        </w:rPr>
        <w:t>因子体系：储备因子超过5000个，实盘使用约3000个；量价因子约占70%，基本面与分析师一致预期各约占12%，其余为事件驱动和另类数据因子。人工研究负责因子逻辑与特征构造，机器学习用于非线性组合、信号融合和权重分配。</w:t>
      </w:r>
    </w:p>
    <w:p>
      <w:pPr>
        <w:spacing w:line="259" w:lineRule="auto" w:after="30"/>
        <w:ind w:left="312" w:hanging="181"/>
      </w:pPr>
      <w:r>
        <w:rPr>
          <w:rFonts w:ascii="Noto Sans CJK SC" w:hAnsi="Noto Sans CJK SC" w:eastAsia="Noto Sans CJK SC"/>
          <w:b/>
          <w:color w:val="1F3864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C2C2C"/>
          <w:sz w:val="21"/>
        </w:rPr>
        <w:t>信号与交易：预测周期覆盖1—10个交易日，以截面相对强弱信号为主。2025年上线基于高频数据、经低频化处理的新Alpha信号；组合按日更新并在盘中执行，不开展日内T0。中证500指增年化双边换手约70—80倍。</w:t>
      </w:r>
    </w:p>
    <w:p>
      <w:pPr>
        <w:keepNext/>
        <w:spacing w:before="100" w:after="50"/>
        <w:ind w:left="0"/>
        <w:pBdr>
          <w:bottom w:val="single" w:sz="7" w:space="2" w:color="6F8FB8"/>
        </w:pBdr>
      </w:pPr>
      <w:r>
        <w:rPr>
          <w:rFonts w:ascii="Noto Sans CJK SC" w:hAnsi="Noto Sans CJK SC" w:eastAsia="Noto Sans CJK SC"/>
          <w:b/>
          <w:color w:val="1F3864"/>
          <w:sz w:val="23"/>
        </w:rPr>
        <w:t>三、风险控制与组合约束</w:t>
      </w:r>
    </w:p>
    <w:p>
      <w:pPr>
        <w:spacing w:line="269" w:lineRule="auto" w:after="44"/>
        <w:ind w:firstLine="420"/>
        <w:jc w:val="both"/>
      </w:pPr>
      <w:r>
        <w:rPr>
          <w:rFonts w:ascii="Noto Sans CJK SC" w:hAnsi="Noto Sans CJK SC" w:eastAsia="Noto Sans CJK SC"/>
          <w:b w:val="0"/>
          <w:color w:val="2C2C2C"/>
          <w:sz w:val="21"/>
        </w:rPr>
        <w:t>策略采用优化器实施事前硬约束，并配合事中成交监控和事后收益归因。主要约束包括：中信一级行业偏离不超过3%，Barra SIZE敞口控制在±0.2个标准差以内，单只股票权重不超过1%，单票交易额不超过其日成交额的2%，新因子与现有因子相关性原则上不高于0.7。极端基差或流动性事件下，由核心团队进行低频风险干预。</w:t>
      </w:r>
    </w:p>
    <w:p>
      <w:pPr>
        <w:keepNext/>
        <w:spacing w:before="100" w:after="50"/>
        <w:ind w:left="0"/>
        <w:pageBreakBefore/>
        <w:pBdr>
          <w:bottom w:val="single" w:sz="7" w:space="2" w:color="6F8FB8"/>
        </w:pBdr>
      </w:pPr>
      <w:r>
        <w:rPr>
          <w:rFonts w:ascii="Noto Sans CJK SC" w:hAnsi="Noto Sans CJK SC" w:eastAsia="Noto Sans CJK SC"/>
          <w:b/>
          <w:color w:val="1F3864"/>
          <w:sz w:val="23"/>
        </w:rPr>
        <w:t>四、代表产品表现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AB8CA"/>
          <w:left w:val="single" w:sz="5" w:space="0" w:color="AAB8CA"/>
          <w:bottom w:val="single" w:sz="5" w:space="0" w:color="AAB8CA"/>
          <w:right w:val="single" w:sz="5" w:space="0" w:color="AAB8CA"/>
          <w:insideH w:val="single" w:sz="5" w:space="0" w:color="AAB8CA"/>
          <w:insideV w:val="single" w:sz="5" w:space="0" w:color="AAB8CA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324"/>
            <w:shd w:fill="1F3864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57"/>
            <w:shd w:fill="1F3864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2324"/>
            <w:shd w:fill="1F3864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57"/>
            <w:shd w:fill="1F3864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2324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  <w:shd w:fill="F3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864"/>
                <w:sz w:val="18"/>
              </w:rPr>
              <w:t>代表产品</w:t>
            </w:r>
          </w:p>
        </w:tc>
        <w:tc>
          <w:tcPr>
            <w:tcW w:type="dxa" w:w="1757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C2C2C"/>
                <w:sz w:val="18"/>
              </w:rPr>
              <w:t>涵德明德中证500指数增强1号</w:t>
            </w:r>
          </w:p>
        </w:tc>
        <w:tc>
          <w:tcPr>
            <w:tcW w:type="dxa" w:w="2324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  <w:shd w:fill="F3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864"/>
                <w:sz w:val="18"/>
              </w:rPr>
              <w:t>策略起始</w:t>
            </w:r>
          </w:p>
        </w:tc>
        <w:tc>
          <w:tcPr>
            <w:tcW w:type="dxa" w:w="1757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C2C2C"/>
                <w:sz w:val="18"/>
              </w:rPr>
              <w:t>2019-12-31</w:t>
            </w:r>
          </w:p>
        </w:tc>
      </w:tr>
      <w:tr>
        <w:tc>
          <w:tcPr>
            <w:tcW w:type="dxa" w:w="2324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  <w:shd w:fill="F3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864"/>
                <w:sz w:val="18"/>
              </w:rPr>
              <w:t>迭代后统计区间</w:t>
            </w:r>
          </w:p>
        </w:tc>
        <w:tc>
          <w:tcPr>
            <w:tcW w:type="dxa" w:w="1757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C2C2C"/>
                <w:sz w:val="18"/>
              </w:rPr>
              <w:t>2022-12-30至2026-05-29</w:t>
            </w:r>
          </w:p>
        </w:tc>
        <w:tc>
          <w:tcPr>
            <w:tcW w:type="dxa" w:w="2324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  <w:shd w:fill="F3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864"/>
                <w:sz w:val="18"/>
              </w:rPr>
              <w:t>累计超额</w:t>
            </w:r>
          </w:p>
        </w:tc>
        <w:tc>
          <w:tcPr>
            <w:tcW w:type="dxa" w:w="1757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C2C2C"/>
                <w:sz w:val="18"/>
              </w:rPr>
              <w:t>86.59%</w:t>
            </w:r>
          </w:p>
        </w:tc>
      </w:tr>
      <w:tr>
        <w:tc>
          <w:tcPr>
            <w:tcW w:type="dxa" w:w="2324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  <w:shd w:fill="F3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864"/>
                <w:sz w:val="18"/>
              </w:rPr>
              <w:t>年化超额</w:t>
            </w:r>
          </w:p>
        </w:tc>
        <w:tc>
          <w:tcPr>
            <w:tcW w:type="dxa" w:w="1757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C2C2C"/>
                <w:sz w:val="18"/>
              </w:rPr>
              <w:t>19.97%</w:t>
            </w:r>
          </w:p>
        </w:tc>
        <w:tc>
          <w:tcPr>
            <w:tcW w:type="dxa" w:w="2324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  <w:shd w:fill="F3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864"/>
                <w:sz w:val="18"/>
              </w:rPr>
              <w:t>超额年化波动</w:t>
            </w:r>
          </w:p>
        </w:tc>
        <w:tc>
          <w:tcPr>
            <w:tcW w:type="dxa" w:w="1757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C2C2C"/>
                <w:sz w:val="18"/>
              </w:rPr>
              <w:t>9.39%</w:t>
            </w:r>
          </w:p>
        </w:tc>
      </w:tr>
      <w:tr>
        <w:tc>
          <w:tcPr>
            <w:tcW w:type="dxa" w:w="2324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  <w:shd w:fill="F3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864"/>
                <w:sz w:val="18"/>
              </w:rPr>
              <w:t>超额夏普比率</w:t>
            </w:r>
          </w:p>
        </w:tc>
        <w:tc>
          <w:tcPr>
            <w:tcW w:type="dxa" w:w="1757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C2C2C"/>
                <w:sz w:val="18"/>
              </w:rPr>
              <w:t>2.13</w:t>
            </w:r>
          </w:p>
        </w:tc>
        <w:tc>
          <w:tcPr>
            <w:tcW w:type="dxa" w:w="2324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  <w:shd w:fill="F3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864"/>
                <w:sz w:val="18"/>
              </w:rPr>
              <w:t>超额最大回撤</w:t>
            </w:r>
          </w:p>
        </w:tc>
        <w:tc>
          <w:tcPr>
            <w:tcW w:type="dxa" w:w="1757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C2C2C"/>
                <w:sz w:val="18"/>
              </w:rPr>
              <w:t>-7.08%</w:t>
            </w:r>
          </w:p>
        </w:tc>
      </w:tr>
      <w:tr>
        <w:tc>
          <w:tcPr>
            <w:tcW w:type="dxa" w:w="2324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  <w:shd w:fill="F3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864"/>
                <w:sz w:val="18"/>
              </w:rPr>
              <w:t>2025年超额</w:t>
            </w:r>
          </w:p>
        </w:tc>
        <w:tc>
          <w:tcPr>
            <w:tcW w:type="dxa" w:w="1757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C2C2C"/>
                <w:sz w:val="18"/>
              </w:rPr>
              <w:t>24.59%</w:t>
            </w:r>
          </w:p>
        </w:tc>
        <w:tc>
          <w:tcPr>
            <w:tcW w:type="dxa" w:w="2324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  <w:shd w:fill="F3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864"/>
                <w:sz w:val="18"/>
              </w:rPr>
              <w:t>2026年截至5月29日</w:t>
            </w:r>
          </w:p>
        </w:tc>
        <w:tc>
          <w:tcPr>
            <w:tcW w:type="dxa" w:w="1757"/>
            <w:vAlign w:val="center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C2C2C"/>
                <w:sz w:val="18"/>
              </w:rPr>
              <w:t>12.54%</w:t>
            </w:r>
          </w:p>
        </w:tc>
      </w:tr>
    </w:tbl>
    <w:p>
      <w:pPr>
        <w:spacing w:before="40" w:after="40" w:line="252" w:lineRule="auto"/>
      </w:pPr>
      <w:r>
        <w:rPr>
          <w:rFonts w:ascii="Noto Sans CJK SC" w:hAnsi="Noto Sans CJK SC" w:eastAsia="Noto Sans CJK SC"/>
          <w:b w:val="0"/>
          <w:color w:val="646464"/>
          <w:sz w:val="17"/>
        </w:rPr>
        <w:t>注：上述超额指标为管理人材料口径。代表产品净值已扣除交易费用、管理费等，但未扣除业绩报酬；“迭代后”指2022年12月后的统计口径。</w:t>
      </w:r>
    </w:p>
    <w:p>
      <w:pPr>
        <w:keepNext/>
        <w:spacing w:before="100" w:after="50"/>
        <w:ind w:left="0"/>
        <w:pBdr>
          <w:bottom w:val="single" w:sz="7" w:space="2" w:color="6F8FB8"/>
        </w:pBdr>
      </w:pPr>
      <w:r>
        <w:rPr>
          <w:rFonts w:ascii="Noto Sans CJK SC" w:hAnsi="Noto Sans CJK SC" w:eastAsia="Noto Sans CJK SC"/>
          <w:b/>
          <w:color w:val="1F3864"/>
          <w:sz w:val="23"/>
        </w:rPr>
        <w:t>五、综合评价与主要关注点</w:t>
      </w:r>
    </w:p>
    <w:p>
      <w:pPr>
        <w:spacing w:line="269" w:lineRule="auto" w:after="44"/>
        <w:ind w:firstLine="420"/>
        <w:jc w:val="both"/>
      </w:pPr>
      <w:r>
        <w:rPr>
          <w:rFonts w:ascii="Noto Sans CJK SC" w:hAnsi="Noto Sans CJK SC" w:eastAsia="Noto Sans CJK SC"/>
          <w:b w:val="0"/>
          <w:color w:val="2C2C2C"/>
          <w:sz w:val="21"/>
        </w:rPr>
        <w:t>策略优势主要体现在三方面：一是核心团队具有海外头部量化机构经验，股票投研体系经过2021年以来的持续建设；二是因子库、高频数据和机器学习模型在2025年完成一轮升级，近两年超额收益明显改善；三是成分股比例、行业和风格敞口均采用硬约束，组合分散度较高。当前股票策略规模相对管理人测算容量仍有余量。</w:t>
      </w:r>
    </w:p>
    <w:p>
      <w:pPr>
        <w:spacing w:line="269" w:lineRule="auto" w:after="44"/>
        <w:ind w:firstLine="420"/>
        <w:jc w:val="both"/>
      </w:pPr>
      <w:r>
        <w:rPr>
          <w:rFonts w:ascii="Noto Sans CJK SC" w:hAnsi="Noto Sans CJK SC" w:eastAsia="Noto Sans CJK SC"/>
          <w:b w:val="0"/>
          <w:color w:val="2C2C2C"/>
          <w:sz w:val="21"/>
        </w:rPr>
        <w:t>需要持续关注的风险包括：策略以量价和中高换手信号为主，对市场成交活跃度和交易成本较敏感；极端小盘风格切换、全市场相关性快速上升或流动性收缩时，超额可能阶段性回撤；2025年以来的强势业绩时间较短，仍需观察高频因子在更长市场周期和规模扩张后的稳定性。</w:t>
      </w:r>
    </w:p>
    <w:p>
      <w:pPr>
        <w:keepNext/>
        <w:spacing w:before="100" w:after="50"/>
        <w:pBdr>
          <w:bottom w:val="single" w:sz="7" w:space="2" w:color="6F8FB8"/>
        </w:pBdr>
      </w:pPr>
      <w:r>
        <w:rPr>
          <w:rFonts w:ascii="Noto Sans CJK SC" w:hAnsi="Noto Sans CJK SC" w:eastAsia="Noto Sans CJK SC"/>
          <w:b/>
          <w:color w:val="1F3864"/>
          <w:sz w:val="23"/>
        </w:rPr>
        <w:t>六、适用市场环境</w:t>
      </w:r>
    </w:p>
    <w:p>
      <w:pPr>
        <w:spacing w:line="269" w:lineRule="auto" w:after="44"/>
        <w:ind w:firstLine="420"/>
        <w:jc w:val="both"/>
      </w:pPr>
      <w:r>
        <w:rPr>
          <w:rFonts w:ascii="Noto Sans CJK SC" w:hAnsi="Noto Sans CJK SC" w:eastAsia="Noto Sans CJK SC"/>
          <w:b w:val="0"/>
          <w:color w:val="2C2C2C"/>
          <w:sz w:val="21"/>
        </w:rPr>
        <w:t>从策略特征看，成交活跃、个股横截面分化充分、资金驱动较明显的市场环境更有利于量价与中高换手信号发挥。相对不利的环境包括市场成交显著萎缩、个股相关性快速上升、少数权重股单边主导的“一九行情”，以及小盘股流动性集中收缩等极端情形。</w:t>
      </w:r>
    </w:p>
    <w:p>
      <w:pPr>
        <w:keepNext/>
        <w:spacing w:before="100" w:after="50"/>
        <w:pBdr>
          <w:bottom w:val="single" w:sz="7" w:space="2" w:color="6F8FB8"/>
        </w:pBdr>
      </w:pPr>
      <w:r>
        <w:rPr>
          <w:rFonts w:ascii="Noto Sans CJK SC" w:hAnsi="Noto Sans CJK SC" w:eastAsia="Noto Sans CJK SC"/>
          <w:b/>
          <w:color w:val="1F3864"/>
          <w:sz w:val="23"/>
        </w:rPr>
        <w:t>七、后续跟踪要点</w:t>
      </w:r>
    </w:p>
    <w:p>
      <w:pPr>
        <w:spacing w:line="269" w:lineRule="auto" w:after="44"/>
        <w:ind w:firstLine="420"/>
        <w:jc w:val="both"/>
      </w:pPr>
      <w:r>
        <w:rPr>
          <w:rFonts w:ascii="Noto Sans CJK SC" w:hAnsi="Noto Sans CJK SC" w:eastAsia="Noto Sans CJK SC"/>
          <w:b w:val="0"/>
          <w:color w:val="2C2C2C"/>
          <w:sz w:val="21"/>
        </w:rPr>
        <w:t>后续尽调应重点跟踪：高频因子在不同市场风格下的样本外稳定性；换手提升后的实际交易成本与冲击成本；500指增、中性及其他宽基产品之间的业绩一致性；股票策略规模扩张对超额和持仓流动性的影响；核心团队及股票投研人员稳定性，以及代表产品净值、费率和合同条款的最新变化。</w:t>
      </w:r>
    </w:p>
    <w:p>
      <w:pPr>
        <w:spacing w:before="80" w:after="20"/>
      </w:pPr>
      <w:r>
        <w:rPr>
          <w:rFonts w:ascii="Noto Sans CJK SC" w:hAnsi="Noto Sans CJK SC" w:eastAsia="Noto Sans CJK SC"/>
          <w:b/>
          <w:color w:val="1F3864"/>
          <w:sz w:val="17"/>
        </w:rPr>
        <w:t>资料来源：</w:t>
      </w:r>
      <w:r>
        <w:rPr>
          <w:rFonts w:ascii="Noto Sans CJK SC" w:hAnsi="Noto Sans CJK SC" w:eastAsia="Noto Sans CJK SC"/>
          <w:b w:val="0"/>
          <w:color w:val="646464"/>
          <w:sz w:val="17"/>
        </w:rPr>
        <w:t>压缩包内《涵德量化策略全景解析20260603》《涵德投资股票Alpha策略Q&amp;A汇编》、《涵德-华鑫资管私募管理人访谈纪要-20260618》及相关文字记录。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646464"/>
          <w:sz w:val="17"/>
        </w:rPr>
        <w:t>风险提示：本材料仅用于内部研究及程序输出模板展示，不构成产品推介、投资建议或收益承诺。历史业绩不代表未来表现，投资者应结合基金合同、最新净值及正式尽调材料独立判断。</w:t>
      </w:r>
    </w:p>
    <w:sectPr w:rsidR="00FC693F" w:rsidRPr="0006063C" w:rsidSect="00034616">
      <w:footerReference w:type="default" r:id="rId9"/>
      <w:pgSz w:w="12240" w:h="15840"/>
      <w:pgMar w:top="709" w:right="935" w:bottom="595" w:left="93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46464"/>
        <w:sz w:val="16"/>
      </w:rPr>
      <w:t>内部研究模板｜不构成投资建议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涵德中证500指数增强策略介绍材料</dc:title>
  <dc:subject>私募管理人介绍材料输出模板</dc:subject>
  <dc:creator/>
  <cp:keywords>涵德, 中证500, 指数增强, 私募尽调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