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Metabolomics: PAH plasma metabolites in MoTrPAC context</w:t>
      </w:r>
    </w:p>
    <w:p>
      <w:r>
        <w:t xml:space="preserve">This guide starts from a public PAH metabolomics study (ST000763), analyses it, and maps its metabolites onto healthy MoTrPAC blood and muscle metabolomics. It compares separate studies. It does </w:t>
      </w:r>
      <w:r>
        <w:rPr>
          <w:b/>
        </w:rPr>
        <w:t>not</w:t>
      </w:r>
      <w:r>
        <w:t xml:space="preserve"> test whether exercise treats PAH.</w:t>
      </w:r>
    </w:p>
    <w:p>
      <w:pPr>
        <w:pStyle w:val="Heading1"/>
      </w:pPr>
      <w:r>
        <w:t>Data prep</w:t>
      </w:r>
    </w:p>
    <w:p>
      <w:r>
        <w:rPr>
          <w:b/>
        </w:rPr>
        <w:t>ST000763</w:t>
      </w:r>
      <w:r>
        <w:t xml:space="preserve"> was downloaded from the Metabolomics Workbench on 25 September 2026 as </w:t>
      </w:r>
      <w:r>
        <w:rPr>
          <w:rFonts w:ascii="Consolas" w:hAnsi="Consolas"/>
          <w:color w:val="188038"/>
        </w:rPr>
        <w:t>factors.json</w:t>
      </w:r>
      <w:r>
        <w:t xml:space="preserve"> (sample labels) and </w:t>
      </w:r>
      <w:r>
        <w:rPr>
          <w:rFonts w:ascii="Consolas" w:hAnsi="Consolas"/>
          <w:color w:val="188038"/>
        </w:rPr>
        <w:t>data.json</w:t>
      </w:r>
      <w:r>
        <w:t xml:space="preserve"> (metabolite values), saved in </w:t>
      </w:r>
      <w:r>
        <w:rPr>
          <w:rFonts w:ascii="Consolas" w:hAnsi="Consolas"/>
          <w:color w:val="188038"/>
        </w:rPr>
        <w:t>data/workbench/ST000763/</w:t>
      </w:r>
      <w:r>
        <w:t xml:space="preserve">. It is systemic sclerosis (SSc) with and without PAH; the study page says blood was drawn "at rest and again at peak exercise for each human subject". </w:t>
      </w:r>
      <w:r>
        <w:rPr>
          <w:b/>
        </w:rPr>
        <w:t>218 samples, 673 metabolite features</w:t>
      </w:r>
      <w:r>
        <w:t xml:space="preserve"> (552 unique RefMet names). Values are "Peak area normalized", and every test uses log2 values.</w:t>
      </w:r>
    </w:p>
    <w:p>
      <w:r>
        <w:t xml:space="preserve">Each sample has four labels: Exercise (No = rest, Yes = peak), Group, Sex and </w:t>
      </w:r>
      <w:r>
        <w:rPr>
          <w:b/>
        </w:rPr>
        <w:t>Type</w:t>
      </w:r>
      <w:r>
        <w:t xml:space="preserve">. Type matters: every PAH, borderline and normal-pressure sample is </w:t>
      </w:r>
      <w:r>
        <w:rPr>
          <w:rFonts w:ascii="Consolas" w:hAnsi="Consolas"/>
          <w:color w:val="188038"/>
        </w:rPr>
        <w:t>Cath</w:t>
      </w:r>
      <w:r>
        <w:t xml:space="preserve"> (drawn in the catheterization setting), and every healthy and low-risk SSc sample is </w:t>
      </w:r>
      <w:r>
        <w:rPr>
          <w:rFonts w:ascii="Consolas" w:hAnsi="Consolas"/>
          <w:color w:val="188038"/>
        </w:rPr>
        <w:t>Non-invasive</w:t>
      </w:r>
      <w:r>
        <w:t>.</w:t>
      </w:r>
    </w:p>
    <w:tbl>
      <w:tblPr>
        <w:tblStyle w:val="TableGrid"/>
        <w:tblW w:type="auto" w:w="0"/>
        <w:jc w:val="center"/>
        <w:tblLook w:firstColumn="1" w:firstRow="1" w:lastColumn="0" w:lastRow="0" w:noHBand="0" w:noVBand="1" w:val="04A0"/>
      </w:tblPr>
      <w:tblGrid>
        <w:gridCol w:w="1918"/>
        <w:gridCol w:w="1918"/>
        <w:gridCol w:w="1918"/>
        <w:gridCol w:w="1918"/>
        <w:gridCol w:w="1918"/>
      </w:tblGrid>
      <w:tr>
        <w:tc>
          <w:tcPr>
            <w:tcW w:type="dxa" w:w="3168"/>
            <w:shd w:val="clear" w:fill="EDEDED"/>
          </w:tcPr>
          <w:p>
            <w:pPr>
              <w:spacing w:after="0"/>
            </w:pPr>
            <w:r>
              <w:rPr>
                <w:b/>
                <w:sz w:val="19"/>
              </w:rPr>
              <w:t>Group</w:t>
            </w:r>
          </w:p>
        </w:tc>
        <w:tc>
          <w:tcPr>
            <w:tcW w:type="dxa" w:w="1872"/>
            <w:shd w:val="clear" w:fill="EDEDED"/>
          </w:tcPr>
          <w:p>
            <w:pPr>
              <w:spacing w:after="0"/>
            </w:pPr>
            <w:r>
              <w:rPr>
                <w:b/>
                <w:sz w:val="19"/>
              </w:rPr>
              <w:t>Setting</w:t>
            </w:r>
          </w:p>
        </w:tc>
        <w:tc>
          <w:tcPr>
            <w:tcW w:type="dxa" w:w="1008"/>
            <w:shd w:val="clear" w:fill="EDEDED"/>
          </w:tcPr>
          <w:p>
            <w:pPr>
              <w:spacing w:after="0"/>
            </w:pPr>
            <w:r>
              <w:rPr>
                <w:b/>
                <w:sz w:val="19"/>
              </w:rPr>
              <w:t>Rest</w:t>
            </w:r>
          </w:p>
        </w:tc>
        <w:tc>
          <w:tcPr>
            <w:tcW w:type="dxa" w:w="1008"/>
            <w:shd w:val="clear" w:fill="EDEDED"/>
          </w:tcPr>
          <w:p>
            <w:pPr>
              <w:spacing w:after="0"/>
            </w:pPr>
            <w:r>
              <w:rPr>
                <w:b/>
                <w:sz w:val="19"/>
              </w:rPr>
              <w:t>Peak</w:t>
            </w:r>
          </w:p>
        </w:tc>
        <w:tc>
          <w:tcPr>
            <w:tcW w:type="dxa" w:w="1728"/>
            <w:shd w:val="clear" w:fill="EDEDED"/>
          </w:tcPr>
          <w:p>
            <w:pPr>
              <w:spacing w:after="0"/>
            </w:pPr>
            <w:r>
              <w:rPr>
                <w:b/>
                <w:sz w:val="19"/>
              </w:rPr>
              <w:t>Inferred pairs</w:t>
            </w:r>
          </w:p>
        </w:tc>
      </w:tr>
      <w:tr>
        <w:tc>
          <w:tcPr>
            <w:tcW w:type="dxa" w:w="3168"/>
          </w:tcPr>
          <w:p>
            <w:pPr>
              <w:spacing w:after="0"/>
            </w:pPr>
            <w:r>
              <w:rPr>
                <w:sz w:val="19"/>
              </w:rPr>
              <w:t>Healthy</w:t>
            </w:r>
          </w:p>
        </w:tc>
        <w:tc>
          <w:tcPr>
            <w:tcW w:type="dxa" w:w="1872"/>
          </w:tcPr>
          <w:p>
            <w:pPr>
              <w:spacing w:after="0"/>
            </w:pPr>
            <w:r>
              <w:rPr>
                <w:sz w:val="19"/>
              </w:rPr>
              <w:t>Non-invasive</w:t>
            </w:r>
          </w:p>
        </w:tc>
        <w:tc>
          <w:tcPr>
            <w:tcW w:type="dxa" w:w="1008"/>
          </w:tcPr>
          <w:p>
            <w:pPr>
              <w:spacing w:after="0"/>
            </w:pPr>
            <w:r>
              <w:rPr>
                <w:sz w:val="19"/>
              </w:rPr>
              <w:t>37</w:t>
            </w:r>
          </w:p>
        </w:tc>
        <w:tc>
          <w:tcPr>
            <w:tcW w:type="dxa" w:w="1008"/>
          </w:tcPr>
          <w:p>
            <w:pPr>
              <w:spacing w:after="0"/>
            </w:pPr>
            <w:r>
              <w:rPr>
                <w:sz w:val="19"/>
              </w:rPr>
              <w:t>37</w:t>
            </w:r>
          </w:p>
        </w:tc>
        <w:tc>
          <w:tcPr>
            <w:tcW w:type="dxa" w:w="1728"/>
          </w:tcPr>
          <w:p>
            <w:pPr>
              <w:spacing w:after="0"/>
            </w:pPr>
            <w:r>
              <w:rPr>
                <w:sz w:val="19"/>
              </w:rPr>
              <w:t>37</w:t>
            </w:r>
          </w:p>
        </w:tc>
      </w:tr>
      <w:tr>
        <w:tc>
          <w:tcPr>
            <w:tcW w:type="dxa" w:w="3168"/>
          </w:tcPr>
          <w:p>
            <w:pPr>
              <w:spacing w:after="0"/>
            </w:pPr>
            <w:r>
              <w:rPr>
                <w:sz w:val="19"/>
              </w:rPr>
              <w:t>Low-risk SSc</w:t>
            </w:r>
          </w:p>
        </w:tc>
        <w:tc>
          <w:tcPr>
            <w:tcW w:type="dxa" w:w="1872"/>
          </w:tcPr>
          <w:p>
            <w:pPr>
              <w:spacing w:after="0"/>
            </w:pPr>
            <w:r>
              <w:rPr>
                <w:sz w:val="19"/>
              </w:rPr>
              <w:t>Non-invasive</w:t>
            </w:r>
          </w:p>
        </w:tc>
        <w:tc>
          <w:tcPr>
            <w:tcW w:type="dxa" w:w="1008"/>
          </w:tcPr>
          <w:p>
            <w:pPr>
              <w:spacing w:after="0"/>
            </w:pPr>
            <w:r>
              <w:rPr>
                <w:sz w:val="19"/>
              </w:rPr>
              <w:t>22</w:t>
            </w:r>
          </w:p>
        </w:tc>
        <w:tc>
          <w:tcPr>
            <w:tcW w:type="dxa" w:w="1008"/>
          </w:tcPr>
          <w:p>
            <w:pPr>
              <w:spacing w:after="0"/>
            </w:pPr>
            <w:r>
              <w:rPr>
                <w:sz w:val="19"/>
              </w:rPr>
              <w:t>22</w:t>
            </w:r>
          </w:p>
        </w:tc>
        <w:tc>
          <w:tcPr>
            <w:tcW w:type="dxa" w:w="1728"/>
          </w:tcPr>
          <w:p>
            <w:pPr>
              <w:spacing w:after="0"/>
            </w:pPr>
            <w:r>
              <w:rPr>
                <w:sz w:val="19"/>
              </w:rPr>
              <w:t>22</w:t>
            </w:r>
          </w:p>
        </w:tc>
      </w:tr>
      <w:tr>
        <w:tc>
          <w:tcPr>
            <w:tcW w:type="dxa" w:w="3168"/>
          </w:tcPr>
          <w:p>
            <w:pPr>
              <w:spacing w:after="0"/>
            </w:pPr>
            <w:r>
              <w:rPr>
                <w:sz w:val="19"/>
              </w:rPr>
              <w:t>Normal pressures (SSc)</w:t>
            </w:r>
          </w:p>
        </w:tc>
        <w:tc>
          <w:tcPr>
            <w:tcW w:type="dxa" w:w="1872"/>
          </w:tcPr>
          <w:p>
            <w:pPr>
              <w:spacing w:after="0"/>
            </w:pPr>
            <w:r>
              <w:rPr>
                <w:sz w:val="19"/>
              </w:rPr>
              <w:t>Cath</w:t>
            </w:r>
          </w:p>
        </w:tc>
        <w:tc>
          <w:tcPr>
            <w:tcW w:type="dxa" w:w="1008"/>
          </w:tcPr>
          <w:p>
            <w:pPr>
              <w:spacing w:after="0"/>
            </w:pPr>
            <w:r>
              <w:rPr>
                <w:sz w:val="19"/>
              </w:rPr>
              <w:t>10</w:t>
            </w:r>
          </w:p>
        </w:tc>
        <w:tc>
          <w:tcPr>
            <w:tcW w:type="dxa" w:w="1008"/>
          </w:tcPr>
          <w:p>
            <w:pPr>
              <w:spacing w:after="0"/>
            </w:pPr>
            <w:r>
              <w:rPr>
                <w:sz w:val="19"/>
              </w:rPr>
              <w:t>10</w:t>
            </w:r>
          </w:p>
        </w:tc>
        <w:tc>
          <w:tcPr>
            <w:tcW w:type="dxa" w:w="1728"/>
          </w:tcPr>
          <w:p>
            <w:pPr>
              <w:spacing w:after="0"/>
            </w:pPr>
            <w:r>
              <w:rPr>
                <w:sz w:val="19"/>
              </w:rPr>
              <w:t>10</w:t>
            </w:r>
          </w:p>
        </w:tc>
      </w:tr>
      <w:tr>
        <w:tc>
          <w:tcPr>
            <w:tcW w:type="dxa" w:w="3168"/>
          </w:tcPr>
          <w:p>
            <w:pPr>
              <w:spacing w:after="0"/>
            </w:pPr>
            <w:r>
              <w:rPr>
                <w:sz w:val="19"/>
              </w:rPr>
              <w:t>Borderline pressures (SSc)</w:t>
            </w:r>
          </w:p>
        </w:tc>
        <w:tc>
          <w:tcPr>
            <w:tcW w:type="dxa" w:w="1872"/>
          </w:tcPr>
          <w:p>
            <w:pPr>
              <w:spacing w:after="0"/>
            </w:pPr>
            <w:r>
              <w:rPr>
                <w:sz w:val="19"/>
              </w:rPr>
              <w:t>Cath</w:t>
            </w:r>
          </w:p>
        </w:tc>
        <w:tc>
          <w:tcPr>
            <w:tcW w:type="dxa" w:w="1008"/>
          </w:tcPr>
          <w:p>
            <w:pPr>
              <w:spacing w:after="0"/>
            </w:pPr>
            <w:r>
              <w:rPr>
                <w:sz w:val="19"/>
              </w:rPr>
              <w:t>21</w:t>
            </w:r>
          </w:p>
        </w:tc>
        <w:tc>
          <w:tcPr>
            <w:tcW w:type="dxa" w:w="1008"/>
          </w:tcPr>
          <w:p>
            <w:pPr>
              <w:spacing w:after="0"/>
            </w:pPr>
            <w:r>
              <w:rPr>
                <w:sz w:val="19"/>
              </w:rPr>
              <w:t>21</w:t>
            </w:r>
          </w:p>
        </w:tc>
        <w:tc>
          <w:tcPr>
            <w:tcW w:type="dxa" w:w="1728"/>
          </w:tcPr>
          <w:p>
            <w:pPr>
              <w:spacing w:after="0"/>
            </w:pPr>
            <w:r>
              <w:rPr>
                <w:sz w:val="19"/>
              </w:rPr>
              <w:t>21</w:t>
            </w:r>
          </w:p>
        </w:tc>
      </w:tr>
      <w:tr>
        <w:tc>
          <w:tcPr>
            <w:tcW w:type="dxa" w:w="3168"/>
          </w:tcPr>
          <w:p>
            <w:pPr>
              <w:spacing w:after="0"/>
            </w:pPr>
            <w:r>
              <w:rPr>
                <w:sz w:val="19"/>
              </w:rPr>
              <w:t>SSc-PAH</w:t>
            </w:r>
          </w:p>
        </w:tc>
        <w:tc>
          <w:tcPr>
            <w:tcW w:type="dxa" w:w="1872"/>
          </w:tcPr>
          <w:p>
            <w:pPr>
              <w:spacing w:after="0"/>
            </w:pPr>
            <w:r>
              <w:rPr>
                <w:sz w:val="19"/>
              </w:rPr>
              <w:t>Cath</w:t>
            </w:r>
          </w:p>
        </w:tc>
        <w:tc>
          <w:tcPr>
            <w:tcW w:type="dxa" w:w="1008"/>
          </w:tcPr>
          <w:p>
            <w:pPr>
              <w:spacing w:after="0"/>
            </w:pPr>
            <w:r>
              <w:rPr>
                <w:sz w:val="19"/>
              </w:rPr>
              <w:t>20</w:t>
            </w:r>
          </w:p>
        </w:tc>
        <w:tc>
          <w:tcPr>
            <w:tcW w:type="dxa" w:w="1008"/>
          </w:tcPr>
          <w:p>
            <w:pPr>
              <w:spacing w:after="0"/>
            </w:pPr>
            <w:r>
              <w:rPr>
                <w:sz w:val="19"/>
              </w:rPr>
              <w:t>18</w:t>
            </w:r>
          </w:p>
        </w:tc>
        <w:tc>
          <w:tcPr>
            <w:tcW w:type="dxa" w:w="1728"/>
          </w:tcPr>
          <w:p>
            <w:pPr>
              <w:spacing w:after="0"/>
            </w:pPr>
            <w:r>
              <w:rPr>
                <w:sz w:val="19"/>
              </w:rPr>
              <w:t>18</w:t>
            </w:r>
          </w:p>
        </w:tc>
      </w:tr>
    </w:tbl>
    <w:p/>
    <w:p>
      <w:r>
        <w:t xml:space="preserve">So </w:t>
      </w:r>
      <w:r>
        <w:rPr>
          <w:b/>
        </w:rPr>
        <w:t>PAH versus healthy always mixes PAH, scleroderma and sampling setting</w:t>
      </w:r>
      <w:r>
        <w:t>. The same-setting comparison is PAH versus normal-pressure SSc.</w:t>
      </w:r>
    </w:p>
    <w:p>
      <w:r>
        <w:rPr>
          <w:b/>
        </w:rPr>
        <w:t>No participant IDs.</w:t>
      </w:r>
      <w:r>
        <w:t xml:space="preserve"> A rest sample is paired with the next-numbered peak sample from the same group, sex and setting: </w:t>
      </w:r>
      <w:r>
        <w:rPr>
          <w:b/>
        </w:rPr>
        <w:t>108 inferred pairs</w:t>
      </w:r>
      <w:r>
        <w:t>. Plausible, not verified.</w:t>
      </w:r>
    </w:p>
    <w:p>
      <w:r>
        <w:rPr>
          <w:b/>
        </w:rPr>
        <w:t>MoTrPAC input:</w:t>
      </w:r>
      <w:r>
        <w:t xml:space="preserve"> the </w:t>
      </w:r>
      <w:r>
        <w:rPr>
          <w:rFonts w:ascii="Consolas" w:hAnsi="Consolas"/>
          <w:color w:val="188038"/>
        </w:rPr>
        <w:t>MotrpacHumanPreSuspensionAnalysis</w:t>
      </w:r>
      <w:r>
        <w:t xml:space="preserve"> </w:t>
      </w:r>
      <w:r>
        <w:rPr>
          <w:b/>
        </w:rPr>
        <w:t>2.0.8</w:t>
      </w:r>
      <w:r>
        <w:t xml:space="preserve"> R package (collection c2.0). Three precomputed endurance contrasts are used:</w:t>
      </w:r>
    </w:p>
    <w:tbl>
      <w:tblPr>
        <w:tblStyle w:val="TableGrid"/>
        <w:tblW w:type="auto" w:w="0"/>
        <w:jc w:val="center"/>
        <w:tblLook w:firstColumn="1" w:firstRow="1" w:lastColumn="0" w:lastRow="0" w:noHBand="0" w:noVBand="1" w:val="04A0"/>
      </w:tblPr>
      <w:tblGrid>
        <w:gridCol w:w="3197"/>
        <w:gridCol w:w="3197"/>
        <w:gridCol w:w="3197"/>
      </w:tblGrid>
      <w:tr>
        <w:tc>
          <w:tcPr>
            <w:tcW w:type="dxa" w:w="1440"/>
            <w:shd w:val="clear" w:fill="EDEDED"/>
          </w:tcPr>
          <w:p>
            <w:pPr>
              <w:spacing w:after="0"/>
            </w:pPr>
            <w:r>
              <w:rPr>
                <w:b/>
                <w:sz w:val="19"/>
              </w:rPr>
              <w:t>Contrast</w:t>
            </w:r>
          </w:p>
        </w:tc>
        <w:tc>
          <w:tcPr>
            <w:tcW w:type="dxa" w:w="4176"/>
            <w:shd w:val="clear" w:fill="EDEDED"/>
          </w:tcPr>
          <w:p>
            <w:pPr>
              <w:spacing w:after="0"/>
            </w:pPr>
            <w:r>
              <w:rPr>
                <w:b/>
                <w:sz w:val="19"/>
              </w:rPr>
              <w:t>Meaning</w:t>
            </w:r>
          </w:p>
        </w:tc>
        <w:tc>
          <w:tcPr>
            <w:tcW w:type="dxa" w:w="3744"/>
            <w:shd w:val="clear" w:fill="EDEDED"/>
          </w:tcPr>
          <w:p>
            <w:pPr>
              <w:spacing w:after="0"/>
            </w:pPr>
            <w:r>
              <w:rPr>
                <w:b/>
                <w:sz w:val="19"/>
              </w:rPr>
              <w:t>Use here</w:t>
            </w:r>
          </w:p>
        </w:tc>
      </w:tr>
      <w:tr>
        <w:tc>
          <w:tcPr>
            <w:tcW w:type="dxa" w:w="1440"/>
          </w:tcPr>
          <w:p>
            <w:pPr>
              <w:spacing w:after="0"/>
            </w:pPr>
            <w:r>
              <w:rPr>
                <w:rFonts w:ascii="Consolas" w:hAnsi="Consolas"/>
                <w:color w:val="188038"/>
                <w:sz w:val="19"/>
              </w:rPr>
              <w:t>EE-CON</w:t>
            </w:r>
          </w:p>
        </w:tc>
        <w:tc>
          <w:tcPr>
            <w:tcW w:type="dxa" w:w="4176"/>
          </w:tcPr>
          <w:p>
            <w:pPr>
              <w:spacing w:after="0"/>
            </w:pPr>
            <w:r>
              <w:rPr>
                <w:sz w:val="19"/>
              </w:rPr>
              <w:t>(exercise post − pre) − (control post − pre)</w:t>
            </w:r>
          </w:p>
        </w:tc>
        <w:tc>
          <w:tcPr>
            <w:tcW w:type="dxa" w:w="3744"/>
          </w:tcPr>
          <w:p>
            <w:pPr>
              <w:spacing w:after="0"/>
            </w:pPr>
            <w:r>
              <w:rPr>
                <w:sz w:val="19"/>
              </w:rPr>
              <w:t>the exercise effect</w:t>
            </w:r>
          </w:p>
        </w:tc>
      </w:tr>
      <w:tr>
        <w:tc>
          <w:tcPr>
            <w:tcW w:type="dxa" w:w="1440"/>
          </w:tcPr>
          <w:p>
            <w:pPr>
              <w:spacing w:after="0"/>
            </w:pPr>
            <w:r>
              <w:rPr>
                <w:rFonts w:ascii="Consolas" w:hAnsi="Consolas"/>
                <w:color w:val="188038"/>
                <w:sz w:val="19"/>
              </w:rPr>
              <w:t>EE-EE</w:t>
            </w:r>
          </w:p>
        </w:tc>
        <w:tc>
          <w:tcPr>
            <w:tcW w:type="dxa" w:w="4176"/>
          </w:tcPr>
          <w:p>
            <w:pPr>
              <w:spacing w:after="0"/>
            </w:pPr>
            <w:r>
              <w:rPr>
                <w:sz w:val="19"/>
              </w:rPr>
              <w:t>exercise post − pre only</w:t>
            </w:r>
          </w:p>
        </w:tc>
        <w:tc>
          <w:tcPr>
            <w:tcW w:type="dxa" w:w="3744"/>
          </w:tcPr>
          <w:p>
            <w:pPr>
              <w:spacing w:after="0"/>
            </w:pPr>
            <w:r>
              <w:rPr>
                <w:sz w:val="19"/>
              </w:rPr>
              <w:t>like-for-like with patient peak − rest</w:t>
            </w:r>
          </w:p>
        </w:tc>
      </w:tr>
      <w:tr>
        <w:tc>
          <w:tcPr>
            <w:tcW w:type="dxa" w:w="1440"/>
          </w:tcPr>
          <w:p>
            <w:pPr>
              <w:spacing w:after="0"/>
            </w:pPr>
            <w:r>
              <w:rPr>
                <w:rFonts w:ascii="Consolas" w:hAnsi="Consolas"/>
                <w:color w:val="188038"/>
                <w:sz w:val="19"/>
              </w:rPr>
              <w:t>CON-CON</w:t>
            </w:r>
          </w:p>
        </w:tc>
        <w:tc>
          <w:tcPr>
            <w:tcW w:type="dxa" w:w="4176"/>
          </w:tcPr>
          <w:p>
            <w:pPr>
              <w:spacing w:after="0"/>
            </w:pPr>
            <w:r>
              <w:rPr>
                <w:sz w:val="19"/>
              </w:rPr>
              <w:t>control post − pre only</w:t>
            </w:r>
          </w:p>
        </w:tc>
        <w:tc>
          <w:tcPr>
            <w:tcW w:type="dxa" w:w="3744"/>
          </w:tcPr>
          <w:p>
            <w:pPr>
              <w:spacing w:after="0"/>
            </w:pPr>
            <w:r>
              <w:rPr>
                <w:sz w:val="19"/>
              </w:rPr>
              <w:t>drift without exercise (fasting, time of day)</w:t>
            </w:r>
          </w:p>
        </w:tc>
      </w:tr>
    </w:tbl>
    <w:p/>
    <w:p>
      <w:r>
        <w:rPr>
          <w:rFonts w:ascii="Consolas" w:hAnsi="Consolas"/>
          <w:color w:val="188038"/>
        </w:rPr>
        <w:t>data/refmet/</w:t>
      </w:r>
      <w:r>
        <w:t xml:space="preserve"> holds the RefMet metabolite-class list from the MoTrPAC package source. </w:t>
      </w:r>
      <w:r>
        <w:rPr>
          <w:rFonts w:ascii="Consolas" w:hAnsi="Consolas"/>
          <w:color w:val="188038"/>
        </w:rPr>
        <w:t>data/source_manifest.json</w:t>
      </w:r>
      <w:r>
        <w:t xml:space="preserve"> stores each input's SHA-256 hash.</w:t>
      </w:r>
    </w:p>
    <w:p>
      <w:pPr>
        <w:pStyle w:val="Heading1"/>
      </w:pPr>
      <w:r>
        <w:t>Scripts</w:t>
      </w:r>
    </w:p>
    <w:p>
      <w:r>
        <w:t xml:space="preserve">PAH data: </w:t>
      </w:r>
      <w:r>
        <w:rPr>
          <w:i/>
          <w:highlight w:val="yellow"/>
        </w:rPr>
        <w:t>What differs in PAH?</w:t>
      </w:r>
    </w:p>
    <w:p>
      <w:pPr>
        <w:ind w:left="504" w:hanging="432"/>
      </w:pPr>
      <w:r>
        <w:t xml:space="preserve">0.  </w:t>
      </w:r>
      <w:r>
        <w:rPr>
          <w:rFonts w:ascii="Consolas" w:hAnsi="Consolas"/>
          <w:color w:val="188038"/>
        </w:rPr>
        <w:t>00_verify_inputs.py</w:t>
      </w:r>
      <w:r>
        <w:t xml:space="preserve"> checks the input hashes, 218 samples and 673 features.</w:t>
      </w:r>
    </w:p>
    <w:p>
      <w:pPr>
        <w:ind w:left="504" w:hanging="432"/>
      </w:pPr>
      <w:r>
        <w:t xml:space="preserve">1.  </w:t>
      </w:r>
      <w:r>
        <w:rPr>
          <w:rFonts w:ascii="Consolas" w:hAnsi="Consolas"/>
          <w:color w:val="188038"/>
        </w:rPr>
        <w:t>01_prepare_st000763.py</w:t>
      </w:r>
      <w:r>
        <w:t xml:space="preserve"> reads labels and values, builds the </w:t>
      </w:r>
      <w:r>
        <w:rPr>
          <w:b/>
        </w:rPr>
        <w:t>108 inferred pairs</w:t>
      </w:r>
      <w:r>
        <w:t xml:space="preserve">, and writes </w:t>
      </w:r>
      <w:r>
        <w:rPr>
          <w:rFonts w:ascii="Consolas" w:hAnsi="Consolas"/>
          <w:color w:val="188038"/>
        </w:rPr>
        <w:t>01_st000763_samples.csv</w:t>
      </w:r>
      <w:r>
        <w:t xml:space="preserve">, </w:t>
      </w:r>
      <w:r>
        <w:rPr>
          <w:rFonts w:ascii="Consolas" w:hAnsi="Consolas"/>
          <w:color w:val="188038"/>
        </w:rPr>
        <w:t>01_inferred_pairs.csv</w:t>
      </w:r>
      <w:r>
        <w:t xml:space="preserve"> and </w:t>
      </w:r>
      <w:r>
        <w:rPr>
          <w:rFonts w:ascii="Consolas" w:hAnsi="Consolas"/>
          <w:color w:val="188038"/>
        </w:rPr>
        <w:t>01_group_setting_counts.csv</w:t>
      </w:r>
      <w:r>
        <w:t xml:space="preserve"> (the table above). The log2 matrix is saved in </w:t>
      </w:r>
      <w:r>
        <w:rPr>
          <w:rFonts w:ascii="Consolas" w:hAnsi="Consolas"/>
          <w:color w:val="188038"/>
        </w:rPr>
        <w:t>data/processed/</w:t>
      </w:r>
      <w:r>
        <w:t xml:space="preserve"> for later scripts.</w:t>
      </w:r>
    </w:p>
    <w:p>
      <w:pPr>
        <w:ind w:left="504" w:hanging="432"/>
      </w:pPr>
      <w:r>
        <w:t xml:space="preserve">2.  </w:t>
      </w:r>
      <w:r>
        <w:rPr>
          <w:rFonts w:ascii="Consolas" w:hAnsi="Consolas"/>
          <w:color w:val="188038"/>
        </w:rPr>
        <w:t>02_compare_exercise_response.py</w:t>
      </w:r>
      <w:r>
        <w:t xml:space="preserve">: </w:t>
      </w:r>
      <w:r>
        <w:rPr>
          <w:b/>
        </w:rPr>
        <w:t>does exercise change a metabolite differently in PAH?</w:t>
      </w:r>
      <w:r>
        <w:t xml:space="preserve"> For each pair, change = log2(peak) − log2(rest). A Welch t test compares groups, e.g. (PAH peak − rest) − (healthy peak − rest), with BH correction. </w:t>
      </w:r>
      <w:r>
        <w:rPr>
          <w:b/>
        </w:rPr>
        <w:t>560 eligible metabolites, 0 with q &lt; 0.05</w:t>
      </w:r>
      <w:r>
        <w:t xml:space="preserve"> (smallest q 0.84). Only 17 have raw P &lt; 0.05, fewer than the ~28 expected by chance. PAH versus normal-pressure, borderline or all SSc without PH also gives 0. Within PAH alone, four change: </w:t>
      </w:r>
      <w:r>
        <w:rPr>
          <w:b/>
        </w:rPr>
        <w:t>succinic acid rises</w:t>
      </w:r>
      <w:r>
        <w:t xml:space="preserve"> (+0.75 log2) and three long-chain fatty acids fall. Succinate also rises in healthy people, so it is an exercise response, not a PAH one. No MoTrPAC data here.</w:t>
      </w:r>
    </w:p>
    <w:p>
      <w:pPr>
        <w:ind w:left="1008" w:hanging="288"/>
      </w:pPr>
      <w:r>
        <w:t xml:space="preserve">-  This is the like-for-like PAH-versus-healthy test: same study, platform and exercise test. It is not the MoTrPAC </w:t>
      </w:r>
      <w:r>
        <w:rPr>
          <w:rFonts w:ascii="Consolas" w:hAnsi="Consolas"/>
          <w:color w:val="188038"/>
        </w:rPr>
        <w:t>EE-CON</w:t>
      </w:r>
      <w:r>
        <w:t xml:space="preserve"> formula; patients have no non-exercising control group.</w:t>
      </w:r>
    </w:p>
    <w:p>
      <w:pPr>
        <w:ind w:left="504" w:hanging="432"/>
      </w:pPr>
      <w:r>
        <w:t xml:space="preserve">3.  </w:t>
      </w:r>
      <w:r>
        <w:rPr>
          <w:rFonts w:ascii="Consolas" w:hAnsi="Consolas"/>
          <w:color w:val="188038"/>
        </w:rPr>
        <w:t>03_compare_resting_levels.py</w:t>
      </w:r>
      <w:r>
        <w:t xml:space="preserve">: </w:t>
      </w:r>
      <w:r>
        <w:rPr>
          <w:b/>
        </w:rPr>
        <w:t>do resting levels differ?</w:t>
      </w:r>
      <w:r>
        <w:t xml:space="preserve"> Rest samples only, so no pairing.</w:t>
      </w:r>
    </w:p>
    <w:p>
      <w:pPr>
        <w:ind w:left="1008" w:hanging="288"/>
      </w:pPr>
      <w:r>
        <w:t xml:space="preserve">-  </w:t>
      </w:r>
      <w:r>
        <w:rPr>
          <w:b/>
        </w:rPr>
        <w:t>PAH vs healthy: 43 of 574 features at q &lt; 0.05</w:t>
      </w:r>
      <w:r>
        <w:t xml:space="preserve"> (41 metabolites): 26 higher in PAH, mostly free fatty acids about 2–3-fold; 17 lower (triglycerides, phosphatidylcholines). Holds with rank-based testing (69), per-sample centering (45) and sex adjustment (37).</w:t>
      </w:r>
    </w:p>
    <w:p>
      <w:pPr>
        <w:ind w:left="1008" w:hanging="288"/>
      </w:pPr>
      <w:r>
        <w:t xml:space="preserve">-  </w:t>
      </w:r>
      <w:r>
        <w:rPr>
          <w:b/>
        </w:rPr>
        <w:t>PAH vs normal-pressure SSc (same Cath setting): 0.</w:t>
      </w:r>
      <w:r>
        <w:t xml:space="preserve"> Normal → borderline → PAH trend: </w:t>
      </w:r>
      <w:r>
        <w:rPr>
          <w:b/>
        </w:rPr>
        <w:t>0</w:t>
      </w:r>
      <w:r>
        <w:t>.</w:t>
      </w:r>
    </w:p>
    <w:p>
      <w:pPr>
        <w:ind w:left="1008" w:hanging="288"/>
      </w:pPr>
      <w:r>
        <w:t xml:space="preserve">-  Normal-pressure SSc already carries a median </w:t>
      </w:r>
      <w:r>
        <w:rPr>
          <w:b/>
        </w:rPr>
        <w:t>90%</w:t>
      </w:r>
      <w:r>
        <w:t xml:space="preserve"> of each PAH-versus-healthy difference (41 of 43 carry at least half).</w:t>
      </w:r>
    </w:p>
    <w:p>
      <w:pPr>
        <w:ind w:left="504"/>
      </w:pPr>
      <w:r>
        <w:rPr>
          <w:i/>
          <w:highlight w:val="yellow"/>
        </w:rPr>
        <w:t>Is the PAH-versus-healthy difference PAH, scleroderma, or where the blood was drawn?</w:t>
      </w:r>
      <w:r>
        <w:t xml:space="preserve"> The data point to setting and/or scleroderma. One possible, </w:t>
      </w:r>
      <w:r>
        <w:rPr>
          <w:b/>
        </w:rPr>
        <w:t>unverified</w:t>
      </w:r>
      <w:r>
        <w:t xml:space="preserve"> cause: heparin during catheterization releases free fatty acids from triglycerides.</w:t>
      </w:r>
    </w:p>
    <w:p>
      <w:r>
        <w:t xml:space="preserve">MoTrPAC context: </w:t>
      </w:r>
      <w:r>
        <w:rPr>
          <w:i/>
          <w:highlight w:val="yellow"/>
        </w:rPr>
        <w:t>How do these metabolites behave in healthy people?</w:t>
      </w:r>
    </w:p>
    <w:p>
      <w:pPr>
        <w:ind w:left="504" w:hanging="432"/>
      </w:pPr>
      <w:r>
        <w:t xml:space="preserve">4.  </w:t>
      </w:r>
      <w:r>
        <w:rPr>
          <w:rFonts w:ascii="Consolas" w:hAnsi="Consolas"/>
          <w:color w:val="188038"/>
        </w:rPr>
        <w:t>04_export_motrpac_metabolomics.R</w:t>
      </w:r>
      <w:r>
        <w:t xml:space="preserve"> exports MoTrPAC's precomputed </w:t>
      </w:r>
      <w:r>
        <w:rPr>
          <w:rFonts w:ascii="Consolas" w:hAnsi="Consolas"/>
          <w:color w:val="188038"/>
        </w:rPr>
        <w:t>EE-CON</w:t>
      </w:r>
      <w:r>
        <w:t xml:space="preserve">, </w:t>
      </w:r>
      <w:r>
        <w:rPr>
          <w:rFonts w:ascii="Consolas" w:hAnsi="Consolas"/>
          <w:color w:val="188038"/>
        </w:rPr>
        <w:t>EE-EE</w:t>
      </w:r>
      <w:r>
        <w:t xml:space="preserve"> and </w:t>
      </w:r>
      <w:r>
        <w:rPr>
          <w:rFonts w:ascii="Consolas" w:hAnsi="Consolas"/>
          <w:color w:val="188038"/>
        </w:rPr>
        <w:t>CON-CON</w:t>
      </w:r>
      <w:r>
        <w:t xml:space="preserve"> results: blood </w:t>
      </w:r>
      <w:r>
        <w:rPr>
          <w:b/>
        </w:rPr>
        <w:t>1,143 features × 6 times</w:t>
      </w:r>
      <w:r>
        <w:t xml:space="preserve">, muscle </w:t>
      </w:r>
      <w:r>
        <w:rPr>
          <w:b/>
        </w:rPr>
        <w:t>891 features × 3 times</w:t>
      </w:r>
      <w:r>
        <w:t xml:space="preserve">, </w:t>
      </w:r>
      <w:r>
        <w:rPr>
          <w:b/>
        </w:rPr>
        <w:t>28,593 rows</w:t>
      </w:r>
      <w:r>
        <w:t xml:space="preserve">, each with </w:t>
      </w:r>
      <w:r>
        <w:rPr>
          <w:rFonts w:ascii="Consolas" w:hAnsi="Consolas"/>
          <w:color w:val="188038"/>
        </w:rPr>
        <w:t>logFC</w:t>
      </w:r>
      <w:r>
        <w:t xml:space="preserve"> and BH-adjusted p value. No model is fitted; just the MoTrPAC csv (</w:t>
      </w:r>
      <w:r>
        <w:rPr>
          <w:rFonts w:ascii="Consolas" w:hAnsi="Consolas"/>
          <w:color w:val="188038"/>
        </w:rPr>
        <w:t>data/processed/motrpac_metabolite_contrasts.csv.gz</w:t>
      </w:r>
      <w:r>
        <w:t>).</w:t>
      </w:r>
    </w:p>
    <w:p>
      <w:pPr>
        <w:ind w:left="504" w:hanging="432"/>
      </w:pPr>
      <w:r>
        <w:t xml:space="preserve">5.  </w:t>
      </w:r>
      <w:r>
        <w:rPr>
          <w:rFonts w:ascii="Consolas" w:hAnsi="Consolas"/>
          <w:color w:val="188038"/>
        </w:rPr>
        <w:t>05_align_exercise_with_motrpac.py</w:t>
      </w:r>
      <w:r>
        <w:t xml:space="preserve">: </w:t>
      </w:r>
      <w:r>
        <w:rPr>
          <w:b/>
        </w:rPr>
        <w:t>how similar is each group's rest-to-peak change to MoTrPAC's change</w:t>
      </w:r>
      <w:r>
        <w:t xml:space="preserve"> at 20 and 40 minutes (closest to peak)? Metabolites match by exact name: MoTrPAC </w:t>
      </w:r>
      <w:r>
        <w:rPr>
          <w:rFonts w:ascii="Consolas" w:hAnsi="Consolas"/>
          <w:color w:val="188038"/>
        </w:rPr>
        <w:t>refmet_name</w:t>
      </w:r>
      <w:r>
        <w:t xml:space="preserve">, or its </w:t>
      </w:r>
      <w:r>
        <w:rPr>
          <w:rFonts w:ascii="Consolas" w:hAnsi="Consolas"/>
          <w:color w:val="188038"/>
        </w:rPr>
        <w:t>feature_id</w:t>
      </w:r>
      <w:r>
        <w:t xml:space="preserve"> when the RefMet name is blank (mostly lipids like "PC 40:4"). </w:t>
      </w:r>
      <w:r>
        <w:rPr>
          <w:b/>
        </w:rPr>
        <w:t>340 names</w:t>
      </w:r>
      <w:r>
        <w:t xml:space="preserve"> match (178 through </w:t>
      </w:r>
      <w:r>
        <w:rPr>
          <w:rFonts w:ascii="Consolas" w:hAnsi="Consolas"/>
          <w:color w:val="188038"/>
        </w:rPr>
        <w:t>feature_id</w:t>
      </w:r>
      <w:r>
        <w:t>). Spearman rho is descriptive only.</w:t>
      </w:r>
    </w:p>
    <w:tbl>
      <w:tblPr>
        <w:tblStyle w:val="TableGrid"/>
        <w:tblW w:type="auto" w:w="0"/>
        <w:jc w:val="center"/>
        <w:tblLook w:firstColumn="1" w:firstRow="1" w:lastColumn="0" w:lastRow="0" w:noHBand="0" w:noVBand="1" w:val="04A0"/>
      </w:tblPr>
      <w:tblGrid>
        <w:gridCol w:w="1918"/>
        <w:gridCol w:w="1918"/>
        <w:gridCol w:w="1918"/>
        <w:gridCol w:w="1918"/>
        <w:gridCol w:w="1918"/>
      </w:tblGrid>
      <w:tr>
        <w:tc>
          <w:tcPr>
            <w:tcW w:type="dxa" w:w="2736"/>
            <w:shd w:val="clear" w:fill="EDEDED"/>
          </w:tcPr>
          <w:p>
            <w:pPr>
              <w:spacing w:after="0"/>
            </w:pPr>
            <w:r>
              <w:rPr>
                <w:b/>
                <w:sz w:val="19"/>
              </w:rPr>
              <w:t>MoTrPAC contrast, 20 min</w:t>
            </w:r>
          </w:p>
        </w:tc>
        <w:tc>
          <w:tcPr>
            <w:tcW w:type="dxa" w:w="1296"/>
            <w:shd w:val="clear" w:fill="EDEDED"/>
          </w:tcPr>
          <w:p>
            <w:pPr>
              <w:spacing w:after="0"/>
            </w:pPr>
            <w:r>
              <w:rPr>
                <w:b/>
                <w:sz w:val="19"/>
              </w:rPr>
              <w:t>PAH (all)</w:t>
            </w:r>
          </w:p>
        </w:tc>
        <w:tc>
          <w:tcPr>
            <w:tcW w:type="dxa" w:w="1584"/>
            <w:shd w:val="clear" w:fill="EDEDED"/>
          </w:tcPr>
          <w:p>
            <w:pPr>
              <w:spacing w:after="0"/>
            </w:pPr>
            <w:r>
              <w:rPr>
                <w:b/>
                <w:sz w:val="19"/>
              </w:rPr>
              <w:t>Healthy (all)</w:t>
            </w:r>
          </w:p>
        </w:tc>
        <w:tc>
          <w:tcPr>
            <w:tcW w:type="dxa" w:w="1728"/>
            <w:shd w:val="clear" w:fill="EDEDED"/>
          </w:tcPr>
          <w:p>
            <w:pPr>
              <w:spacing w:after="0"/>
            </w:pPr>
            <w:r>
              <w:rPr>
                <w:b/>
                <w:sz w:val="19"/>
              </w:rPr>
              <w:t>PAH (RefMet-only)</w:t>
            </w:r>
          </w:p>
        </w:tc>
        <w:tc>
          <w:tcPr>
            <w:tcW w:type="dxa" w:w="2016"/>
            <w:shd w:val="clear" w:fill="EDEDED"/>
          </w:tcPr>
          <w:p>
            <w:pPr>
              <w:spacing w:after="0"/>
            </w:pPr>
            <w:r>
              <w:rPr>
                <w:b/>
                <w:sz w:val="19"/>
              </w:rPr>
              <w:t>Healthy (RefMet-only)</w:t>
            </w:r>
          </w:p>
        </w:tc>
      </w:tr>
      <w:tr>
        <w:tc>
          <w:tcPr>
            <w:tcW w:type="dxa" w:w="2736"/>
          </w:tcPr>
          <w:p>
            <w:pPr>
              <w:spacing w:after="0"/>
            </w:pPr>
            <w:r>
              <w:rPr>
                <w:rFonts w:ascii="Consolas" w:hAnsi="Consolas"/>
                <w:color w:val="188038"/>
                <w:sz w:val="19"/>
              </w:rPr>
              <w:t>EE-CON</w:t>
            </w:r>
          </w:p>
        </w:tc>
        <w:tc>
          <w:tcPr>
            <w:tcW w:type="dxa" w:w="1296"/>
          </w:tcPr>
          <w:p>
            <w:pPr>
              <w:spacing w:after="0"/>
            </w:pPr>
            <w:r>
              <w:rPr>
                <w:sz w:val="19"/>
              </w:rPr>
              <w:t>0.24</w:t>
            </w:r>
          </w:p>
        </w:tc>
        <w:tc>
          <w:tcPr>
            <w:tcW w:type="dxa" w:w="1584"/>
          </w:tcPr>
          <w:p>
            <w:pPr>
              <w:spacing w:after="0"/>
            </w:pPr>
            <w:r>
              <w:rPr>
                <w:sz w:val="19"/>
              </w:rPr>
              <w:t>0.12</w:t>
            </w:r>
          </w:p>
        </w:tc>
        <w:tc>
          <w:tcPr>
            <w:tcW w:type="dxa" w:w="1728"/>
          </w:tcPr>
          <w:p>
            <w:pPr>
              <w:spacing w:after="0"/>
            </w:pPr>
            <w:r>
              <w:rPr>
                <w:sz w:val="19"/>
              </w:rPr>
              <w:t>0.44</w:t>
            </w:r>
          </w:p>
        </w:tc>
        <w:tc>
          <w:tcPr>
            <w:tcW w:type="dxa" w:w="2016"/>
          </w:tcPr>
          <w:p>
            <w:pPr>
              <w:spacing w:after="0"/>
            </w:pPr>
            <w:r>
              <w:rPr>
                <w:sz w:val="19"/>
              </w:rPr>
              <w:t>0.27</w:t>
            </w:r>
          </w:p>
        </w:tc>
      </w:tr>
      <w:tr>
        <w:tc>
          <w:tcPr>
            <w:tcW w:type="dxa" w:w="2736"/>
          </w:tcPr>
          <w:p>
            <w:pPr>
              <w:spacing w:after="0"/>
            </w:pPr>
            <w:r>
              <w:rPr>
                <w:rFonts w:ascii="Consolas" w:hAnsi="Consolas"/>
                <w:color w:val="188038"/>
                <w:sz w:val="19"/>
              </w:rPr>
              <w:t>EE-EE</w:t>
            </w:r>
            <w:r>
              <w:rPr>
                <w:sz w:val="19"/>
              </w:rPr>
              <w:t xml:space="preserve"> (like-for-like)</w:t>
            </w:r>
          </w:p>
        </w:tc>
        <w:tc>
          <w:tcPr>
            <w:tcW w:type="dxa" w:w="1296"/>
          </w:tcPr>
          <w:p>
            <w:pPr>
              <w:spacing w:after="0"/>
            </w:pPr>
            <w:r>
              <w:rPr>
                <w:sz w:val="19"/>
              </w:rPr>
              <w:t>0.08</w:t>
            </w:r>
          </w:p>
        </w:tc>
        <w:tc>
          <w:tcPr>
            <w:tcW w:type="dxa" w:w="1584"/>
          </w:tcPr>
          <w:p>
            <w:pPr>
              <w:spacing w:after="0"/>
            </w:pPr>
            <w:r>
              <w:rPr>
                <w:sz w:val="19"/>
              </w:rPr>
              <w:t>0.19</w:t>
            </w:r>
          </w:p>
        </w:tc>
        <w:tc>
          <w:tcPr>
            <w:tcW w:type="dxa" w:w="1728"/>
          </w:tcPr>
          <w:p>
            <w:pPr>
              <w:spacing w:after="0"/>
            </w:pPr>
            <w:r>
              <w:rPr>
                <w:sz w:val="19"/>
              </w:rPr>
              <w:t>0.29</w:t>
            </w:r>
          </w:p>
        </w:tc>
        <w:tc>
          <w:tcPr>
            <w:tcW w:type="dxa" w:w="2016"/>
          </w:tcPr>
          <w:p>
            <w:pPr>
              <w:spacing w:after="0"/>
            </w:pPr>
            <w:r>
              <w:rPr>
                <w:sz w:val="19"/>
              </w:rPr>
              <w:t>0.30</w:t>
            </w:r>
          </w:p>
        </w:tc>
      </w:tr>
      <w:tr>
        <w:tc>
          <w:tcPr>
            <w:tcW w:type="dxa" w:w="2736"/>
          </w:tcPr>
          <w:p>
            <w:pPr>
              <w:spacing w:after="0"/>
            </w:pPr>
            <w:r>
              <w:rPr>
                <w:rFonts w:ascii="Consolas" w:hAnsi="Consolas"/>
                <w:color w:val="188038"/>
                <w:sz w:val="19"/>
              </w:rPr>
              <w:t>CON-CON</w:t>
            </w:r>
          </w:p>
        </w:tc>
        <w:tc>
          <w:tcPr>
            <w:tcW w:type="dxa" w:w="1296"/>
          </w:tcPr>
          <w:p>
            <w:pPr>
              <w:spacing w:after="0"/>
            </w:pPr>
            <w:r>
              <w:rPr>
                <w:sz w:val="19"/>
              </w:rPr>
              <w:t>−0.22</w:t>
            </w:r>
          </w:p>
        </w:tc>
        <w:tc>
          <w:tcPr>
            <w:tcW w:type="dxa" w:w="1584"/>
          </w:tcPr>
          <w:p>
            <w:pPr>
              <w:spacing w:after="0"/>
            </w:pPr>
            <w:r>
              <w:rPr>
                <w:sz w:val="19"/>
              </w:rPr>
              <w:t>−0.04</w:t>
            </w:r>
          </w:p>
        </w:tc>
        <w:tc>
          <w:tcPr>
            <w:tcW w:type="dxa" w:w="1728"/>
          </w:tcPr>
          <w:p>
            <w:pPr>
              <w:spacing w:after="0"/>
            </w:pPr>
            <w:r>
              <w:rPr>
                <w:sz w:val="19"/>
              </w:rPr>
              <w:t>−0.18</w:t>
            </w:r>
          </w:p>
        </w:tc>
        <w:tc>
          <w:tcPr>
            <w:tcW w:type="dxa" w:w="2016"/>
          </w:tcPr>
          <w:p>
            <w:pPr>
              <w:spacing w:after="0"/>
            </w:pPr>
            <w:r>
              <w:rPr>
                <w:sz w:val="19"/>
              </w:rPr>
              <w:t>−0.10</w:t>
            </w:r>
          </w:p>
        </w:tc>
      </w:tr>
    </w:tbl>
    <w:p/>
    <w:p>
      <w:pPr>
        <w:ind w:left="1008" w:hanging="288"/>
      </w:pPr>
      <w:r>
        <w:t xml:space="preserve">-  With the like-for-like </w:t>
      </w:r>
      <w:r>
        <w:rPr>
          <w:rFonts w:ascii="Consolas" w:hAnsi="Consolas"/>
          <w:color w:val="188038"/>
        </w:rPr>
        <w:t>EE-EE</w:t>
      </w:r>
      <w:r>
        <w:t xml:space="preserve">, </w:t>
      </w:r>
      <w:r>
        <w:rPr>
          <w:b/>
        </w:rPr>
        <w:t>PAH is no more MoTrPAC-like than healthy</w:t>
      </w:r>
      <w:r>
        <w:t>.</w:t>
      </w:r>
    </w:p>
    <w:p>
      <w:pPr>
        <w:ind w:left="1008" w:hanging="288"/>
      </w:pPr>
      <w:r>
        <w:t xml:space="preserve">-  PAH's extra likeness under </w:t>
      </w:r>
      <w:r>
        <w:rPr>
          <w:rFonts w:ascii="Consolas" w:hAnsi="Consolas"/>
          <w:color w:val="188038"/>
        </w:rPr>
        <w:t>EE-CON</w:t>
      </w:r>
      <w:r>
        <w:t xml:space="preserve"> comes from the control side: PAH changes run slightly opposite to MoTrPAC's resting-control drift, and subtracting that drift inflates the match.</w:t>
      </w:r>
    </w:p>
    <w:p>
      <w:pPr>
        <w:ind w:left="504" w:hanging="432"/>
      </w:pPr>
      <w:r>
        <w:t xml:space="preserve">6.  </w:t>
      </w:r>
      <w:r>
        <w:rPr>
          <w:rFonts w:ascii="Consolas" w:hAnsi="Consolas"/>
          <w:color w:val="188038"/>
        </w:rPr>
        <w:t>06_build_context_table.py</w:t>
      </w:r>
      <w:r>
        <w:t xml:space="preserve"> adds MoTrPAC context to </w:t>
      </w:r>
      <w:r>
        <w:rPr>
          <w:b/>
        </w:rPr>
        <w:t>any PAH metabolite list</w:t>
      </w:r>
      <w:r>
        <w:t xml:space="preserve"> in one standard format; it already includes script 03's resting list. Per metabolite: exercise effect by time, peak time, still changed at 3.5–24 h, largest control drift, muscle response, and a label. A label needs </w:t>
      </w:r>
      <w:r>
        <w:rPr>
          <w:b/>
        </w:rPr>
        <w:t>q &lt; 0.05 and |log2 FC| ≥ 0.5</w:t>
      </w:r>
      <w:r>
        <w:t xml:space="preserve"> (about 1.4-fold); with q alone, 78% of all metabolites "drift" in MoTrPAC controls, which says nothing.</w:t>
      </w:r>
    </w:p>
    <w:p>
      <w:pPr>
        <w:ind w:left="1008" w:hanging="288"/>
      </w:pPr>
      <w:r>
        <w:t xml:space="preserve">-  41 resting hits: </w:t>
      </w:r>
      <w:r>
        <w:rPr>
          <w:b/>
        </w:rPr>
        <w:t>27 match MoTrPAC blood; 24 are "stable in MoTrPAC blood"</w:t>
      </w:r>
      <w:r>
        <w:t>, 3 triglycerides "drift without exercise", 14 unmatched (e.g. arachidonic acid is only in MoTrPAC muscle).</w:t>
      </w:r>
    </w:p>
    <w:p>
      <w:pPr>
        <w:ind w:left="1008" w:hanging="288"/>
      </w:pPr>
      <w:r>
        <w:t xml:space="preserve">-  Hits are </w:t>
      </w:r>
      <w:r>
        <w:rPr>
          <w:b/>
        </w:rPr>
        <w:t>no more exercise-sensitive</w:t>
      </w:r>
      <w:r>
        <w:t xml:space="preserve"> (0% vs 4.1%, Fisher P 0.61) or drift-sensitive (11% vs 6.8%, P 0.42) than the study's other matched metabolites.</w:t>
      </w:r>
    </w:p>
    <w:p>
      <w:pPr>
        <w:ind w:left="1008" w:hanging="288"/>
      </w:pPr>
      <w:r>
        <w:t xml:space="preserve">-  Resting differences are a median </w:t>
      </w:r>
      <w:r>
        <w:rPr>
          <w:b/>
        </w:rPr>
        <w:t>3.1 times</w:t>
      </w:r>
      <w:r>
        <w:t xml:space="preserve"> (range 1.1–16) MoTrPAC's largest control drift. Free fatty acids mostly ≥ 2.5 times; the three triglycerides only 1.3–1.6 times, so fasting or time of day could contribute to those.</w:t>
      </w:r>
    </w:p>
    <w:p>
      <w:pPr>
        <w:ind w:left="504" w:hanging="432"/>
      </w:pPr>
      <w:r>
        <w:t xml:space="preserve">7.  </w:t>
      </w:r>
      <w:r>
        <w:rPr>
          <w:rFonts w:ascii="Consolas" w:hAnsi="Consolas"/>
          <w:color w:val="188038"/>
        </w:rPr>
        <w:t>07_plot_resting_setting_effect.py</w:t>
      </w:r>
      <w:r>
        <w:t xml:space="preserve"> plots the 12 strongest resting results in every group, relative to healthy. The three Cath groups sit together, far from healthy; low-risk SSc sits near healthy. PAH does not stand apart from normal-pressure SSc.</w:t>
      </w:r>
    </w:p>
    <w:p>
      <w:r>
        <w:drawing>
          <wp:inline xmlns:a="http://schemas.openxmlformats.org/drawingml/2006/main" xmlns:pic="http://schemas.openxmlformats.org/drawingml/2006/picture">
            <wp:extent cx="5669280" cy="4393692"/>
            <wp:docPr id="1" name="Picture 1"/>
            <wp:cNvGraphicFramePr>
              <a:graphicFrameLocks noChangeAspect="1"/>
            </wp:cNvGraphicFramePr>
            <a:graphic>
              <a:graphicData uri="http://schemas.openxmlformats.org/drawingml/2006/picture">
                <pic:pic>
                  <pic:nvPicPr>
                    <pic:cNvPr id="0" name="07_resting_setting_effect.png"/>
                    <pic:cNvPicPr/>
                  </pic:nvPicPr>
                  <pic:blipFill>
                    <a:blip r:embed="rId9"/>
                    <a:stretch>
                      <a:fillRect/>
                    </a:stretch>
                  </pic:blipFill>
                  <pic:spPr>
                    <a:xfrm>
                      <a:off x="0" y="0"/>
                      <a:ext cx="5669280" cy="4393692"/>
                    </a:xfrm>
                    <a:prstGeom prst="rect"/>
                  </pic:spPr>
                </pic:pic>
              </a:graphicData>
            </a:graphic>
          </wp:inline>
        </w:drawing>
      </w:r>
    </w:p>
    <w:p>
      <w:pPr>
        <w:pStyle w:val="Heading1"/>
      </w:pPr>
      <w:r>
        <w:t>Adding a paper's metabolite list</w:t>
      </w:r>
    </w:p>
    <w:p>
      <w:r>
        <w:t xml:space="preserve">Save a CSV in </w:t>
      </w:r>
      <w:r>
        <w:rPr>
          <w:rFonts w:ascii="Consolas" w:hAnsi="Consolas"/>
          <w:color w:val="188038"/>
        </w:rPr>
        <w:t>data/pah_metabolite_lists/</w:t>
      </w:r>
      <w:r>
        <w:t xml:space="preserve"> and rerun script 06. Columns: </w:t>
      </w:r>
      <w:r>
        <w:rPr>
          <w:rFonts w:ascii="Consolas" w:hAnsi="Consolas"/>
          <w:color w:val="188038"/>
        </w:rPr>
        <w:t>list_id</w:t>
      </w:r>
      <w:r>
        <w:t xml:space="preserve">, </w:t>
      </w:r>
      <w:r>
        <w:rPr>
          <w:rFonts w:ascii="Consolas" w:hAnsi="Consolas"/>
          <w:color w:val="188038"/>
        </w:rPr>
        <w:t>source</w:t>
      </w:r>
      <w:r>
        <w:t xml:space="preserve">, </w:t>
      </w:r>
      <w:r>
        <w:rPr>
          <w:rFonts w:ascii="Consolas" w:hAnsi="Consolas"/>
          <w:color w:val="188038"/>
        </w:rPr>
        <w:t>source_type</w:t>
      </w:r>
      <w:r>
        <w:t xml:space="preserve"> (</w:t>
      </w:r>
      <w:r>
        <w:rPr>
          <w:rFonts w:ascii="Consolas" w:hAnsi="Consolas"/>
          <w:color w:val="188038"/>
        </w:rPr>
        <w:t>paper_reported</w:t>
      </w:r>
      <w:r>
        <w:t xml:space="preserve"> or </w:t>
      </w:r>
      <w:r>
        <w:rPr>
          <w:rFonts w:ascii="Consolas" w:hAnsi="Consolas"/>
          <w:color w:val="188038"/>
        </w:rPr>
        <w:t>our_reanalysis</w:t>
      </w:r>
      <w:r>
        <w:t xml:space="preserve">), </w:t>
      </w:r>
      <w:r>
        <w:rPr>
          <w:rFonts w:ascii="Consolas" w:hAnsi="Consolas"/>
          <w:color w:val="188038"/>
        </w:rPr>
        <w:t>comparison</w:t>
      </w:r>
      <w:r>
        <w:t xml:space="preserve">, </w:t>
      </w:r>
      <w:r>
        <w:rPr>
          <w:rFonts w:ascii="Consolas" w:hAnsi="Consolas"/>
          <w:color w:val="188038"/>
        </w:rPr>
        <w:t>metabolite_name</w:t>
      </w:r>
      <w:r>
        <w:t xml:space="preserve">, </w:t>
      </w:r>
      <w:r>
        <w:rPr>
          <w:rFonts w:ascii="Consolas" w:hAnsi="Consolas"/>
          <w:color w:val="188038"/>
        </w:rPr>
        <w:t>refmet_name</w:t>
      </w:r>
      <w:r>
        <w:t xml:space="preserve"> (use the Workbench RefMet name converter), </w:t>
      </w:r>
      <w:r>
        <w:rPr>
          <w:rFonts w:ascii="Consolas" w:hAnsi="Consolas"/>
          <w:color w:val="188038"/>
        </w:rPr>
        <w:t>pah_log2_effect</w:t>
      </w:r>
      <w:r>
        <w:t xml:space="preserve">, </w:t>
      </w:r>
      <w:r>
        <w:rPr>
          <w:rFonts w:ascii="Consolas" w:hAnsi="Consolas"/>
          <w:color w:val="188038"/>
        </w:rPr>
        <w:t>pah_direction</w:t>
      </w:r>
      <w:r>
        <w:t xml:space="preserve"> (up/down), </w:t>
      </w:r>
      <w:r>
        <w:rPr>
          <w:rFonts w:ascii="Consolas" w:hAnsi="Consolas"/>
          <w:color w:val="188038"/>
        </w:rPr>
        <w:t>pah_q_value</w:t>
      </w:r>
      <w:r>
        <w:t xml:space="preserve">, </w:t>
      </w:r>
      <w:r>
        <w:rPr>
          <w:rFonts w:ascii="Consolas" w:hAnsi="Consolas"/>
          <w:color w:val="188038"/>
        </w:rPr>
        <w:t>is_reported_hit</w:t>
      </w:r>
      <w:r>
        <w:t xml:space="preserve"> (True = PAH-altered, False = background) and </w:t>
      </w:r>
      <w:r>
        <w:rPr>
          <w:rFonts w:ascii="Consolas" w:hAnsi="Consolas"/>
          <w:color w:val="188038"/>
        </w:rPr>
        <w:t>caveat</w:t>
      </w:r>
      <w:r>
        <w:t>. Without False background rows, each marker is still annotated, but you cannot say PAH markers are more exercise-sensitive than metabolites in general.</w:t>
      </w:r>
    </w:p>
    <w:p>
      <w:pPr>
        <w:pStyle w:val="Heading1"/>
      </w:pPr>
      <w:r>
        <w:t>Run it</w:t>
      </w:r>
    </w:p>
    <w:p>
      <w:r>
        <w:t xml:space="preserve">Python 3.10+ with </w:t>
      </w:r>
      <w:r>
        <w:rPr>
          <w:rFonts w:ascii="Consolas" w:hAnsi="Consolas"/>
          <w:color w:val="188038"/>
        </w:rPr>
        <w:t>requirements.txt</w:t>
      </w:r>
      <w:r>
        <w:t xml:space="preserve">; R 4.4+ with </w:t>
      </w:r>
      <w:r>
        <w:rPr>
          <w:rFonts w:ascii="Consolas" w:hAnsi="Consolas"/>
          <w:color w:val="188038"/>
        </w:rPr>
        <w:t>MotrpacHumanPreSuspensionAnalysis</w:t>
      </w:r>
      <w:r>
        <w:t xml:space="preserve"> 2.0.8 for step 04. From any folder: </w:t>
      </w:r>
      <w:r>
        <w:rPr>
          <w:rFonts w:ascii="Consolas" w:hAnsi="Consolas"/>
          <w:color w:val="188038"/>
        </w:rPr>
        <w:t>python run_pipeline.py</w:t>
      </w:r>
      <w:r>
        <w:t xml:space="preserve">. Add </w:t>
      </w:r>
      <w:r>
        <w:rPr>
          <w:rFonts w:ascii="Consolas" w:hAnsi="Consolas"/>
          <w:color w:val="188038"/>
        </w:rPr>
        <w:t>--r-library PATH</w:t>
      </w:r>
      <w:r>
        <w:t xml:space="preserve"> if the package is in its own library, or </w:t>
      </w:r>
      <w:r>
        <w:rPr>
          <w:rFonts w:ascii="Consolas" w:hAnsi="Consolas"/>
          <w:color w:val="188038"/>
        </w:rPr>
        <w:t>--skip-r</w:t>
      </w:r>
      <w:r>
        <w:t xml:space="preserve"> to reuse the bundled MoTrPAC export. Each script also runs on its own after the steps before it. Verified locally with Python 3.12.0 and R 4.4.2.</w:t>
      </w:r>
    </w:p>
    <w:p>
      <w:pPr>
        <w:pStyle w:val="Heading1"/>
      </w:pPr>
      <w:r>
        <w:t>Concise conclusion</w:t>
      </w:r>
    </w:p>
    <w:p>
      <w:r>
        <w:t>In ST000763, no metabolite's acute exercise response differs between SSc-PAH and healthy people or other SSc groups. At rest, PAH differs strongly from healthy people, but normal-pressure SSc sampled in the same catheterization setting shows almost the same differences, and PAH versus that group gives none. MoTrPAC shows these metabolites are mostly stable in healthy people, with or without exercise, and the resting differences are several times larger than normal drift. So recent exercise or time of day does not explain them; sampling setting and/or scleroderma is the leading explanation, not PAH. Practical message for PAH metabolite biomarkers: match sampling conditions and record recent activity. These are cross-study descriptions from inferred pairs and public labels, not proof of mechanism.</w:t>
      </w:r>
    </w:p>
    <w:sectPr w:rsidR="00FC693F" w:rsidRPr="0006063C" w:rsidSect="00034616">
      <w:pgSz w:w="12240" w:h="15840"/>
      <w:pgMar w:top="1325" w:right="1325" w:bottom="1325"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