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Calibri" w:hAnsi="Calibri"/>
          <w:b/>
          <w:color w:val="000000"/>
          <w:sz w:val="48"/>
        </w:rPr>
        <w:t>Understanding AI for Legal Professionals</w:t>
      </w:r>
    </w:p>
    <w:p>
      <w:pPr>
        <w:spacing w:before="0" w:after="240"/>
        <w:jc w:val="center"/>
      </w:pPr>
      <w:r>
        <w:rPr>
          <w:rFonts w:ascii="Calibri" w:hAnsi="Calibri"/>
          <w:i/>
          <w:color w:val="555555"/>
          <w:sz w:val="24"/>
        </w:rPr>
        <w:t>Draft syllabus and curated readings</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4680"/>
        <w:gridCol w:w="4680"/>
      </w:tblGrid>
      <w:tr>
        <w:tc>
          <w:tcPr>
            <w:tcW w:type="dxa" w:w="2592"/>
            <w:shd w:fill="F5F7FA"/>
            <w:vAlign w:val="center"/>
          </w:tcPr>
          <w:p>
            <w:pPr>
              <w:spacing w:before="0" w:after="0"/>
            </w:pPr>
            <w:r>
              <w:rPr>
                <w:rFonts w:ascii="Calibri" w:hAnsi="Calibri"/>
                <w:b/>
                <w:sz w:val="21"/>
              </w:rPr>
              <w:t>Course</w:t>
            </w:r>
          </w:p>
        </w:tc>
        <w:tc>
          <w:tcPr>
            <w:tcW w:type="dxa" w:w="6768"/>
            <w:shd w:fill="FFFFFF"/>
            <w:vAlign w:val="center"/>
          </w:tcPr>
          <w:p>
            <w:pPr>
              <w:spacing w:before="0" w:after="0"/>
            </w:pPr>
            <w:r>
              <w:rPr>
                <w:rFonts w:ascii="Calibri" w:hAnsi="Calibri"/>
                <w:sz w:val="21"/>
              </w:rPr>
              <w:t>Understanding AI for Legal Professionals</w:t>
            </w:r>
          </w:p>
        </w:tc>
      </w:tr>
      <w:tr>
        <w:tc>
          <w:tcPr>
            <w:tcW w:type="dxa" w:w="2592"/>
            <w:shd w:fill="F5F7FA"/>
            <w:vAlign w:val="center"/>
          </w:tcPr>
          <w:p>
            <w:pPr>
              <w:spacing w:before="0" w:after="0"/>
            </w:pPr>
            <w:r>
              <w:rPr>
                <w:rFonts w:ascii="Calibri" w:hAnsi="Calibri"/>
                <w:b/>
                <w:sz w:val="21"/>
              </w:rPr>
              <w:t>Status</w:t>
            </w:r>
          </w:p>
        </w:tc>
        <w:tc>
          <w:tcPr>
            <w:tcW w:type="dxa" w:w="6768"/>
            <w:shd w:fill="FFFFFF"/>
            <w:vAlign w:val="center"/>
          </w:tcPr>
          <w:p>
            <w:pPr>
              <w:spacing w:before="0" w:after="0"/>
            </w:pPr>
            <w:r>
              <w:rPr>
                <w:rFonts w:ascii="Calibri" w:hAnsi="Calibri"/>
                <w:sz w:val="21"/>
              </w:rPr>
              <w:t>Draft for faculty review</w:t>
            </w:r>
          </w:p>
        </w:tc>
      </w:tr>
      <w:tr>
        <w:tc>
          <w:tcPr>
            <w:tcW w:type="dxa" w:w="2592"/>
            <w:shd w:fill="F5F7FA"/>
            <w:vAlign w:val="center"/>
          </w:tcPr>
          <w:p>
            <w:pPr>
              <w:spacing w:before="0" w:after="0"/>
            </w:pPr>
            <w:r>
              <w:rPr>
                <w:rFonts w:ascii="Calibri" w:hAnsi="Calibri"/>
                <w:b/>
                <w:sz w:val="21"/>
              </w:rPr>
              <w:t>Version date</w:t>
            </w:r>
          </w:p>
        </w:tc>
        <w:tc>
          <w:tcPr>
            <w:tcW w:type="dxa" w:w="6768"/>
            <w:shd w:fill="FFFFFF"/>
            <w:vAlign w:val="center"/>
          </w:tcPr>
          <w:p>
            <w:pPr>
              <w:spacing w:before="0" w:after="0"/>
            </w:pPr>
            <w:r>
              <w:rPr>
                <w:rFonts w:ascii="Calibri" w:hAnsi="Calibri"/>
                <w:sz w:val="21"/>
              </w:rPr>
              <w:t>August 3, 2026</w:t>
            </w:r>
          </w:p>
        </w:tc>
      </w:tr>
      <w:tr>
        <w:tc>
          <w:tcPr>
            <w:tcW w:type="dxa" w:w="2592"/>
            <w:shd w:fill="F5F7FA"/>
            <w:vAlign w:val="center"/>
          </w:tcPr>
          <w:p>
            <w:pPr>
              <w:spacing w:before="0" w:after="0"/>
            </w:pPr>
            <w:r>
              <w:rPr>
                <w:rFonts w:ascii="Calibri" w:hAnsi="Calibri"/>
                <w:b/>
                <w:sz w:val="21"/>
              </w:rPr>
              <w:t>Assumptions</w:t>
            </w:r>
          </w:p>
        </w:tc>
        <w:tc>
          <w:tcPr>
            <w:tcW w:type="dxa" w:w="6768"/>
            <w:shd w:fill="FFFFFF"/>
            <w:vAlign w:val="center"/>
          </w:tcPr>
          <w:p>
            <w:pPr>
              <w:spacing w:before="0" w:after="0"/>
            </w:pPr>
            <w:r>
              <w:rPr>
                <w:rFonts w:ascii="Calibri" w:hAnsi="Calibri"/>
                <w:sz w:val="21"/>
              </w:rPr>
              <w:t>10 meetings; mixed JD/LLM/professional audience; no technical prerequisites</w:t>
            </w:r>
          </w:p>
        </w:tc>
      </w:tr>
    </w:tbl>
    <w:p>
      <w:pPr>
        <w:spacing w:after="120"/>
      </w:pPr>
    </w:p>
    <w:p>
      <w:pPr>
        <w:pStyle w:val="Heading1"/>
      </w:pPr>
      <w:r>
        <w:t>Draft Assumptions and Faculty Decisions</w:t>
      </w:r>
    </w:p>
    <w:p>
      <w:pPr>
        <w:pStyle w:val="ListBullet"/>
        <w:spacing w:before="0" w:after="80" w:line="276" w:lineRule="auto"/>
      </w:pPr>
      <w:r>
        <w:rPr>
          <w:rFonts w:ascii="Calibri" w:hAnsi="Calibri"/>
          <w:sz w:val="22"/>
        </w:rPr>
        <w:t>The draft assumes a 10-meeting seminar or short professional course that meets once per week.</w:t>
      </w:r>
    </w:p>
    <w:p>
      <w:pPr>
        <w:pStyle w:val="ListBullet"/>
        <w:spacing w:before="0" w:after="80" w:line="276" w:lineRule="auto"/>
      </w:pPr>
      <w:r>
        <w:rPr>
          <w:rFonts w:ascii="Calibri" w:hAnsi="Calibri"/>
          <w:sz w:val="22"/>
        </w:rPr>
        <w:t>The audience is assumed to include JD students, LLM students, and practicing lawyers or legal staff.</w:t>
      </w:r>
    </w:p>
    <w:p>
      <w:pPr>
        <w:pStyle w:val="ListBullet"/>
        <w:spacing w:before="0" w:after="80" w:line="276" w:lineRule="auto"/>
      </w:pPr>
      <w:r>
        <w:rPr>
          <w:rFonts w:ascii="Calibri" w:hAnsi="Calibri"/>
          <w:sz w:val="22"/>
        </w:rPr>
        <w:t>The draft assumes no coding prerequisite and focuses on legal judgment, verification, and governance rather than programming.</w:t>
      </w:r>
    </w:p>
    <w:p>
      <w:pPr>
        <w:pStyle w:val="ListBullet"/>
        <w:spacing w:before="0" w:after="80" w:line="276" w:lineRule="auto"/>
      </w:pPr>
      <w:r>
        <w:rPr>
          <w:rFonts w:ascii="Calibri" w:hAnsi="Calibri"/>
          <w:sz w:val="22"/>
        </w:rPr>
        <w:t>The AI policy below uses a selective-use model: some preparation and in-class experimentation are allowed, but graded work requires clear disclosure and human verification.</w:t>
      </w:r>
    </w:p>
    <w:p>
      <w:pPr>
        <w:pStyle w:val="ListBullet"/>
        <w:spacing w:before="0" w:after="80" w:line="276" w:lineRule="auto"/>
      </w:pPr>
      <w:r>
        <w:rPr>
          <w:rFonts w:ascii="Calibri" w:hAnsi="Calibri"/>
          <w:sz w:val="22"/>
        </w:rPr>
        <w:t>Faculty may still want to decide whether the course should lean more toward litigation practice, transactional practice, or institutional governance.</w:t>
      </w:r>
    </w:p>
    <w:p>
      <w:pPr>
        <w:pStyle w:val="Heading1"/>
      </w:pPr>
      <w:r>
        <w:t>Course Description</w:t>
      </w:r>
    </w:p>
    <w:p>
      <w:pPr>
        <w:spacing w:before="0" w:after="80" w:line="300" w:lineRule="auto"/>
        <w:jc w:val="left"/>
      </w:pPr>
      <w:r>
        <w:rPr>
          <w:rFonts w:ascii="Calibri" w:hAnsi="Calibri"/>
          <w:b w:val="0"/>
          <w:i w:val="0"/>
          <w:color w:val="000000"/>
          <w:sz w:val="22"/>
        </w:rPr>
        <w:t>This course introduces law students and legal professionals to the technical basics of AI, the main operational risks, and the professional responsibilities that follow from adoption. It focuses on the tools lawyers are most likely to encounter: generative AI systems used for research, drafting, summarization, client communications, and internal workflow support.</w:t>
      </w:r>
    </w:p>
    <w:p>
      <w:pPr>
        <w:spacing w:before="0" w:after="80" w:line="300" w:lineRule="auto"/>
        <w:jc w:val="left"/>
      </w:pPr>
      <w:r>
        <w:rPr>
          <w:rFonts w:ascii="Calibri" w:hAnsi="Calibri"/>
          <w:b w:val="0"/>
          <w:i w:val="0"/>
          <w:color w:val="000000"/>
          <w:sz w:val="22"/>
        </w:rPr>
        <w:t>Students will read a mix of technical primers, ethics opinions, court decisions, regulatory texts, and practice-oriented materials. The course is designed to build practical judgment: how to ask better questions of an AI tool, how to verify what it produces, how to decide when AI should not be used, and how to draft office rules that make those judgments repeatable.</w:t>
      </w:r>
    </w:p>
    <w:p>
      <w:pPr>
        <w:pStyle w:val="Heading1"/>
      </w:pPr>
      <w:r>
        <w:t>Learning Objectives</w:t>
      </w:r>
    </w:p>
    <w:p>
      <w:pPr>
        <w:pStyle w:val="ListBullet"/>
        <w:spacing w:before="0" w:after="80" w:line="276" w:lineRule="auto"/>
      </w:pPr>
      <w:r>
        <w:rPr>
          <w:rFonts w:ascii="Calibri" w:hAnsi="Calibri"/>
          <w:sz w:val="22"/>
        </w:rPr>
        <w:t>Explain the major kinds of AI systems and the main reasons they can help or fail in legal settings.</w:t>
      </w:r>
    </w:p>
    <w:p>
      <w:pPr>
        <w:pStyle w:val="ListBullet"/>
        <w:spacing w:before="0" w:after="80" w:line="276" w:lineRule="auto"/>
      </w:pPr>
      <w:r>
        <w:rPr>
          <w:rFonts w:ascii="Calibri" w:hAnsi="Calibri"/>
          <w:sz w:val="22"/>
        </w:rPr>
        <w:t>Identify the central legal and professional risks of generative AI, including hallucinations, confidentiality breaches, bias, overreliance, and copyright confusion.</w:t>
      </w:r>
    </w:p>
    <w:p>
      <w:pPr>
        <w:pStyle w:val="ListBullet"/>
        <w:spacing w:before="0" w:after="80" w:line="276" w:lineRule="auto"/>
      </w:pPr>
      <w:r>
        <w:rPr>
          <w:rFonts w:ascii="Calibri" w:hAnsi="Calibri"/>
          <w:sz w:val="22"/>
        </w:rPr>
        <w:t>Use documentation tools such as model cards, data statements, and risk frameworks to evaluate an AI system before adopting it.</w:t>
      </w:r>
    </w:p>
    <w:p>
      <w:pPr>
        <w:pStyle w:val="ListBullet"/>
        <w:spacing w:before="0" w:after="80" w:line="276" w:lineRule="auto"/>
      </w:pPr>
      <w:r>
        <w:rPr>
          <w:rFonts w:ascii="Calibri" w:hAnsi="Calibri"/>
          <w:sz w:val="22"/>
        </w:rPr>
        <w:t>Apply competence, confidentiality, supervision, candor, and fee principles to realistic legal practice scenarios.</w:t>
      </w:r>
    </w:p>
    <w:p>
      <w:pPr>
        <w:pStyle w:val="ListBullet"/>
        <w:spacing w:before="0" w:after="80" w:line="276" w:lineRule="auto"/>
      </w:pPr>
      <w:r>
        <w:rPr>
          <w:rFonts w:ascii="Calibri" w:hAnsi="Calibri"/>
          <w:sz w:val="22"/>
        </w:rPr>
        <w:t>Design a practical AI-use policy, client advisory, or deployment memo that a legal organization could actually use.</w:t>
      </w:r>
    </w:p>
    <w:p>
      <w:pPr>
        <w:pStyle w:val="ListBullet"/>
        <w:spacing w:before="0" w:after="80" w:line="276" w:lineRule="auto"/>
      </w:pPr>
      <w:r>
        <w:rPr>
          <w:rFonts w:ascii="Calibri" w:hAnsi="Calibri"/>
          <w:sz w:val="22"/>
        </w:rPr>
        <w:t>Verify AI output responsibly and explain the limits of an AI-generated answer in plain language.</w:t>
      </w:r>
    </w:p>
    <w:p>
      <w:pPr>
        <w:pStyle w:val="Heading1"/>
      </w:pPr>
      <w:r>
        <w:t>Assessment and Grading</w:t>
      </w:r>
    </w:p>
    <w:p>
      <w:pPr>
        <w:spacing w:before="0" w:after="160" w:line="300" w:lineRule="auto"/>
        <w:jc w:val="left"/>
      </w:pPr>
      <w:r>
        <w:rPr>
          <w:rFonts w:ascii="Calibri" w:hAnsi="Calibri"/>
          <w:b w:val="0"/>
          <w:i w:val="0"/>
          <w:color w:val="555555"/>
          <w:sz w:val="22"/>
        </w:rPr>
        <w:t>Draft grading model. Adjust weights if the course runs as a seminar, workshop, or non-graded professional program.</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120"/>
        <w:gridCol w:w="3120"/>
        <w:gridCol w:w="3120"/>
      </w:tblGrid>
      <w:tr>
        <w:tc>
          <w:tcPr>
            <w:tcW w:type="dxa" w:w="2160"/>
            <w:shd w:fill="E8EEF5"/>
          </w:tcPr>
          <w:p>
            <w:pPr>
              <w:spacing w:before="0" w:after="0"/>
              <w:jc w:val="center"/>
            </w:pPr>
            <w:r>
              <w:rPr>
                <w:rFonts w:ascii="Calibri" w:hAnsi="Calibri"/>
                <w:b/>
                <w:sz w:val="21"/>
              </w:rPr>
              <w:t>Component</w:t>
            </w:r>
          </w:p>
        </w:tc>
        <w:tc>
          <w:tcPr>
            <w:tcW w:type="dxa" w:w="1296"/>
            <w:shd w:fill="E8EEF5"/>
          </w:tcPr>
          <w:p>
            <w:pPr>
              <w:spacing w:before="0" w:after="0"/>
              <w:jc w:val="center"/>
            </w:pPr>
            <w:r>
              <w:rPr>
                <w:rFonts w:ascii="Calibri" w:hAnsi="Calibri"/>
                <w:b/>
                <w:sz w:val="21"/>
              </w:rPr>
              <w:t>Weight</w:t>
            </w:r>
          </w:p>
        </w:tc>
        <w:tc>
          <w:tcPr>
            <w:tcW w:type="dxa" w:w="5903"/>
            <w:shd w:fill="E8EEF5"/>
          </w:tcPr>
          <w:p>
            <w:pPr>
              <w:spacing w:before="0" w:after="0"/>
              <w:jc w:val="center"/>
            </w:pPr>
            <w:r>
              <w:rPr>
                <w:rFonts w:ascii="Calibri" w:hAnsi="Calibri"/>
                <w:b/>
                <w:sz w:val="21"/>
              </w:rPr>
              <w:t>Draft description</w:t>
            </w:r>
          </w:p>
        </w:tc>
      </w:tr>
      <w:tr>
        <w:tc>
          <w:tcPr>
            <w:tcW w:type="dxa" w:w="3120"/>
          </w:tcPr>
          <w:p>
            <w:pPr>
              <w:spacing w:before="0" w:after="0" w:line="264" w:lineRule="auto"/>
              <w:jc w:val="left"/>
            </w:pPr>
            <w:r>
              <w:rPr>
                <w:rFonts w:ascii="Calibri" w:hAnsi="Calibri"/>
                <w:sz w:val="21"/>
              </w:rPr>
              <w:t>Preparation and participation</w:t>
            </w:r>
          </w:p>
        </w:tc>
        <w:tc>
          <w:tcPr>
            <w:tcW w:type="dxa" w:w="3120"/>
          </w:tcPr>
          <w:p>
            <w:pPr>
              <w:spacing w:before="0" w:after="0" w:line="264" w:lineRule="auto"/>
              <w:jc w:val="center"/>
            </w:pPr>
            <w:r>
              <w:rPr>
                <w:rFonts w:ascii="Calibri" w:hAnsi="Calibri"/>
                <w:sz w:val="21"/>
              </w:rPr>
              <w:t>20%</w:t>
            </w:r>
          </w:p>
        </w:tc>
        <w:tc>
          <w:tcPr>
            <w:tcW w:type="dxa" w:w="3120"/>
          </w:tcPr>
          <w:p>
            <w:pPr>
              <w:spacing w:before="0" w:after="0" w:line="264" w:lineRule="auto"/>
              <w:jc w:val="left"/>
            </w:pPr>
            <w:r>
              <w:rPr>
                <w:rFonts w:ascii="Calibri" w:hAnsi="Calibri"/>
                <w:sz w:val="21"/>
              </w:rPr>
              <w:t>Prepared discussion, in-class exercises, and peer feedback.</w:t>
            </w:r>
          </w:p>
        </w:tc>
      </w:tr>
      <w:tr>
        <w:tc>
          <w:tcPr>
            <w:tcW w:type="dxa" w:w="3120"/>
          </w:tcPr>
          <w:p>
            <w:pPr>
              <w:spacing w:before="0" w:after="0" w:line="264" w:lineRule="auto"/>
              <w:jc w:val="left"/>
            </w:pPr>
            <w:r>
              <w:rPr>
                <w:rFonts w:ascii="Calibri" w:hAnsi="Calibri"/>
                <w:sz w:val="21"/>
              </w:rPr>
              <w:t>Weekly reflection notes</w:t>
            </w:r>
          </w:p>
        </w:tc>
        <w:tc>
          <w:tcPr>
            <w:tcW w:type="dxa" w:w="3120"/>
          </w:tcPr>
          <w:p>
            <w:pPr>
              <w:spacing w:before="0" w:after="0" w:line="264" w:lineRule="auto"/>
              <w:jc w:val="center"/>
            </w:pPr>
            <w:r>
              <w:rPr>
                <w:rFonts w:ascii="Calibri" w:hAnsi="Calibri"/>
                <w:sz w:val="21"/>
              </w:rPr>
              <w:t>20%</w:t>
            </w:r>
          </w:p>
        </w:tc>
        <w:tc>
          <w:tcPr>
            <w:tcW w:type="dxa" w:w="3120"/>
          </w:tcPr>
          <w:p>
            <w:pPr>
              <w:spacing w:before="0" w:after="0" w:line="264" w:lineRule="auto"/>
              <w:jc w:val="left"/>
            </w:pPr>
            <w:r>
              <w:rPr>
                <w:rFonts w:ascii="Calibri" w:hAnsi="Calibri"/>
                <w:sz w:val="21"/>
              </w:rPr>
              <w:t>Short response posts or memos on the assigned readings and tools.</w:t>
            </w:r>
          </w:p>
        </w:tc>
      </w:tr>
      <w:tr>
        <w:tc>
          <w:tcPr>
            <w:tcW w:type="dxa" w:w="3120"/>
          </w:tcPr>
          <w:p>
            <w:pPr>
              <w:spacing w:before="0" w:after="0" w:line="264" w:lineRule="auto"/>
              <w:jc w:val="left"/>
            </w:pPr>
            <w:r>
              <w:rPr>
                <w:rFonts w:ascii="Calibri" w:hAnsi="Calibri"/>
                <w:sz w:val="21"/>
              </w:rPr>
              <w:t>Verification exercise</w:t>
            </w:r>
          </w:p>
        </w:tc>
        <w:tc>
          <w:tcPr>
            <w:tcW w:type="dxa" w:w="3120"/>
          </w:tcPr>
          <w:p>
            <w:pPr>
              <w:spacing w:before="0" w:after="0" w:line="264" w:lineRule="auto"/>
              <w:jc w:val="center"/>
            </w:pPr>
            <w:r>
              <w:rPr>
                <w:rFonts w:ascii="Calibri" w:hAnsi="Calibri"/>
                <w:sz w:val="21"/>
              </w:rPr>
              <w:t>20%</w:t>
            </w:r>
          </w:p>
        </w:tc>
        <w:tc>
          <w:tcPr>
            <w:tcW w:type="dxa" w:w="3120"/>
          </w:tcPr>
          <w:p>
            <w:pPr>
              <w:spacing w:before="0" w:after="0" w:line="264" w:lineRule="auto"/>
              <w:jc w:val="left"/>
            </w:pPr>
            <w:r>
              <w:rPr>
                <w:rFonts w:ascii="Calibri" w:hAnsi="Calibri"/>
                <w:sz w:val="21"/>
              </w:rPr>
              <w:t>A source-check and output-audit exercise using a legal AI scenario.</w:t>
            </w:r>
          </w:p>
        </w:tc>
      </w:tr>
      <w:tr>
        <w:tc>
          <w:tcPr>
            <w:tcW w:type="dxa" w:w="3120"/>
          </w:tcPr>
          <w:p>
            <w:pPr>
              <w:spacing w:before="0" w:after="0" w:line="264" w:lineRule="auto"/>
              <w:jc w:val="left"/>
            </w:pPr>
            <w:r>
              <w:rPr>
                <w:rFonts w:ascii="Calibri" w:hAnsi="Calibri"/>
                <w:sz w:val="21"/>
              </w:rPr>
              <w:t>Final project</w:t>
            </w:r>
          </w:p>
        </w:tc>
        <w:tc>
          <w:tcPr>
            <w:tcW w:type="dxa" w:w="3120"/>
          </w:tcPr>
          <w:p>
            <w:pPr>
              <w:spacing w:before="0" w:after="0" w:line="264" w:lineRule="auto"/>
              <w:jc w:val="center"/>
            </w:pPr>
            <w:r>
              <w:rPr>
                <w:rFonts w:ascii="Calibri" w:hAnsi="Calibri"/>
                <w:sz w:val="21"/>
              </w:rPr>
              <w:t>40%</w:t>
            </w:r>
          </w:p>
        </w:tc>
        <w:tc>
          <w:tcPr>
            <w:tcW w:type="dxa" w:w="3120"/>
          </w:tcPr>
          <w:p>
            <w:pPr>
              <w:spacing w:before="0" w:after="0" w:line="264" w:lineRule="auto"/>
              <w:jc w:val="left"/>
            </w:pPr>
            <w:r>
              <w:rPr>
                <w:rFonts w:ascii="Calibri" w:hAnsi="Calibri"/>
                <w:sz w:val="21"/>
              </w:rPr>
              <w:t>A practical memo, policy draft, or implementation plan for a legal setting.</w:t>
            </w:r>
          </w:p>
        </w:tc>
      </w:tr>
    </w:tbl>
    <w:p>
      <w:pPr>
        <w:spacing w:after="80"/>
      </w:pPr>
    </w:p>
    <w:p>
      <w:pPr>
        <w:pStyle w:val="Heading1"/>
      </w:pPr>
      <w:r>
        <w:t>Student Responsibilities</w:t>
      </w:r>
    </w:p>
    <w:p>
      <w:pPr>
        <w:pStyle w:val="ListBullet"/>
        <w:spacing w:before="0" w:after="80" w:line="276" w:lineRule="auto"/>
      </w:pPr>
      <w:r>
        <w:rPr>
          <w:rFonts w:ascii="Calibri" w:hAnsi="Calibri"/>
          <w:sz w:val="22"/>
        </w:rPr>
        <w:t>Read the assigned materials before class and come prepared to discuss both the law and the practical tradeoffs.</w:t>
      </w:r>
    </w:p>
    <w:p>
      <w:pPr>
        <w:pStyle w:val="ListBullet"/>
        <w:spacing w:before="0" w:after="80" w:line="276" w:lineRule="auto"/>
      </w:pPr>
      <w:r>
        <w:rPr>
          <w:rFonts w:ascii="Calibri" w:hAnsi="Calibri"/>
          <w:sz w:val="22"/>
        </w:rPr>
        <w:t>Bring one concrete question or concern to each session, ideally drawn from a real or plausible legal workflow.</w:t>
      </w:r>
    </w:p>
    <w:p>
      <w:pPr>
        <w:pStyle w:val="ListBullet"/>
        <w:spacing w:before="0" w:after="80" w:line="276" w:lineRule="auto"/>
      </w:pPr>
      <w:r>
        <w:rPr>
          <w:rFonts w:ascii="Calibri" w:hAnsi="Calibri"/>
          <w:sz w:val="22"/>
        </w:rPr>
        <w:t>Keep a record of any AI-assisted work if an assignment permits AI use, including the tool name and the nature of the assistance.</w:t>
      </w:r>
    </w:p>
    <w:p>
      <w:pPr>
        <w:pStyle w:val="ListBullet"/>
        <w:spacing w:before="0" w:after="80" w:line="276" w:lineRule="auto"/>
      </w:pPr>
      <w:r>
        <w:rPr>
          <w:rFonts w:ascii="Calibri" w:hAnsi="Calibri"/>
          <w:sz w:val="22"/>
        </w:rPr>
        <w:t>Do not upload client, clinic, or other nonpublic confidential information into public AI tools.</w:t>
      </w:r>
    </w:p>
    <w:p>
      <w:pPr>
        <w:pStyle w:val="Heading1"/>
      </w:pPr>
      <w:r>
        <w:t>AI Policy</w:t>
      </w:r>
    </w:p>
    <w:p>
      <w:pPr>
        <w:spacing w:before="0" w:after="80" w:line="300" w:lineRule="auto"/>
        <w:jc w:val="left"/>
      </w:pPr>
      <w:r>
        <w:rPr>
          <w:rFonts w:ascii="Calibri" w:hAnsi="Calibri"/>
          <w:b w:val="0"/>
          <w:i w:val="0"/>
          <w:color w:val="000000"/>
          <w:sz w:val="22"/>
        </w:rPr>
        <w:t>This draft uses a selective AI-use posture. Students may use AI for brainstorming, outlining, study questions, and other preparatory work where the assignment allows it. Students may also use AI in structured in-class exercises when asked to do so. Any use that influences graded work must be disclosed if the assignment permits AI at all, and every factual statement, citation, and legal proposition must be independently checked by the student.</w:t>
      </w:r>
    </w:p>
    <w:p>
      <w:pPr>
        <w:spacing w:before="0" w:after="80" w:line="300" w:lineRule="auto"/>
        <w:jc w:val="left"/>
      </w:pPr>
      <w:r>
        <w:rPr>
          <w:rFonts w:ascii="Calibri" w:hAnsi="Calibri"/>
          <w:b w:val="0"/>
          <w:i w:val="0"/>
          <w:color w:val="000000"/>
          <w:sz w:val="22"/>
        </w:rPr>
        <w:t>Permitted examples: summarizing your own notes, generating counterarguments, comparing two policy options, testing an outline, or translating nonconfidential text for study purposes. Permission is required before using AI to draft substantive analysis, locate legal authorities, or revise a graded memo. Prohibited examples: submitting AI-generated analysis or citations as your own, using AI during closed-book exercises, or uploading confidential or privileged material to a public model.</w:t>
      </w:r>
    </w:p>
    <w:p>
      <w:pPr>
        <w:spacing w:before="0" w:after="120" w:line="300" w:lineRule="auto"/>
        <w:jc w:val="left"/>
      </w:pPr>
      <w:r>
        <w:rPr>
          <w:rFonts w:ascii="Calibri" w:hAnsi="Calibri"/>
          <w:b w:val="0"/>
          <w:i/>
          <w:color w:val="555555"/>
          <w:sz w:val="21"/>
        </w:rPr>
        <w:t>If the faculty member prefers a stricter or looser posture, this section should be revised before the syllabus is finalized.</w:t>
      </w:r>
    </w:p>
    <w:p>
      <w:pPr>
        <w:pStyle w:val="Heading1"/>
      </w:pPr>
      <w:r>
        <w:t>Technology Expectations</w:t>
      </w:r>
    </w:p>
    <w:p>
      <w:pPr>
        <w:pStyle w:val="ListBullet"/>
        <w:spacing w:before="0" w:after="80" w:line="276" w:lineRule="auto"/>
      </w:pPr>
      <w:r>
        <w:rPr>
          <w:rFonts w:ascii="Calibri" w:hAnsi="Calibri"/>
          <w:sz w:val="22"/>
        </w:rPr>
        <w:t>Bring a laptop or tablet for reading, note-taking, and any invited AI exercises.</w:t>
      </w:r>
    </w:p>
    <w:p>
      <w:pPr>
        <w:pStyle w:val="ListBullet"/>
        <w:spacing w:before="0" w:after="80" w:line="276" w:lineRule="auto"/>
      </w:pPr>
      <w:r>
        <w:rPr>
          <w:rFonts w:ascii="Calibri" w:hAnsi="Calibri"/>
          <w:sz w:val="22"/>
        </w:rPr>
        <w:t>Use only institutionally approved tools for confidential or sensitive material.</w:t>
      </w:r>
    </w:p>
    <w:p>
      <w:pPr>
        <w:pStyle w:val="ListBullet"/>
        <w:spacing w:before="0" w:after="80" w:line="276" w:lineRule="auto"/>
      </w:pPr>
      <w:r>
        <w:rPr>
          <w:rFonts w:ascii="Calibri" w:hAnsi="Calibri"/>
          <w:sz w:val="22"/>
        </w:rPr>
        <w:t>Retain prompt and output records for any AI-assisted assignment where disclosure is required.</w:t>
      </w:r>
    </w:p>
    <w:p>
      <w:pPr>
        <w:pStyle w:val="ListBullet"/>
        <w:spacing w:before="0" w:after="80" w:line="276" w:lineRule="auto"/>
      </w:pPr>
      <w:r>
        <w:rPr>
          <w:rFonts w:ascii="Calibri" w:hAnsi="Calibri"/>
          <w:sz w:val="22"/>
        </w:rPr>
        <w:t>If a tool or result seems unreliable, stop and verify before relying on it.</w:t>
      </w:r>
    </w:p>
    <w:p>
      <w:pPr>
        <w:pStyle w:val="Heading1"/>
      </w:pPr>
      <w:r>
        <w:t>Course Schedule</w:t>
      </w:r>
    </w:p>
    <w:p>
      <w:pPr>
        <w:pStyle w:val="Heading1"/>
      </w:pPr>
      <w:r>
        <w:t>Week 1: What AI is, and what matters most for legal work?</w:t>
      </w:r>
    </w:p>
    <w:p>
      <w:pPr>
        <w:spacing w:before="0" w:after="80" w:line="300" w:lineRule="auto"/>
        <w:jc w:val="left"/>
      </w:pPr>
      <w:r>
        <w:rPr>
          <w:rFonts w:ascii="Calibri" w:hAnsi="Calibri"/>
          <w:b w:val="0"/>
          <w:i w:val="0"/>
          <w:color w:val="555555"/>
          <w:sz w:val="22"/>
        </w:rPr>
        <w:t>Objective: Identify major AI system types and the risk categories that shape responsible legal use.</w:t>
      </w:r>
    </w:p>
    <w:p>
      <w:pPr>
        <w:spacing w:before="0" w:after="40" w:line="300" w:lineRule="auto"/>
        <w:jc w:val="left"/>
      </w:pPr>
      <w:r>
        <w:rPr>
          <w:rFonts w:ascii="Calibri" w:hAnsi="Calibri"/>
          <w:b/>
          <w:i w:val="0"/>
          <w:color w:val="000000"/>
          <w:sz w:val="22"/>
        </w:rPr>
        <w:t>Required readings:</w:t>
      </w:r>
    </w:p>
    <w:p>
      <w:pPr>
        <w:pStyle w:val="ListBullet"/>
        <w:spacing w:before="0" w:after="60" w:line="276" w:lineRule="auto"/>
      </w:pPr>
      <w:r>
        <w:rPr>
          <w:rFonts w:ascii="Calibri" w:hAnsi="Calibri"/>
          <w:sz w:val="21"/>
        </w:rPr>
        <w:t>Official framework: Artificial Intelligence Risk Management Framework (AI RMF 1.0), National Institute of Standards and Technology (NIST), January 26, 2023. Purpose: Provides the course's shared risk vocabulary and the govern-map-measure-manage structure; Access: Official NIST publication page and PDF; Verification: Verified on NIST's publication page (accessed August 3, 2026).</w:t>
      </w:r>
    </w:p>
    <w:p>
      <w:pPr>
        <w:pStyle w:val="ListBullet"/>
        <w:spacing w:before="0" w:after="60" w:line="276" w:lineRule="auto"/>
      </w:pPr>
      <w:r>
        <w:rPr>
          <w:rFonts w:ascii="Calibri" w:hAnsi="Calibri"/>
          <w:sz w:val="21"/>
        </w:rPr>
        <w:t>Conference article: On the Dangers of Stochastic Parrots: Can Language Models Be Too Big?, Emily M. Bender, Timnit Gebru, Angelina McMillan-Major, and Shmargaret Shmitchell, March 2021. Purpose: Introduces scale, data, environmental, bias, and deployment concerns in large language models; Access: Open-access ACM DOI page; Verification: Verified via ACM DOI/Crossref record (accessed August 3, 2026).</w:t>
      </w:r>
    </w:p>
    <w:p>
      <w:pPr>
        <w:spacing w:before="0" w:after="40" w:line="300" w:lineRule="auto"/>
        <w:jc w:val="left"/>
      </w:pPr>
      <w:r>
        <w:rPr>
          <w:rFonts w:ascii="Calibri" w:hAnsi="Calibri"/>
          <w:b/>
          <w:i w:val="0"/>
          <w:color w:val="000000"/>
          <w:sz w:val="22"/>
        </w:rPr>
        <w:t>Recommended:</w:t>
      </w:r>
    </w:p>
    <w:p>
      <w:pPr>
        <w:pStyle w:val="ListBullet"/>
        <w:spacing w:before="0" w:after="60" w:line="276" w:lineRule="auto"/>
      </w:pPr>
      <w:r>
        <w:rPr>
          <w:rFonts w:ascii="Calibri" w:hAnsi="Calibri"/>
          <w:sz w:val="21"/>
        </w:rPr>
        <w:t>Official resource: AI Risk Management Framework Resources, NIST, Updated February 7, 2025. Purpose: Shows the broader NIST resource ecosystem around the AI RMF; Access: Official NIST resources page; Verification: Verified on the NIST resources page (accessed August 3, 2026).</w:t>
      </w:r>
    </w:p>
    <w:p>
      <w:pPr>
        <w:spacing w:before="0" w:after="120" w:line="300" w:lineRule="auto"/>
        <w:jc w:val="left"/>
      </w:pPr>
      <w:r>
        <w:rPr>
          <w:rFonts w:ascii="Calibri" w:hAnsi="Calibri"/>
          <w:b w:val="0"/>
          <w:i/>
          <w:color w:val="1F4D78"/>
          <w:sz w:val="21"/>
        </w:rPr>
        <w:t>Student focus: Read the introduction and core framework sections first; skim the rest.</w:t>
      </w:r>
    </w:p>
    <w:p>
      <w:pPr>
        <w:pStyle w:val="Heading1"/>
      </w:pPr>
      <w:r>
        <w:t>Week 2: How do documentation tools make AI systems more legible?</w:t>
      </w:r>
    </w:p>
    <w:p>
      <w:pPr>
        <w:spacing w:before="0" w:after="80" w:line="300" w:lineRule="auto"/>
        <w:jc w:val="left"/>
      </w:pPr>
      <w:r>
        <w:rPr>
          <w:rFonts w:ascii="Calibri" w:hAnsi="Calibri"/>
          <w:b w:val="0"/>
          <w:i w:val="0"/>
          <w:color w:val="555555"/>
          <w:sz w:val="22"/>
        </w:rPr>
        <w:t>Objective: Use model cards and data statements to evaluate transparency, scope, and limits.</w:t>
      </w:r>
    </w:p>
    <w:p>
      <w:pPr>
        <w:spacing w:before="0" w:after="40" w:line="300" w:lineRule="auto"/>
        <w:jc w:val="left"/>
      </w:pPr>
      <w:r>
        <w:rPr>
          <w:rFonts w:ascii="Calibri" w:hAnsi="Calibri"/>
          <w:b/>
          <w:i w:val="0"/>
          <w:color w:val="000000"/>
          <w:sz w:val="22"/>
        </w:rPr>
        <w:t>Required readings:</w:t>
      </w:r>
    </w:p>
    <w:p>
      <w:pPr>
        <w:pStyle w:val="ListBullet"/>
        <w:spacing w:before="0" w:after="60" w:line="276" w:lineRule="auto"/>
      </w:pPr>
      <w:r>
        <w:rPr>
          <w:rFonts w:ascii="Calibri" w:hAnsi="Calibri"/>
          <w:sz w:val="21"/>
        </w:rPr>
        <w:t>Conference article: Model Cards for Model Reporting, Margaret Mitchell et al., 2019. Purpose: Explains how model documentation can clarify intended use and performance limits; Access: Google Research publication page and DOI-linked sources; Verification: Verified on the Google Research publication page (accessed August 3, 2026).</w:t>
      </w:r>
    </w:p>
    <w:p>
      <w:pPr>
        <w:pStyle w:val="ListBullet"/>
        <w:spacing w:before="0" w:after="60" w:line="276" w:lineRule="auto"/>
      </w:pPr>
      <w:r>
        <w:rPr>
          <w:rFonts w:ascii="Calibri" w:hAnsi="Calibri"/>
          <w:sz w:val="21"/>
        </w:rPr>
        <w:t>Journal article: Data Statements for Natural Language Processing: Toward Mitigating System Bias and Enabling Better Science, Emily M. Bender and Batya Friedman, 2018. Purpose: Provides a documentation framework for data provenance, composition, and limits; Access: Open-access ACL Anthology page and PDF; Verification: Verified on ACL Anthology (accessed August 3, 2026).</w:t>
      </w:r>
    </w:p>
    <w:p>
      <w:pPr>
        <w:spacing w:before="0" w:after="40" w:line="300" w:lineRule="auto"/>
        <w:jc w:val="left"/>
      </w:pPr>
      <w:r>
        <w:rPr>
          <w:rFonts w:ascii="Calibri" w:hAnsi="Calibri"/>
          <w:b/>
          <w:i w:val="0"/>
          <w:color w:val="000000"/>
          <w:sz w:val="22"/>
        </w:rPr>
        <w:t>Recommended:</w:t>
      </w:r>
    </w:p>
    <w:p>
      <w:pPr>
        <w:pStyle w:val="ListBullet"/>
        <w:spacing w:before="0" w:after="60" w:line="276" w:lineRule="auto"/>
      </w:pPr>
      <w:r>
        <w:rPr>
          <w:rFonts w:ascii="Calibri" w:hAnsi="Calibri"/>
          <w:sz w:val="21"/>
        </w:rPr>
        <w:t>Working paper / later publication: Datasheets for Datasets, Timnit Gebru, Jamie Morgenstern, Briana Vecchione, Jennifer Wortman Vaughan, Hanna Wallach, Hal Daume III, and Kate Crawford, 2018. Purpose: Shows how dataset documentation extends the same transparency logic to training data; Access: Open-access AI Now publication page; Verification: Verified on AI Now's publication page (accessed August 3, 2026).</w:t>
      </w:r>
    </w:p>
    <w:p>
      <w:pPr>
        <w:spacing w:before="0" w:after="120" w:line="300" w:lineRule="auto"/>
        <w:jc w:val="left"/>
      </w:pPr>
      <w:r>
        <w:rPr>
          <w:rFonts w:ascii="Calibri" w:hAnsi="Calibri"/>
          <w:b w:val="0"/>
          <w:i/>
          <w:color w:val="1F4D78"/>
          <w:sz w:val="21"/>
        </w:rPr>
        <w:t>Student focus: Draft a short model card for a legal research or drafting tool.</w:t>
      </w:r>
    </w:p>
    <w:p>
      <w:pPr>
        <w:pStyle w:val="Heading1"/>
      </w:pPr>
      <w:r>
        <w:t>Week 3: What do competence, confidentiality, supervision, and fees require?</w:t>
      </w:r>
    </w:p>
    <w:p>
      <w:pPr>
        <w:spacing w:before="0" w:after="80" w:line="300" w:lineRule="auto"/>
        <w:jc w:val="left"/>
      </w:pPr>
      <w:r>
        <w:rPr>
          <w:rFonts w:ascii="Calibri" w:hAnsi="Calibri"/>
          <w:b w:val="0"/>
          <w:i w:val="0"/>
          <w:color w:val="555555"/>
          <w:sz w:val="22"/>
        </w:rPr>
        <w:t>Objective: Translate the core ethics duties into concrete choices about AI use in practice.</w:t>
      </w:r>
    </w:p>
    <w:p>
      <w:pPr>
        <w:spacing w:before="0" w:after="40" w:line="300" w:lineRule="auto"/>
        <w:jc w:val="left"/>
      </w:pPr>
      <w:r>
        <w:rPr>
          <w:rFonts w:ascii="Calibri" w:hAnsi="Calibri"/>
          <w:b/>
          <w:i w:val="0"/>
          <w:color w:val="000000"/>
          <w:sz w:val="22"/>
        </w:rPr>
        <w:t>Required readings:</w:t>
      </w:r>
    </w:p>
    <w:p>
      <w:pPr>
        <w:pStyle w:val="ListBullet"/>
        <w:spacing w:before="0" w:after="60" w:line="276" w:lineRule="auto"/>
      </w:pPr>
      <w:r>
        <w:rPr>
          <w:rFonts w:ascii="Calibri" w:hAnsi="Calibri"/>
          <w:sz w:val="21"/>
        </w:rPr>
        <w:t>Formal ethics opinion: Formal Opinion 512: Generative Artificial Intelligence Tools, American Bar Association Standing Committee on Ethics and Professional Responsibility, July 29, 2024. Purpose: Covers competence, confidentiality, communication, candor, supervision, and fees; Access: ABA ethics archive and news release; Verification: Verified on the ABA ethics archive and ABA news page (accessed August 3, 2026).</w:t>
      </w:r>
    </w:p>
    <w:p>
      <w:pPr>
        <w:pStyle w:val="ListBullet"/>
        <w:spacing w:before="0" w:after="60" w:line="276" w:lineRule="auto"/>
      </w:pPr>
      <w:r>
        <w:rPr>
          <w:rFonts w:ascii="Calibri" w:hAnsi="Calibri"/>
          <w:sz w:val="21"/>
        </w:rPr>
        <w:t>Formal ethics opinion: Opinion 24-1: Use of Generative Artificial Intelligence, The Florida Bar, January 19, 2024. Purpose: Shows how a state bar operationalizes confidentiality, competence, and billing concerns; Access: Official Florida Bar ethics opinion page; Verification: Verified on the Florida Bar ethics opinion page (accessed August 3, 2026).</w:t>
      </w:r>
    </w:p>
    <w:p>
      <w:pPr>
        <w:spacing w:before="0" w:after="40" w:line="300" w:lineRule="auto"/>
        <w:jc w:val="left"/>
      </w:pPr>
      <w:r>
        <w:rPr>
          <w:rFonts w:ascii="Calibri" w:hAnsi="Calibri"/>
          <w:b/>
          <w:i w:val="0"/>
          <w:color w:val="000000"/>
          <w:sz w:val="22"/>
        </w:rPr>
        <w:t>Recommended:</w:t>
      </w:r>
    </w:p>
    <w:p>
      <w:pPr>
        <w:pStyle w:val="ListBullet"/>
        <w:spacing w:before="0" w:after="60" w:line="276" w:lineRule="auto"/>
      </w:pPr>
      <w:r>
        <w:rPr>
          <w:rFonts w:ascii="Calibri" w:hAnsi="Calibri"/>
          <w:sz w:val="21"/>
        </w:rPr>
        <w:t>Practice guidance: Practical Guidance for the Use of Generative Artificial Intelligence in the Practice of Law, State Bar of California, 2023; updated May 14, 2026. Purpose: Offers a practical, current guide for lawyers using generative AI; Access: Official California Bar guidance page and PDF; Verification: Verified on the California Bar ethics resources page (accessed August 3, 2026).</w:t>
      </w:r>
    </w:p>
    <w:p>
      <w:pPr>
        <w:spacing w:before="0" w:after="120" w:line="300" w:lineRule="auto"/>
        <w:jc w:val="left"/>
      </w:pPr>
      <w:r>
        <w:rPr>
          <w:rFonts w:ascii="Calibri" w:hAnsi="Calibri"/>
          <w:b w:val="0"/>
          <w:i/>
          <w:color w:val="1F4D78"/>
          <w:sz w:val="21"/>
        </w:rPr>
        <w:t>Student focus: Separate what lawyers may do from what they must verify before relying on any output.</w:t>
      </w:r>
    </w:p>
    <w:p>
      <w:pPr>
        <w:pStyle w:val="Heading1"/>
      </w:pPr>
      <w:r>
        <w:t>Week 4: How do hallucinations and bad citations change legal risk?</w:t>
      </w:r>
    </w:p>
    <w:p>
      <w:pPr>
        <w:spacing w:before="0" w:after="80" w:line="300" w:lineRule="auto"/>
        <w:jc w:val="left"/>
      </w:pPr>
      <w:r>
        <w:rPr>
          <w:rFonts w:ascii="Calibri" w:hAnsi="Calibri"/>
          <w:b w:val="0"/>
          <w:i w:val="0"/>
          <w:color w:val="555555"/>
          <w:sz w:val="22"/>
        </w:rPr>
        <w:t>Objective: Recognize the procedural and professional consequences of unverified AI output.</w:t>
      </w:r>
    </w:p>
    <w:p>
      <w:pPr>
        <w:spacing w:before="0" w:after="40" w:line="300" w:lineRule="auto"/>
        <w:jc w:val="left"/>
      </w:pPr>
      <w:r>
        <w:rPr>
          <w:rFonts w:ascii="Calibri" w:hAnsi="Calibri"/>
          <w:b/>
          <w:i w:val="0"/>
          <w:color w:val="000000"/>
          <w:sz w:val="22"/>
        </w:rPr>
        <w:t>Required readings:</w:t>
      </w:r>
    </w:p>
    <w:p>
      <w:pPr>
        <w:pStyle w:val="ListBullet"/>
        <w:spacing w:before="0" w:after="60" w:line="276" w:lineRule="auto"/>
      </w:pPr>
      <w:r>
        <w:rPr>
          <w:rFonts w:ascii="Calibri" w:hAnsi="Calibri"/>
          <w:sz w:val="21"/>
        </w:rPr>
        <w:t>Court opinion: Mata v. Avianca, Inc., Opinion and Order on Sanctions, P. Kevin Castel, U.S. District Court for the Southern District of New York, June 22, 2023. Purpose: A leading example of sanctions for fake citations and unsupported filing content; Access: Court opinion text and public mirror copy; Verification: Verified against the published opinion text (accessed August 3, 2026).</w:t>
      </w:r>
    </w:p>
    <w:p>
      <w:pPr>
        <w:pStyle w:val="ListBullet"/>
        <w:spacing w:before="0" w:after="60" w:line="276" w:lineRule="auto"/>
      </w:pPr>
      <w:r>
        <w:rPr>
          <w:rFonts w:ascii="Calibri" w:hAnsi="Calibri"/>
          <w:sz w:val="21"/>
        </w:rPr>
        <w:t>Formal ethics opinion: Formal Opinion 2024-5: Generative AI in the Practice of Law, New York City Bar Association, August 7, 2024. Purpose: Explains how New York lawyers should think about AI, diligence, and verification; Access: Official NYC Bar report page and PDF; Verification: Verified on the NYC Bar report page (accessed August 3, 2026).</w:t>
      </w:r>
    </w:p>
    <w:p>
      <w:pPr>
        <w:spacing w:before="0" w:after="120" w:line="300" w:lineRule="auto"/>
        <w:jc w:val="left"/>
      </w:pPr>
      <w:r>
        <w:rPr>
          <w:rFonts w:ascii="Calibri" w:hAnsi="Calibri"/>
          <w:b w:val="0"/>
          <w:i/>
          <w:color w:val="1F4D78"/>
          <w:sz w:val="21"/>
        </w:rPr>
        <w:t>Student focus: Treat the case as a verification lesson, not just a cautionary story.</w:t>
      </w:r>
    </w:p>
    <w:p>
      <w:pPr>
        <w:pStyle w:val="Heading1"/>
      </w:pPr>
      <w:r>
        <w:t>Week 5: How do bias, discrimination, and access-to-justice concerns shape AI policy?</w:t>
      </w:r>
    </w:p>
    <w:p>
      <w:pPr>
        <w:spacing w:before="0" w:after="80" w:line="300" w:lineRule="auto"/>
        <w:jc w:val="left"/>
      </w:pPr>
      <w:r>
        <w:rPr>
          <w:rFonts w:ascii="Calibri" w:hAnsi="Calibri"/>
          <w:b w:val="0"/>
          <w:i w:val="0"/>
          <w:color w:val="555555"/>
          <w:sz w:val="22"/>
        </w:rPr>
        <w:t>Objective: Connect technical system choices to civil-rights and fairness consequences.</w:t>
      </w:r>
    </w:p>
    <w:p>
      <w:pPr>
        <w:spacing w:before="0" w:after="40" w:line="300" w:lineRule="auto"/>
        <w:jc w:val="left"/>
      </w:pPr>
      <w:r>
        <w:rPr>
          <w:rFonts w:ascii="Calibri" w:hAnsi="Calibri"/>
          <w:b/>
          <w:i w:val="0"/>
          <w:color w:val="000000"/>
          <w:sz w:val="22"/>
        </w:rPr>
        <w:t>Required readings:</w:t>
      </w:r>
    </w:p>
    <w:p>
      <w:pPr>
        <w:pStyle w:val="ListBullet"/>
        <w:spacing w:before="0" w:after="60" w:line="276" w:lineRule="auto"/>
      </w:pPr>
      <w:r>
        <w:rPr>
          <w:rFonts w:ascii="Calibri" w:hAnsi="Calibri"/>
          <w:sz w:val="21"/>
        </w:rPr>
        <w:t>Law review article: Big Data's Disparate Impact, Solon Barocas and Andrew D. Selbst, 2016. Purpose: Gives the canonical legal framework for algorithmic discrimination and disparate impact concerns; Access: Open SSRN page and PDF; Verification: Verified on SSRN (accessed August 3, 2026).</w:t>
      </w:r>
    </w:p>
    <w:p>
      <w:pPr>
        <w:pStyle w:val="ListBullet"/>
        <w:spacing w:before="0" w:after="60" w:line="276" w:lineRule="auto"/>
      </w:pPr>
      <w:r>
        <w:rPr>
          <w:rFonts w:ascii="Calibri" w:hAnsi="Calibri"/>
          <w:sz w:val="21"/>
        </w:rPr>
        <w:t>Working paper / article: Datasheets for Datasets, Timnit Gebru, Jamie Morgenstern, Briana Vecchione, Jennifer Wortman Vaughan, Hanna Wallach, Hal Daume III, and Kate Crawford, 2018. Purpose: Shows how dataset documentation can surface bias and hidden assumptions; Access: Open-access AI Now publication page; Verification: Verified on AI Now's publication page (accessed August 3, 2026).</w:t>
      </w:r>
    </w:p>
    <w:p>
      <w:pPr>
        <w:spacing w:before="0" w:after="120" w:line="300" w:lineRule="auto"/>
        <w:jc w:val="left"/>
      </w:pPr>
      <w:r>
        <w:rPr>
          <w:rFonts w:ascii="Calibri" w:hAnsi="Calibri"/>
          <w:b w:val="0"/>
          <w:i/>
          <w:color w:val="1F4D78"/>
          <w:sz w:val="21"/>
        </w:rPr>
        <w:t>Student focus: Ask what information must be known before a legal professional relies on AI-assisted classification or prediction.</w:t>
      </w:r>
    </w:p>
    <w:p>
      <w:pPr>
        <w:pStyle w:val="Heading1"/>
      </w:pPr>
      <w:r>
        <w:t>Week 6: What does risk management look like for generative AI?</w:t>
      </w:r>
    </w:p>
    <w:p>
      <w:pPr>
        <w:spacing w:before="0" w:after="80" w:line="300" w:lineRule="auto"/>
        <w:jc w:val="left"/>
      </w:pPr>
      <w:r>
        <w:rPr>
          <w:rFonts w:ascii="Calibri" w:hAnsi="Calibri"/>
          <w:b w:val="0"/>
          <w:i w:val="0"/>
          <w:color w:val="555555"/>
          <w:sz w:val="22"/>
        </w:rPr>
        <w:t>Objective: Apply risk-management concepts to procurement, deployment, monitoring, and change control.</w:t>
      </w:r>
    </w:p>
    <w:p>
      <w:pPr>
        <w:spacing w:before="0" w:after="40" w:line="300" w:lineRule="auto"/>
        <w:jc w:val="left"/>
      </w:pPr>
      <w:r>
        <w:rPr>
          <w:rFonts w:ascii="Calibri" w:hAnsi="Calibri"/>
          <w:b/>
          <w:i w:val="0"/>
          <w:color w:val="000000"/>
          <w:sz w:val="22"/>
        </w:rPr>
        <w:t>Required readings:</w:t>
      </w:r>
    </w:p>
    <w:p>
      <w:pPr>
        <w:pStyle w:val="ListBullet"/>
        <w:spacing w:before="0" w:after="60" w:line="276" w:lineRule="auto"/>
      </w:pPr>
      <w:r>
        <w:rPr>
          <w:rFonts w:ascii="Calibri" w:hAnsi="Calibri"/>
          <w:sz w:val="21"/>
        </w:rPr>
        <w:t>Official profile: Artificial Intelligence Risk Management Framework: Generative Artificial Intelligence Profile, National Institute of Standards and Technology (NIST), July 26, 2024. Purpose: Introduces the genAI-specific risk profile and recommended actions across the lifecycle; Access: Official NIST publication page and PDF; Verification: Verified on NIST's publication page (accessed August 3, 2026).</w:t>
      </w:r>
    </w:p>
    <w:p>
      <w:pPr>
        <w:pStyle w:val="ListBullet"/>
        <w:spacing w:before="0" w:after="60" w:line="276" w:lineRule="auto"/>
      </w:pPr>
      <w:r>
        <w:rPr>
          <w:rFonts w:ascii="Calibri" w:hAnsi="Calibri"/>
          <w:sz w:val="21"/>
        </w:rPr>
        <w:t>Official resource page: AI Risk Management Framework Resources, National Institute of Standards and Technology (NIST), Updated February 7, 2025. Purpose: Shows the companion tools, profiles, playbook, and crosswalks that support implementation; Access: Official NIST resources page; Verification: Verified on the NIST resources page (accessed August 3, 2026).</w:t>
      </w:r>
    </w:p>
    <w:p>
      <w:pPr>
        <w:spacing w:before="0" w:after="120" w:line="300" w:lineRule="auto"/>
        <w:jc w:val="left"/>
      </w:pPr>
      <w:r>
        <w:rPr>
          <w:rFonts w:ascii="Calibri" w:hAnsi="Calibri"/>
          <w:b w:val="0"/>
          <w:i/>
          <w:color w:val="1F4D78"/>
          <w:sz w:val="21"/>
        </w:rPr>
        <w:t>Student focus: Translate a general framework into a concrete internal checklist for a law office or legal department.</w:t>
      </w:r>
    </w:p>
    <w:p>
      <w:pPr>
        <w:pStyle w:val="Heading1"/>
      </w:pPr>
      <w:r>
        <w:t>Week 7: How do copyright, training data, and output ownership interact?</w:t>
      </w:r>
    </w:p>
    <w:p>
      <w:pPr>
        <w:spacing w:before="0" w:after="80" w:line="300" w:lineRule="auto"/>
        <w:jc w:val="left"/>
      </w:pPr>
      <w:r>
        <w:rPr>
          <w:rFonts w:ascii="Calibri" w:hAnsi="Calibri"/>
          <w:b w:val="0"/>
          <w:i w:val="0"/>
          <w:color w:val="555555"/>
          <w:sz w:val="22"/>
        </w:rPr>
        <w:t>Objective: Identify the main copyright questions around AI-generated outputs and training data.</w:t>
      </w:r>
    </w:p>
    <w:p>
      <w:pPr>
        <w:spacing w:before="0" w:after="40" w:line="300" w:lineRule="auto"/>
        <w:jc w:val="left"/>
      </w:pPr>
      <w:r>
        <w:rPr>
          <w:rFonts w:ascii="Calibri" w:hAnsi="Calibri"/>
          <w:b/>
          <w:i w:val="0"/>
          <w:color w:val="000000"/>
          <w:sz w:val="22"/>
        </w:rPr>
        <w:t>Required readings:</w:t>
      </w:r>
    </w:p>
    <w:p>
      <w:pPr>
        <w:pStyle w:val="ListBullet"/>
        <w:spacing w:before="0" w:after="60" w:line="276" w:lineRule="auto"/>
      </w:pPr>
      <w:r>
        <w:rPr>
          <w:rFonts w:ascii="Calibri" w:hAnsi="Calibri"/>
          <w:sz w:val="21"/>
        </w:rPr>
        <w:t>Official report: Copyright and Artificial Intelligence, Part 2: Copyrightability, U.S. Copyright Office, January 29, 2025. Purpose: Explains when AI-assisted outputs can still be protected by copyright; Access: Official Copyright Office AI study page and report; Verification: Verified on the U.S. Copyright Office AI study page (accessed August 3, 2026).</w:t>
      </w:r>
    </w:p>
    <w:p>
      <w:pPr>
        <w:pStyle w:val="ListBullet"/>
        <w:spacing w:before="0" w:after="60" w:line="276" w:lineRule="auto"/>
      </w:pPr>
      <w:r>
        <w:rPr>
          <w:rFonts w:ascii="Calibri" w:hAnsi="Calibri"/>
          <w:sz w:val="21"/>
        </w:rPr>
        <w:t>Official report: Copyright and Artificial Intelligence, Part 3: Generative AI Training (Pre-publication), U.S. Copyright Office, May 9, 2025. Purpose: Addresses training-data questions and the office's current analysis of that issue; Access: Official Copyright Office AI study page; Verification: Verified on the U.S. Copyright Office AI study page (accessed August 3, 2026).</w:t>
      </w:r>
    </w:p>
    <w:p>
      <w:pPr>
        <w:spacing w:before="0" w:after="40" w:line="300" w:lineRule="auto"/>
        <w:jc w:val="left"/>
      </w:pPr>
      <w:r>
        <w:rPr>
          <w:rFonts w:ascii="Calibri" w:hAnsi="Calibri"/>
          <w:b/>
          <w:i w:val="0"/>
          <w:color w:val="000000"/>
          <w:sz w:val="22"/>
        </w:rPr>
        <w:t>Recommended:</w:t>
      </w:r>
    </w:p>
    <w:p>
      <w:pPr>
        <w:pStyle w:val="ListBullet"/>
        <w:spacing w:before="0" w:after="60" w:line="276" w:lineRule="auto"/>
      </w:pPr>
      <w:r>
        <w:rPr>
          <w:rFonts w:ascii="Calibri" w:hAnsi="Calibri"/>
          <w:sz w:val="21"/>
        </w:rPr>
        <w:t>Official report: Copyright and Artificial Intelligence, Part 1: Digital Replicas, U.S. Copyright Office, July 31, 2024. Purpose: Useful if the course wants to add a session on synthetic media and voice/image cloning; Access: Official Copyright Office AI study page; Verification: Verified on the U.S. Copyright Office AI study page (accessed August 3, 2026).</w:t>
      </w:r>
    </w:p>
    <w:p>
      <w:pPr>
        <w:spacing w:before="0" w:after="120" w:line="300" w:lineRule="auto"/>
        <w:jc w:val="left"/>
      </w:pPr>
      <w:r>
        <w:rPr>
          <w:rFonts w:ascii="Calibri" w:hAnsi="Calibri"/>
          <w:b w:val="0"/>
          <w:i/>
          <w:color w:val="1F4D78"/>
          <w:sz w:val="21"/>
        </w:rPr>
        <w:t>Student focus: Distinguish between human authorship, AI assistance, and AI-generated material in a larger work.</w:t>
      </w:r>
    </w:p>
    <w:p>
      <w:pPr>
        <w:pStyle w:val="Heading1"/>
      </w:pPr>
      <w:r>
        <w:t>Week 8: How do regulation and comparative governance shape adoption?</w:t>
      </w:r>
    </w:p>
    <w:p>
      <w:pPr>
        <w:spacing w:before="0" w:after="80" w:line="300" w:lineRule="auto"/>
        <w:jc w:val="left"/>
      </w:pPr>
      <w:r>
        <w:rPr>
          <w:rFonts w:ascii="Calibri" w:hAnsi="Calibri"/>
          <w:b w:val="0"/>
          <w:i w:val="0"/>
          <w:color w:val="555555"/>
          <w:sz w:val="22"/>
        </w:rPr>
        <w:t>Objective: Compare formal regulatory approaches with bar-guidance and risk-management models.</w:t>
      </w:r>
    </w:p>
    <w:p>
      <w:pPr>
        <w:spacing w:before="0" w:after="40" w:line="300" w:lineRule="auto"/>
        <w:jc w:val="left"/>
      </w:pPr>
      <w:r>
        <w:rPr>
          <w:rFonts w:ascii="Calibri" w:hAnsi="Calibri"/>
          <w:b/>
          <w:i w:val="0"/>
          <w:color w:val="000000"/>
          <w:sz w:val="22"/>
        </w:rPr>
        <w:t>Required readings:</w:t>
      </w:r>
    </w:p>
    <w:p>
      <w:pPr>
        <w:pStyle w:val="ListBullet"/>
        <w:spacing w:before="0" w:after="60" w:line="276" w:lineRule="auto"/>
      </w:pPr>
      <w:r>
        <w:rPr>
          <w:rFonts w:ascii="Calibri" w:hAnsi="Calibri"/>
          <w:sz w:val="21"/>
        </w:rPr>
        <w:t>Official regulation: Regulation (EU) 2024/1689 (Artificial Intelligence Act), European Parliament and the Council of the European Union, 12 July 2024. Purpose: Provides the main cross-border regulatory framework students should know; Access: EUR-Lex official journal text; Verification: Verified on EUR-Lex (accessed August 3, 2026).</w:t>
      </w:r>
    </w:p>
    <w:p>
      <w:pPr>
        <w:pStyle w:val="ListBullet"/>
        <w:spacing w:before="0" w:after="60" w:line="276" w:lineRule="auto"/>
      </w:pPr>
      <w:r>
        <w:rPr>
          <w:rFonts w:ascii="Calibri" w:hAnsi="Calibri"/>
          <w:sz w:val="21"/>
        </w:rPr>
        <w:t>Practice report: Current Ethics Opinions and Reports Related to Generative Artificial Intelligence, New York City Bar Association Presidential Task Force on Artificial Intelligence and Digital Technologies, May 28, 2025. Purpose: Maps the emerging ethics landscape across multiple jurisdictions; Access: Official NYC Bar report page and PDF; Verification: Verified on the NYC Bar report page (accessed August 3, 2026).</w:t>
      </w:r>
    </w:p>
    <w:p>
      <w:pPr>
        <w:spacing w:before="0" w:after="120" w:line="300" w:lineRule="auto"/>
        <w:jc w:val="left"/>
      </w:pPr>
      <w:r>
        <w:rPr>
          <w:rFonts w:ascii="Calibri" w:hAnsi="Calibri"/>
          <w:b w:val="0"/>
          <w:i/>
          <w:color w:val="1F4D78"/>
          <w:sz w:val="21"/>
        </w:rPr>
        <w:t>Student focus: Use the EU AI Act as a test case for how law turns abstract AI concerns into duties and categories.</w:t>
      </w:r>
    </w:p>
    <w:p>
      <w:pPr>
        <w:pStyle w:val="Heading1"/>
      </w:pPr>
      <w:r>
        <w:t>Week 9: How do legal organizations implement AI policies in practice?</w:t>
      </w:r>
    </w:p>
    <w:p>
      <w:pPr>
        <w:spacing w:before="0" w:after="80" w:line="300" w:lineRule="auto"/>
        <w:jc w:val="left"/>
      </w:pPr>
      <w:r>
        <w:rPr>
          <w:rFonts w:ascii="Calibri" w:hAnsi="Calibri"/>
          <w:b w:val="0"/>
          <w:i w:val="0"/>
          <w:color w:val="555555"/>
          <w:sz w:val="22"/>
        </w:rPr>
        <w:t>Objective: Turn ethics and governance into a usable office policy or deployment checklist.</w:t>
      </w:r>
    </w:p>
    <w:p>
      <w:pPr>
        <w:spacing w:before="0" w:after="40" w:line="300" w:lineRule="auto"/>
        <w:jc w:val="left"/>
      </w:pPr>
      <w:r>
        <w:rPr>
          <w:rFonts w:ascii="Calibri" w:hAnsi="Calibri"/>
          <w:b/>
          <w:i w:val="0"/>
          <w:color w:val="000000"/>
          <w:sz w:val="22"/>
        </w:rPr>
        <w:t>Required readings:</w:t>
      </w:r>
    </w:p>
    <w:p>
      <w:pPr>
        <w:pStyle w:val="ListBullet"/>
        <w:spacing w:before="0" w:after="60" w:line="276" w:lineRule="auto"/>
      </w:pPr>
      <w:r>
        <w:rPr>
          <w:rFonts w:ascii="Calibri" w:hAnsi="Calibri"/>
          <w:sz w:val="21"/>
        </w:rPr>
        <w:t>Practice guidance: Practical Guidance for the Use of Generative Artificial Intelligence in the Practice of Law, State Bar of California, 2023; updated May 14, 2026. Purpose: Shows what a practical lawyer-facing AI guide looks like in a jurisdictional setting; Access: Official California Bar guidance page and PDF; Verification: Verified on the California Bar ethics resources page (accessed August 3, 2026).</w:t>
      </w:r>
    </w:p>
    <w:p>
      <w:pPr>
        <w:pStyle w:val="ListBullet"/>
        <w:spacing w:before="0" w:after="60" w:line="276" w:lineRule="auto"/>
      </w:pPr>
      <w:r>
        <w:rPr>
          <w:rFonts w:ascii="Calibri" w:hAnsi="Calibri"/>
          <w:sz w:val="21"/>
        </w:rPr>
        <w:t>Practice article: Every Litigator Needs to Use and Understand GenAI, American Bar Association, Winter 2026. Purpose: Summarizes why competence now includes understanding the strengths and limits of GenAI tools; Access: Official ABA article page; Verification: Verified on the ABA article page (accessed August 3, 2026).</w:t>
      </w:r>
    </w:p>
    <w:p>
      <w:pPr>
        <w:spacing w:before="0" w:after="40" w:line="300" w:lineRule="auto"/>
        <w:jc w:val="left"/>
      </w:pPr>
      <w:r>
        <w:rPr>
          <w:rFonts w:ascii="Calibri" w:hAnsi="Calibri"/>
          <w:b/>
          <w:i w:val="0"/>
          <w:color w:val="000000"/>
          <w:sz w:val="22"/>
        </w:rPr>
        <w:t>Recommended:</w:t>
      </w:r>
    </w:p>
    <w:p>
      <w:pPr>
        <w:pStyle w:val="ListBullet"/>
        <w:spacing w:before="0" w:after="60" w:line="276" w:lineRule="auto"/>
      </w:pPr>
      <w:r>
        <w:rPr>
          <w:rFonts w:ascii="Calibri" w:hAnsi="Calibri"/>
          <w:sz w:val="21"/>
        </w:rPr>
        <w:t>Practice report: Current Ethics Opinions and Reports Related to Generative Artificial Intelligence, New York City Bar Association Presidential Task Force on Artificial Intelligence and Digital Technologies, May 28, 2025. Purpose: Useful as a comparative map of current AI ethics guidance; Access: Official NYC Bar report page and PDF; Verification: Verified on the NYC Bar report page (accessed August 3, 2026).</w:t>
      </w:r>
    </w:p>
    <w:p>
      <w:pPr>
        <w:spacing w:before="0" w:after="120" w:line="300" w:lineRule="auto"/>
        <w:jc w:val="left"/>
      </w:pPr>
      <w:r>
        <w:rPr>
          <w:rFonts w:ascii="Calibri" w:hAnsi="Calibri"/>
          <w:b w:val="0"/>
          <w:i/>
          <w:color w:val="1F4D78"/>
          <w:sz w:val="21"/>
        </w:rPr>
        <w:t>Student focus: Draft the skeleton of a policy that a firm, legal department, or clinic could actually adopt.</w:t>
      </w:r>
    </w:p>
    <w:p>
      <w:pPr>
        <w:pStyle w:val="Heading1"/>
      </w:pPr>
      <w:r>
        <w:t>Week 10: Capstone workshop and course synthesis</w:t>
      </w:r>
    </w:p>
    <w:p>
      <w:pPr>
        <w:spacing w:before="0" w:after="80" w:line="300" w:lineRule="auto"/>
        <w:jc w:val="left"/>
      </w:pPr>
      <w:r>
        <w:rPr>
          <w:rFonts w:ascii="Calibri" w:hAnsi="Calibri"/>
          <w:b w:val="0"/>
          <w:i w:val="0"/>
          <w:color w:val="555555"/>
          <w:sz w:val="22"/>
        </w:rPr>
        <w:t>Objective: Synthesize the course themes into a practical deliverable and a defensible AI-use stance.</w:t>
      </w:r>
    </w:p>
    <w:p>
      <w:pPr>
        <w:spacing w:before="0" w:after="40" w:line="300" w:lineRule="auto"/>
        <w:jc w:val="left"/>
      </w:pPr>
      <w:r>
        <w:rPr>
          <w:rFonts w:ascii="Calibri" w:hAnsi="Calibri"/>
          <w:b/>
          <w:i w:val="0"/>
          <w:color w:val="000000"/>
          <w:sz w:val="22"/>
        </w:rPr>
        <w:t>Required readings:</w:t>
      </w:r>
    </w:p>
    <w:p>
      <w:pPr>
        <w:spacing w:before="0" w:after="120" w:line="300" w:lineRule="auto"/>
        <w:jc w:val="left"/>
      </w:pPr>
      <w:r>
        <w:rPr>
          <w:rFonts w:ascii="Calibri" w:hAnsi="Calibri"/>
          <w:b w:val="0"/>
          <w:i/>
          <w:color w:val="1F4D78"/>
          <w:sz w:val="21"/>
        </w:rPr>
        <w:t>Student focus: Bring one current source from your own practice area and use it to pressure-test your draft policy or memo.</w:t>
      </w:r>
    </w:p>
    <w:p>
      <w:pPr>
        <w:pStyle w:val="Heading1"/>
      </w:pPr>
      <w:r>
        <w:t>Reading Load Summary</w:t>
      </w:r>
    </w:p>
    <w:p>
      <w:pPr>
        <w:spacing w:before="0" w:after="160" w:line="300" w:lineRule="auto"/>
        <w:jc w:val="left"/>
      </w:pPr>
      <w:r>
        <w:rPr>
          <w:rFonts w:ascii="Calibri" w:hAnsi="Calibri"/>
          <w:b w:val="0"/>
          <w:i w:val="0"/>
          <w:color w:val="555555"/>
          <w:sz w:val="22"/>
        </w:rPr>
        <w:t>Estimated loads assume selective reading of the assigned sections, not line-by-line study of every report.</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2340"/>
        <w:gridCol w:w="2340"/>
        <w:gridCol w:w="2340"/>
        <w:gridCol w:w="2340"/>
      </w:tblGrid>
      <w:tr>
        <w:tc>
          <w:tcPr>
            <w:tcW w:type="dxa" w:w="792"/>
            <w:shd w:fill="E8EEF5"/>
          </w:tcPr>
          <w:p>
            <w:pPr>
              <w:spacing w:before="0" w:after="0"/>
              <w:jc w:val="center"/>
            </w:pPr>
            <w:r>
              <w:rPr>
                <w:rFonts w:ascii="Calibri" w:hAnsi="Calibri"/>
                <w:b/>
                <w:sz w:val="21"/>
              </w:rPr>
              <w:t>Week</w:t>
            </w:r>
          </w:p>
        </w:tc>
        <w:tc>
          <w:tcPr>
            <w:tcW w:type="dxa" w:w="4608"/>
            <w:shd w:fill="E8EEF5"/>
          </w:tcPr>
          <w:p>
            <w:pPr>
              <w:spacing w:before="0" w:after="0"/>
              <w:jc w:val="center"/>
            </w:pPr>
            <w:r>
              <w:rPr>
                <w:rFonts w:ascii="Calibri" w:hAnsi="Calibri"/>
                <w:b/>
                <w:sz w:val="21"/>
              </w:rPr>
              <w:t>Required items</w:t>
            </w:r>
          </w:p>
        </w:tc>
        <w:tc>
          <w:tcPr>
            <w:tcW w:type="dxa" w:w="1728"/>
            <w:shd w:fill="E8EEF5"/>
          </w:tcPr>
          <w:p>
            <w:pPr>
              <w:spacing w:before="0" w:after="0"/>
              <w:jc w:val="center"/>
            </w:pPr>
            <w:r>
              <w:rPr>
                <w:rFonts w:ascii="Calibri" w:hAnsi="Calibri"/>
                <w:b/>
                <w:sz w:val="21"/>
              </w:rPr>
              <w:t>Estimated load</w:t>
            </w:r>
          </w:p>
        </w:tc>
        <w:tc>
          <w:tcPr>
            <w:tcW w:type="dxa" w:w="2232"/>
            <w:shd w:fill="E8EEF5"/>
          </w:tcPr>
          <w:p>
            <w:pPr>
              <w:spacing w:before="0" w:after="0"/>
              <w:jc w:val="center"/>
            </w:pPr>
            <w:r>
              <w:rPr>
                <w:rFonts w:ascii="Calibri" w:hAnsi="Calibri"/>
                <w:b/>
                <w:sz w:val="21"/>
              </w:rPr>
              <w:t>Concern</w:t>
            </w:r>
          </w:p>
        </w:tc>
      </w:tr>
      <w:tr>
        <w:tc>
          <w:tcPr>
            <w:tcW w:type="dxa" w:w="2340"/>
          </w:tcPr>
          <w:p>
            <w:pPr>
              <w:spacing w:before="0" w:after="0" w:line="252" w:lineRule="auto"/>
              <w:jc w:val="center"/>
            </w:pPr>
            <w:r>
              <w:rPr>
                <w:rFonts w:ascii="Calibri" w:hAnsi="Calibri"/>
                <w:sz w:val="19"/>
              </w:rPr>
              <w:t>1</w:t>
            </w:r>
          </w:p>
        </w:tc>
        <w:tc>
          <w:tcPr>
            <w:tcW w:type="dxa" w:w="2340"/>
          </w:tcPr>
          <w:p>
            <w:pPr>
              <w:spacing w:before="0" w:after="0" w:line="252" w:lineRule="auto"/>
              <w:jc w:val="left"/>
            </w:pPr>
            <w:r>
              <w:rPr>
                <w:rFonts w:ascii="Calibri" w:hAnsi="Calibri"/>
                <w:sz w:val="19"/>
              </w:rPr>
              <w:t>NIST AI RMF 1.0; Stochastic Parrots</w:t>
            </w:r>
          </w:p>
        </w:tc>
        <w:tc>
          <w:tcPr>
            <w:tcW w:type="dxa" w:w="2340"/>
          </w:tcPr>
          <w:p>
            <w:pPr>
              <w:spacing w:before="0" w:after="0" w:line="252" w:lineRule="auto"/>
              <w:jc w:val="center"/>
            </w:pPr>
            <w:r>
              <w:rPr>
                <w:rFonts w:ascii="Calibri" w:hAnsi="Calibri"/>
                <w:sz w:val="19"/>
              </w:rPr>
              <w:t>75-90 min</w:t>
            </w:r>
          </w:p>
        </w:tc>
        <w:tc>
          <w:tcPr>
            <w:tcW w:type="dxa" w:w="2340"/>
          </w:tcPr>
          <w:p>
            <w:pPr>
              <w:spacing w:before="0" w:after="0" w:line="252" w:lineRule="auto"/>
              <w:jc w:val="left"/>
            </w:pPr>
            <w:r>
              <w:rPr>
                <w:rFonts w:ascii="Calibri" w:hAnsi="Calibri"/>
                <w:sz w:val="19"/>
              </w:rPr>
              <w:t>Technical concepts may feel abstract at first; anchor them in one legal use case.</w:t>
            </w:r>
          </w:p>
        </w:tc>
      </w:tr>
      <w:tr>
        <w:tc>
          <w:tcPr>
            <w:tcW w:type="dxa" w:w="2340"/>
          </w:tcPr>
          <w:p>
            <w:pPr>
              <w:spacing w:before="0" w:after="0" w:line="252" w:lineRule="auto"/>
              <w:jc w:val="center"/>
            </w:pPr>
            <w:r>
              <w:rPr>
                <w:rFonts w:ascii="Calibri" w:hAnsi="Calibri"/>
                <w:sz w:val="19"/>
              </w:rPr>
              <w:t>2</w:t>
            </w:r>
          </w:p>
        </w:tc>
        <w:tc>
          <w:tcPr>
            <w:tcW w:type="dxa" w:w="2340"/>
          </w:tcPr>
          <w:p>
            <w:pPr>
              <w:spacing w:before="0" w:after="0" w:line="252" w:lineRule="auto"/>
              <w:jc w:val="left"/>
            </w:pPr>
            <w:r>
              <w:rPr>
                <w:rFonts w:ascii="Calibri" w:hAnsi="Calibri"/>
                <w:sz w:val="19"/>
              </w:rPr>
              <w:t>Model Cards; Data Statements</w:t>
            </w:r>
          </w:p>
        </w:tc>
        <w:tc>
          <w:tcPr>
            <w:tcW w:type="dxa" w:w="2340"/>
          </w:tcPr>
          <w:p>
            <w:pPr>
              <w:spacing w:before="0" w:after="0" w:line="252" w:lineRule="auto"/>
              <w:jc w:val="center"/>
            </w:pPr>
            <w:r>
              <w:rPr>
                <w:rFonts w:ascii="Calibri" w:hAnsi="Calibri"/>
                <w:sz w:val="19"/>
              </w:rPr>
              <w:t>60-75 min</w:t>
            </w:r>
          </w:p>
        </w:tc>
        <w:tc>
          <w:tcPr>
            <w:tcW w:type="dxa" w:w="2340"/>
          </w:tcPr>
          <w:p>
            <w:pPr>
              <w:spacing w:before="0" w:after="0" w:line="252" w:lineRule="auto"/>
              <w:jc w:val="left"/>
            </w:pPr>
            <w:r>
              <w:rPr>
                <w:rFonts w:ascii="Calibri" w:hAnsi="Calibri"/>
                <w:sz w:val="19"/>
              </w:rPr>
              <w:t>Dense technical prose; discussion should translate the frameworks into practice.</w:t>
            </w:r>
          </w:p>
        </w:tc>
      </w:tr>
      <w:tr>
        <w:tc>
          <w:tcPr>
            <w:tcW w:type="dxa" w:w="2340"/>
          </w:tcPr>
          <w:p>
            <w:pPr>
              <w:spacing w:before="0" w:after="0" w:line="252" w:lineRule="auto"/>
              <w:jc w:val="center"/>
            </w:pPr>
            <w:r>
              <w:rPr>
                <w:rFonts w:ascii="Calibri" w:hAnsi="Calibri"/>
                <w:sz w:val="19"/>
              </w:rPr>
              <w:t>3</w:t>
            </w:r>
          </w:p>
        </w:tc>
        <w:tc>
          <w:tcPr>
            <w:tcW w:type="dxa" w:w="2340"/>
          </w:tcPr>
          <w:p>
            <w:pPr>
              <w:spacing w:before="0" w:after="0" w:line="252" w:lineRule="auto"/>
              <w:jc w:val="left"/>
            </w:pPr>
            <w:r>
              <w:rPr>
                <w:rFonts w:ascii="Calibri" w:hAnsi="Calibri"/>
                <w:sz w:val="19"/>
              </w:rPr>
              <w:t>ABA Opinion 512; Florida Opinion 24-1</w:t>
            </w:r>
          </w:p>
        </w:tc>
        <w:tc>
          <w:tcPr>
            <w:tcW w:type="dxa" w:w="2340"/>
          </w:tcPr>
          <w:p>
            <w:pPr>
              <w:spacing w:before="0" w:after="0" w:line="252" w:lineRule="auto"/>
              <w:jc w:val="center"/>
            </w:pPr>
            <w:r>
              <w:rPr>
                <w:rFonts w:ascii="Calibri" w:hAnsi="Calibri"/>
                <w:sz w:val="19"/>
              </w:rPr>
              <w:t>60-80 min</w:t>
            </w:r>
          </w:p>
        </w:tc>
        <w:tc>
          <w:tcPr>
            <w:tcW w:type="dxa" w:w="2340"/>
          </w:tcPr>
          <w:p>
            <w:pPr>
              <w:spacing w:before="0" w:after="0" w:line="252" w:lineRule="auto"/>
              <w:jc w:val="left"/>
            </w:pPr>
            <w:r>
              <w:rPr>
                <w:rFonts w:ascii="Calibri" w:hAnsi="Calibri"/>
                <w:sz w:val="19"/>
              </w:rPr>
              <w:t>Ethics rules vary by jurisdiction; keep the discussion comparative rather than universal.</w:t>
            </w:r>
          </w:p>
        </w:tc>
      </w:tr>
      <w:tr>
        <w:tc>
          <w:tcPr>
            <w:tcW w:type="dxa" w:w="2340"/>
          </w:tcPr>
          <w:p>
            <w:pPr>
              <w:spacing w:before="0" w:after="0" w:line="252" w:lineRule="auto"/>
              <w:jc w:val="center"/>
            </w:pPr>
            <w:r>
              <w:rPr>
                <w:rFonts w:ascii="Calibri" w:hAnsi="Calibri"/>
                <w:sz w:val="19"/>
              </w:rPr>
              <w:t>4</w:t>
            </w:r>
          </w:p>
        </w:tc>
        <w:tc>
          <w:tcPr>
            <w:tcW w:type="dxa" w:w="2340"/>
          </w:tcPr>
          <w:p>
            <w:pPr>
              <w:spacing w:before="0" w:after="0" w:line="252" w:lineRule="auto"/>
              <w:jc w:val="left"/>
            </w:pPr>
            <w:r>
              <w:rPr>
                <w:rFonts w:ascii="Calibri" w:hAnsi="Calibri"/>
                <w:sz w:val="19"/>
              </w:rPr>
              <w:t>Mata; NYC Bar Opinion 2024-5</w:t>
            </w:r>
          </w:p>
        </w:tc>
        <w:tc>
          <w:tcPr>
            <w:tcW w:type="dxa" w:w="2340"/>
          </w:tcPr>
          <w:p>
            <w:pPr>
              <w:spacing w:before="0" w:after="0" w:line="252" w:lineRule="auto"/>
              <w:jc w:val="center"/>
            </w:pPr>
            <w:r>
              <w:rPr>
                <w:rFonts w:ascii="Calibri" w:hAnsi="Calibri"/>
                <w:sz w:val="19"/>
              </w:rPr>
              <w:t>75-90 min</w:t>
            </w:r>
          </w:p>
        </w:tc>
        <w:tc>
          <w:tcPr>
            <w:tcW w:type="dxa" w:w="2340"/>
          </w:tcPr>
          <w:p>
            <w:pPr>
              <w:spacing w:before="0" w:after="0" w:line="252" w:lineRule="auto"/>
              <w:jc w:val="left"/>
            </w:pPr>
            <w:r>
              <w:rPr>
                <w:rFonts w:ascii="Calibri" w:hAnsi="Calibri"/>
                <w:sz w:val="19"/>
              </w:rPr>
              <w:t>The case is long; assign only the sanction analysis and the parts that explain the failure to verify.</w:t>
            </w:r>
          </w:p>
        </w:tc>
      </w:tr>
      <w:tr>
        <w:tc>
          <w:tcPr>
            <w:tcW w:type="dxa" w:w="2340"/>
          </w:tcPr>
          <w:p>
            <w:pPr>
              <w:spacing w:before="0" w:after="0" w:line="252" w:lineRule="auto"/>
              <w:jc w:val="center"/>
            </w:pPr>
            <w:r>
              <w:rPr>
                <w:rFonts w:ascii="Calibri" w:hAnsi="Calibri"/>
                <w:sz w:val="19"/>
              </w:rPr>
              <w:t>5</w:t>
            </w:r>
          </w:p>
        </w:tc>
        <w:tc>
          <w:tcPr>
            <w:tcW w:type="dxa" w:w="2340"/>
          </w:tcPr>
          <w:p>
            <w:pPr>
              <w:spacing w:before="0" w:after="0" w:line="252" w:lineRule="auto"/>
              <w:jc w:val="left"/>
            </w:pPr>
            <w:r>
              <w:rPr>
                <w:rFonts w:ascii="Calibri" w:hAnsi="Calibri"/>
                <w:sz w:val="19"/>
              </w:rPr>
              <w:t>Big Data's Disparate Impact; Datasheets for Datasets</w:t>
            </w:r>
          </w:p>
        </w:tc>
        <w:tc>
          <w:tcPr>
            <w:tcW w:type="dxa" w:w="2340"/>
          </w:tcPr>
          <w:p>
            <w:pPr>
              <w:spacing w:before="0" w:after="0" w:line="252" w:lineRule="auto"/>
              <w:jc w:val="center"/>
            </w:pPr>
            <w:r>
              <w:rPr>
                <w:rFonts w:ascii="Calibri" w:hAnsi="Calibri"/>
                <w:sz w:val="19"/>
              </w:rPr>
              <w:t>90-120 min</w:t>
            </w:r>
          </w:p>
        </w:tc>
        <w:tc>
          <w:tcPr>
            <w:tcW w:type="dxa" w:w="2340"/>
          </w:tcPr>
          <w:p>
            <w:pPr>
              <w:spacing w:before="0" w:after="0" w:line="252" w:lineRule="auto"/>
              <w:jc w:val="left"/>
            </w:pPr>
            <w:r>
              <w:rPr>
                <w:rFonts w:ascii="Calibri" w:hAnsi="Calibri"/>
                <w:sz w:val="19"/>
              </w:rPr>
              <w:t>This is a classic but dense reading week; front-load discussion prompts and examples.</w:t>
            </w:r>
          </w:p>
        </w:tc>
      </w:tr>
      <w:tr>
        <w:tc>
          <w:tcPr>
            <w:tcW w:type="dxa" w:w="2340"/>
          </w:tcPr>
          <w:p>
            <w:pPr>
              <w:spacing w:before="0" w:after="0" w:line="252" w:lineRule="auto"/>
              <w:jc w:val="center"/>
            </w:pPr>
            <w:r>
              <w:rPr>
                <w:rFonts w:ascii="Calibri" w:hAnsi="Calibri"/>
                <w:sz w:val="19"/>
              </w:rPr>
              <w:t>6</w:t>
            </w:r>
          </w:p>
        </w:tc>
        <w:tc>
          <w:tcPr>
            <w:tcW w:type="dxa" w:w="2340"/>
          </w:tcPr>
          <w:p>
            <w:pPr>
              <w:spacing w:before="0" w:after="0" w:line="252" w:lineRule="auto"/>
              <w:jc w:val="left"/>
            </w:pPr>
            <w:r>
              <w:rPr>
                <w:rFonts w:ascii="Calibri" w:hAnsi="Calibri"/>
                <w:sz w:val="19"/>
              </w:rPr>
              <w:t>NIST GenAI Profile; NIST AI RMF Resources</w:t>
            </w:r>
          </w:p>
        </w:tc>
        <w:tc>
          <w:tcPr>
            <w:tcW w:type="dxa" w:w="2340"/>
          </w:tcPr>
          <w:p>
            <w:pPr>
              <w:spacing w:before="0" w:after="0" w:line="252" w:lineRule="auto"/>
              <w:jc w:val="center"/>
            </w:pPr>
            <w:r>
              <w:rPr>
                <w:rFonts w:ascii="Calibri" w:hAnsi="Calibri"/>
                <w:sz w:val="19"/>
              </w:rPr>
              <w:t>75-90 min</w:t>
            </w:r>
          </w:p>
        </w:tc>
        <w:tc>
          <w:tcPr>
            <w:tcW w:type="dxa" w:w="2340"/>
          </w:tcPr>
          <w:p>
            <w:pPr>
              <w:spacing w:before="0" w:after="0" w:line="252" w:lineRule="auto"/>
              <w:jc w:val="left"/>
            </w:pPr>
            <w:r>
              <w:rPr>
                <w:rFonts w:ascii="Calibri" w:hAnsi="Calibri"/>
                <w:sz w:val="19"/>
              </w:rPr>
              <w:t>The language is operational rather than narrative; students may need a worked example.</w:t>
            </w:r>
          </w:p>
        </w:tc>
      </w:tr>
      <w:tr>
        <w:tc>
          <w:tcPr>
            <w:tcW w:type="dxa" w:w="2340"/>
          </w:tcPr>
          <w:p>
            <w:pPr>
              <w:spacing w:before="0" w:after="0" w:line="252" w:lineRule="auto"/>
              <w:jc w:val="center"/>
            </w:pPr>
            <w:r>
              <w:rPr>
                <w:rFonts w:ascii="Calibri" w:hAnsi="Calibri"/>
                <w:sz w:val="19"/>
              </w:rPr>
              <w:t>7</w:t>
            </w:r>
          </w:p>
        </w:tc>
        <w:tc>
          <w:tcPr>
            <w:tcW w:type="dxa" w:w="2340"/>
          </w:tcPr>
          <w:p>
            <w:pPr>
              <w:spacing w:before="0" w:after="0" w:line="252" w:lineRule="auto"/>
              <w:jc w:val="left"/>
            </w:pPr>
            <w:r>
              <w:rPr>
                <w:rFonts w:ascii="Calibri" w:hAnsi="Calibri"/>
                <w:sz w:val="19"/>
              </w:rPr>
              <w:t>USCO Part 2; Part 3</w:t>
            </w:r>
          </w:p>
        </w:tc>
        <w:tc>
          <w:tcPr>
            <w:tcW w:type="dxa" w:w="2340"/>
          </w:tcPr>
          <w:p>
            <w:pPr>
              <w:spacing w:before="0" w:after="0" w:line="252" w:lineRule="auto"/>
              <w:jc w:val="center"/>
            </w:pPr>
            <w:r>
              <w:rPr>
                <w:rFonts w:ascii="Calibri" w:hAnsi="Calibri"/>
                <w:sz w:val="19"/>
              </w:rPr>
              <w:t>75-90 min</w:t>
            </w:r>
          </w:p>
        </w:tc>
        <w:tc>
          <w:tcPr>
            <w:tcW w:type="dxa" w:w="2340"/>
          </w:tcPr>
          <w:p>
            <w:pPr>
              <w:spacing w:before="0" w:after="0" w:line="252" w:lineRule="auto"/>
              <w:jc w:val="left"/>
            </w:pPr>
            <w:r>
              <w:rPr>
                <w:rFonts w:ascii="Calibri" w:hAnsi="Calibri"/>
                <w:sz w:val="19"/>
              </w:rPr>
              <w:t>These reports are detailed; steer students to the executive summary and conclusions first.</w:t>
            </w:r>
          </w:p>
        </w:tc>
      </w:tr>
      <w:tr>
        <w:tc>
          <w:tcPr>
            <w:tcW w:type="dxa" w:w="2340"/>
          </w:tcPr>
          <w:p>
            <w:pPr>
              <w:spacing w:before="0" w:after="0" w:line="252" w:lineRule="auto"/>
              <w:jc w:val="center"/>
            </w:pPr>
            <w:r>
              <w:rPr>
                <w:rFonts w:ascii="Calibri" w:hAnsi="Calibri"/>
                <w:sz w:val="19"/>
              </w:rPr>
              <w:t>8</w:t>
            </w:r>
          </w:p>
        </w:tc>
        <w:tc>
          <w:tcPr>
            <w:tcW w:type="dxa" w:w="2340"/>
          </w:tcPr>
          <w:p>
            <w:pPr>
              <w:spacing w:before="0" w:after="0" w:line="252" w:lineRule="auto"/>
              <w:jc w:val="left"/>
            </w:pPr>
            <w:r>
              <w:rPr>
                <w:rFonts w:ascii="Calibri" w:hAnsi="Calibri"/>
                <w:sz w:val="19"/>
              </w:rPr>
              <w:t>EU AI Act; NYC Bar comparative report</w:t>
            </w:r>
          </w:p>
        </w:tc>
        <w:tc>
          <w:tcPr>
            <w:tcW w:type="dxa" w:w="2340"/>
          </w:tcPr>
          <w:p>
            <w:pPr>
              <w:spacing w:before="0" w:after="0" w:line="252" w:lineRule="auto"/>
              <w:jc w:val="center"/>
            </w:pPr>
            <w:r>
              <w:rPr>
                <w:rFonts w:ascii="Calibri" w:hAnsi="Calibri"/>
                <w:sz w:val="19"/>
              </w:rPr>
              <w:t>75-105 min</w:t>
            </w:r>
          </w:p>
        </w:tc>
        <w:tc>
          <w:tcPr>
            <w:tcW w:type="dxa" w:w="2340"/>
          </w:tcPr>
          <w:p>
            <w:pPr>
              <w:spacing w:before="0" w:after="0" w:line="252" w:lineRule="auto"/>
              <w:jc w:val="left"/>
            </w:pPr>
            <w:r>
              <w:rPr>
                <w:rFonts w:ascii="Calibri" w:hAnsi="Calibri"/>
                <w:sz w:val="19"/>
              </w:rPr>
              <w:t>The statutory text is long; assign only the provisions relevant to risk categories and obligations.</w:t>
            </w:r>
          </w:p>
        </w:tc>
      </w:tr>
      <w:tr>
        <w:tc>
          <w:tcPr>
            <w:tcW w:type="dxa" w:w="2340"/>
          </w:tcPr>
          <w:p>
            <w:pPr>
              <w:spacing w:before="0" w:after="0" w:line="252" w:lineRule="auto"/>
              <w:jc w:val="center"/>
            </w:pPr>
            <w:r>
              <w:rPr>
                <w:rFonts w:ascii="Calibri" w:hAnsi="Calibri"/>
                <w:sz w:val="19"/>
              </w:rPr>
              <w:t>9</w:t>
            </w:r>
          </w:p>
        </w:tc>
        <w:tc>
          <w:tcPr>
            <w:tcW w:type="dxa" w:w="2340"/>
          </w:tcPr>
          <w:p>
            <w:pPr>
              <w:spacing w:before="0" w:after="0" w:line="252" w:lineRule="auto"/>
              <w:jc w:val="left"/>
            </w:pPr>
            <w:r>
              <w:rPr>
                <w:rFonts w:ascii="Calibri" w:hAnsi="Calibri"/>
                <w:sz w:val="19"/>
              </w:rPr>
              <w:t>California Practical Guidance; ABA GenAI article</w:t>
            </w:r>
          </w:p>
        </w:tc>
        <w:tc>
          <w:tcPr>
            <w:tcW w:type="dxa" w:w="2340"/>
          </w:tcPr>
          <w:p>
            <w:pPr>
              <w:spacing w:before="0" w:after="0" w:line="252" w:lineRule="auto"/>
              <w:jc w:val="center"/>
            </w:pPr>
            <w:r>
              <w:rPr>
                <w:rFonts w:ascii="Calibri" w:hAnsi="Calibri"/>
                <w:sz w:val="19"/>
              </w:rPr>
              <w:t>60-75 min</w:t>
            </w:r>
          </w:p>
        </w:tc>
        <w:tc>
          <w:tcPr>
            <w:tcW w:type="dxa" w:w="2340"/>
          </w:tcPr>
          <w:p>
            <w:pPr>
              <w:spacing w:before="0" w:after="0" w:line="252" w:lineRule="auto"/>
              <w:jc w:val="left"/>
            </w:pPr>
            <w:r>
              <w:rPr>
                <w:rFonts w:ascii="Calibri" w:hAnsi="Calibri"/>
                <w:sz w:val="19"/>
              </w:rPr>
              <w:t>Students may slide into abstract debate; keep them grounded in one office use case.</w:t>
            </w:r>
          </w:p>
        </w:tc>
      </w:tr>
      <w:tr>
        <w:tc>
          <w:tcPr>
            <w:tcW w:type="dxa" w:w="2340"/>
          </w:tcPr>
          <w:p>
            <w:pPr>
              <w:spacing w:before="0" w:after="0" w:line="252" w:lineRule="auto"/>
              <w:jc w:val="center"/>
            </w:pPr>
            <w:r>
              <w:rPr>
                <w:rFonts w:ascii="Calibri" w:hAnsi="Calibri"/>
                <w:sz w:val="19"/>
              </w:rPr>
              <w:t>10</w:t>
            </w:r>
          </w:p>
        </w:tc>
        <w:tc>
          <w:tcPr>
            <w:tcW w:type="dxa" w:w="2340"/>
          </w:tcPr>
          <w:p>
            <w:pPr>
              <w:spacing w:before="0" w:after="0" w:line="252" w:lineRule="auto"/>
              <w:jc w:val="left"/>
            </w:pPr>
            <w:r>
              <w:rPr>
                <w:rFonts w:ascii="Calibri" w:hAnsi="Calibri"/>
                <w:sz w:val="19"/>
              </w:rPr>
              <w:t>Student-selected current source</w:t>
            </w:r>
          </w:p>
        </w:tc>
        <w:tc>
          <w:tcPr>
            <w:tcW w:type="dxa" w:w="2340"/>
          </w:tcPr>
          <w:p>
            <w:pPr>
              <w:spacing w:before="0" w:after="0" w:line="252" w:lineRule="auto"/>
              <w:jc w:val="center"/>
            </w:pPr>
            <w:r>
              <w:rPr>
                <w:rFonts w:ascii="Calibri" w:hAnsi="Calibri"/>
                <w:sz w:val="19"/>
              </w:rPr>
              <w:t>30-60 min</w:t>
            </w:r>
          </w:p>
        </w:tc>
        <w:tc>
          <w:tcPr>
            <w:tcW w:type="dxa" w:w="2340"/>
          </w:tcPr>
          <w:p>
            <w:pPr>
              <w:spacing w:before="0" w:after="0" w:line="252" w:lineRule="auto"/>
              <w:jc w:val="left"/>
            </w:pPr>
            <w:r>
              <w:rPr>
                <w:rFonts w:ascii="Calibri" w:hAnsi="Calibri"/>
                <w:sz w:val="19"/>
              </w:rPr>
              <w:t>Keep the source within the course scope and current enough to matter for practice.</w:t>
            </w:r>
          </w:p>
        </w:tc>
      </w:tr>
    </w:tbl>
    <w:p>
      <w:pPr>
        <w:pStyle w:val="Heading1"/>
      </w:pPr>
      <w:r>
        <w:t>Source Verification Notes</w:t>
      </w:r>
    </w:p>
    <w:p>
      <w:pPr>
        <w:spacing w:before="0" w:after="160" w:line="300" w:lineRule="auto"/>
        <w:jc w:val="left"/>
      </w:pPr>
      <w:r>
        <w:rPr>
          <w:rFonts w:ascii="Calibri" w:hAnsi="Calibri"/>
          <w:b w:val="0"/>
          <w:i w:val="0"/>
          <w:color w:val="555555"/>
          <w:sz w:val="22"/>
        </w:rPr>
        <w:t>This table records the main readings used in the draft and how each one was verified. All items below were found through official or otherwise authoritative source pages as of August 3, 2026.</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2340"/>
        <w:gridCol w:w="2340"/>
        <w:gridCol w:w="2340"/>
        <w:gridCol w:w="2340"/>
      </w:tblGrid>
      <w:tr>
        <w:tc>
          <w:tcPr>
            <w:tcW w:type="dxa" w:w="2448"/>
            <w:shd w:fill="E8EEF5"/>
          </w:tcPr>
          <w:p>
            <w:pPr>
              <w:spacing w:before="0" w:after="0"/>
              <w:jc w:val="center"/>
            </w:pPr>
            <w:r>
              <w:rPr>
                <w:rFonts w:ascii="Calibri" w:hAnsi="Calibri"/>
                <w:b/>
                <w:sz w:val="21"/>
              </w:rPr>
              <w:t>Source</w:t>
            </w:r>
          </w:p>
        </w:tc>
        <w:tc>
          <w:tcPr>
            <w:tcW w:type="dxa" w:w="2015"/>
            <w:shd w:fill="E8EEF5"/>
          </w:tcPr>
          <w:p>
            <w:pPr>
              <w:spacing w:before="0" w:after="0"/>
              <w:jc w:val="center"/>
            </w:pPr>
            <w:r>
              <w:rPr>
                <w:rFonts w:ascii="Calibri" w:hAnsi="Calibri"/>
                <w:b/>
                <w:sz w:val="21"/>
              </w:rPr>
              <w:t>Type</w:t>
            </w:r>
          </w:p>
        </w:tc>
        <w:tc>
          <w:tcPr>
            <w:tcW w:type="dxa" w:w="2880"/>
            <w:shd w:fill="E8EEF5"/>
          </w:tcPr>
          <w:p>
            <w:pPr>
              <w:spacing w:before="0" w:after="0"/>
              <w:jc w:val="center"/>
            </w:pPr>
            <w:r>
              <w:rPr>
                <w:rFonts w:ascii="Calibri" w:hAnsi="Calibri"/>
                <w:b/>
                <w:sz w:val="21"/>
              </w:rPr>
              <w:t>Verification</w:t>
            </w:r>
          </w:p>
        </w:tc>
        <w:tc>
          <w:tcPr>
            <w:tcW w:type="dxa" w:w="2015"/>
            <w:shd w:fill="E8EEF5"/>
          </w:tcPr>
          <w:p>
            <w:pPr>
              <w:spacing w:before="0" w:after="0"/>
              <w:jc w:val="center"/>
            </w:pPr>
            <w:r>
              <w:rPr>
                <w:rFonts w:ascii="Calibri" w:hAnsi="Calibri"/>
                <w:b/>
                <w:sz w:val="21"/>
              </w:rPr>
              <w:t>Access</w:t>
            </w:r>
          </w:p>
        </w:tc>
      </w:tr>
      <w:tr>
        <w:tc>
          <w:tcPr>
            <w:tcW w:type="dxa" w:w="2340"/>
          </w:tcPr>
          <w:p>
            <w:pPr>
              <w:spacing w:before="0" w:after="0" w:line="252" w:lineRule="auto"/>
              <w:jc w:val="left"/>
            </w:pPr>
            <w:r>
              <w:rPr>
                <w:rFonts w:ascii="Calibri" w:hAnsi="Calibri"/>
                <w:sz w:val="19"/>
              </w:rPr>
              <w:t>NIST AI RMF 1.0</w:t>
            </w:r>
          </w:p>
        </w:tc>
        <w:tc>
          <w:tcPr>
            <w:tcW w:type="dxa" w:w="2340"/>
          </w:tcPr>
          <w:p>
            <w:pPr>
              <w:spacing w:before="0" w:after="0" w:line="252" w:lineRule="auto"/>
              <w:jc w:val="left"/>
            </w:pPr>
            <w:r>
              <w:rPr>
                <w:rFonts w:ascii="Calibri" w:hAnsi="Calibri"/>
                <w:sz w:val="19"/>
              </w:rPr>
              <w:t>Official framework</w:t>
            </w:r>
          </w:p>
        </w:tc>
        <w:tc>
          <w:tcPr>
            <w:tcW w:type="dxa" w:w="2340"/>
          </w:tcPr>
          <w:p>
            <w:pPr>
              <w:spacing w:before="0" w:after="0" w:line="252" w:lineRule="auto"/>
              <w:jc w:val="left"/>
            </w:pPr>
            <w:r>
              <w:rPr>
                <w:rFonts w:ascii="Calibri" w:hAnsi="Calibri"/>
                <w:sz w:val="19"/>
              </w:rPr>
              <w:t>NIST publication page</w:t>
            </w:r>
          </w:p>
        </w:tc>
        <w:tc>
          <w:tcPr>
            <w:tcW w:type="dxa" w:w="2340"/>
          </w:tcPr>
          <w:p>
            <w:pPr>
              <w:spacing w:before="0" w:after="0" w:line="252" w:lineRule="auto"/>
              <w:jc w:val="left"/>
            </w:pPr>
            <w:r>
              <w:rPr>
                <w:rFonts w:ascii="Calibri" w:hAnsi="Calibri"/>
                <w:sz w:val="19"/>
              </w:rPr>
              <w:t>Open</w:t>
            </w:r>
          </w:p>
        </w:tc>
      </w:tr>
      <w:tr>
        <w:tc>
          <w:tcPr>
            <w:tcW w:type="dxa" w:w="2340"/>
          </w:tcPr>
          <w:p>
            <w:pPr>
              <w:spacing w:before="0" w:after="0" w:line="252" w:lineRule="auto"/>
              <w:jc w:val="left"/>
            </w:pPr>
            <w:r>
              <w:rPr>
                <w:rFonts w:ascii="Calibri" w:hAnsi="Calibri"/>
                <w:sz w:val="19"/>
              </w:rPr>
              <w:t>Stochastic Parrots</w:t>
            </w:r>
          </w:p>
        </w:tc>
        <w:tc>
          <w:tcPr>
            <w:tcW w:type="dxa" w:w="2340"/>
          </w:tcPr>
          <w:p>
            <w:pPr>
              <w:spacing w:before="0" w:after="0" w:line="252" w:lineRule="auto"/>
              <w:jc w:val="left"/>
            </w:pPr>
            <w:r>
              <w:rPr>
                <w:rFonts w:ascii="Calibri" w:hAnsi="Calibri"/>
                <w:sz w:val="19"/>
              </w:rPr>
              <w:t>Conference article</w:t>
            </w:r>
          </w:p>
        </w:tc>
        <w:tc>
          <w:tcPr>
            <w:tcW w:type="dxa" w:w="2340"/>
          </w:tcPr>
          <w:p>
            <w:pPr>
              <w:spacing w:before="0" w:after="0" w:line="252" w:lineRule="auto"/>
              <w:jc w:val="left"/>
            </w:pPr>
            <w:r>
              <w:rPr>
                <w:rFonts w:ascii="Calibri" w:hAnsi="Calibri"/>
                <w:sz w:val="19"/>
              </w:rPr>
              <w:t>ACM DOI / Crossref</w:t>
            </w:r>
          </w:p>
        </w:tc>
        <w:tc>
          <w:tcPr>
            <w:tcW w:type="dxa" w:w="2340"/>
          </w:tcPr>
          <w:p>
            <w:pPr>
              <w:spacing w:before="0" w:after="0" w:line="252" w:lineRule="auto"/>
              <w:jc w:val="left"/>
            </w:pPr>
            <w:r>
              <w:rPr>
                <w:rFonts w:ascii="Calibri" w:hAnsi="Calibri"/>
                <w:sz w:val="19"/>
              </w:rPr>
              <w:t>Open access</w:t>
            </w:r>
          </w:p>
        </w:tc>
      </w:tr>
      <w:tr>
        <w:tc>
          <w:tcPr>
            <w:tcW w:type="dxa" w:w="2340"/>
          </w:tcPr>
          <w:p>
            <w:pPr>
              <w:spacing w:before="0" w:after="0" w:line="252" w:lineRule="auto"/>
              <w:jc w:val="left"/>
            </w:pPr>
            <w:r>
              <w:rPr>
                <w:rFonts w:ascii="Calibri" w:hAnsi="Calibri"/>
                <w:sz w:val="19"/>
              </w:rPr>
              <w:t>Model Cards</w:t>
            </w:r>
          </w:p>
        </w:tc>
        <w:tc>
          <w:tcPr>
            <w:tcW w:type="dxa" w:w="2340"/>
          </w:tcPr>
          <w:p>
            <w:pPr>
              <w:spacing w:before="0" w:after="0" w:line="252" w:lineRule="auto"/>
              <w:jc w:val="left"/>
            </w:pPr>
            <w:r>
              <w:rPr>
                <w:rFonts w:ascii="Calibri" w:hAnsi="Calibri"/>
                <w:sz w:val="19"/>
              </w:rPr>
              <w:t>Conference article</w:t>
            </w:r>
          </w:p>
        </w:tc>
        <w:tc>
          <w:tcPr>
            <w:tcW w:type="dxa" w:w="2340"/>
          </w:tcPr>
          <w:p>
            <w:pPr>
              <w:spacing w:before="0" w:after="0" w:line="252" w:lineRule="auto"/>
              <w:jc w:val="left"/>
            </w:pPr>
            <w:r>
              <w:rPr>
                <w:rFonts w:ascii="Calibri" w:hAnsi="Calibri"/>
                <w:sz w:val="19"/>
              </w:rPr>
              <w:t>Google Research page</w:t>
            </w:r>
          </w:p>
        </w:tc>
        <w:tc>
          <w:tcPr>
            <w:tcW w:type="dxa" w:w="2340"/>
          </w:tcPr>
          <w:p>
            <w:pPr>
              <w:spacing w:before="0" w:after="0" w:line="252" w:lineRule="auto"/>
              <w:jc w:val="left"/>
            </w:pPr>
            <w:r>
              <w:rPr>
                <w:rFonts w:ascii="Calibri" w:hAnsi="Calibri"/>
                <w:sz w:val="19"/>
              </w:rPr>
              <w:t>Open access</w:t>
            </w:r>
          </w:p>
        </w:tc>
      </w:tr>
      <w:tr>
        <w:tc>
          <w:tcPr>
            <w:tcW w:type="dxa" w:w="2340"/>
          </w:tcPr>
          <w:p>
            <w:pPr>
              <w:spacing w:before="0" w:after="0" w:line="252" w:lineRule="auto"/>
              <w:jc w:val="left"/>
            </w:pPr>
            <w:r>
              <w:rPr>
                <w:rFonts w:ascii="Calibri" w:hAnsi="Calibri"/>
                <w:sz w:val="19"/>
              </w:rPr>
              <w:t>Data Statements</w:t>
            </w:r>
          </w:p>
        </w:tc>
        <w:tc>
          <w:tcPr>
            <w:tcW w:type="dxa" w:w="2340"/>
          </w:tcPr>
          <w:p>
            <w:pPr>
              <w:spacing w:before="0" w:after="0" w:line="252" w:lineRule="auto"/>
              <w:jc w:val="left"/>
            </w:pPr>
            <w:r>
              <w:rPr>
                <w:rFonts w:ascii="Calibri" w:hAnsi="Calibri"/>
                <w:sz w:val="19"/>
              </w:rPr>
              <w:t>Journal article</w:t>
            </w:r>
          </w:p>
        </w:tc>
        <w:tc>
          <w:tcPr>
            <w:tcW w:type="dxa" w:w="2340"/>
          </w:tcPr>
          <w:p>
            <w:pPr>
              <w:spacing w:before="0" w:after="0" w:line="252" w:lineRule="auto"/>
              <w:jc w:val="left"/>
            </w:pPr>
            <w:r>
              <w:rPr>
                <w:rFonts w:ascii="Calibri" w:hAnsi="Calibri"/>
                <w:sz w:val="19"/>
              </w:rPr>
              <w:t>ACL Anthology</w:t>
            </w:r>
          </w:p>
        </w:tc>
        <w:tc>
          <w:tcPr>
            <w:tcW w:type="dxa" w:w="2340"/>
          </w:tcPr>
          <w:p>
            <w:pPr>
              <w:spacing w:before="0" w:after="0" w:line="252" w:lineRule="auto"/>
              <w:jc w:val="left"/>
            </w:pPr>
            <w:r>
              <w:rPr>
                <w:rFonts w:ascii="Calibri" w:hAnsi="Calibri"/>
                <w:sz w:val="19"/>
              </w:rPr>
              <w:t>Open access</w:t>
            </w:r>
          </w:p>
        </w:tc>
      </w:tr>
      <w:tr>
        <w:tc>
          <w:tcPr>
            <w:tcW w:type="dxa" w:w="2340"/>
          </w:tcPr>
          <w:p>
            <w:pPr>
              <w:spacing w:before="0" w:after="0" w:line="252" w:lineRule="auto"/>
              <w:jc w:val="left"/>
            </w:pPr>
            <w:r>
              <w:rPr>
                <w:rFonts w:ascii="Calibri" w:hAnsi="Calibri"/>
                <w:sz w:val="19"/>
              </w:rPr>
              <w:t>ABA FO 512</w:t>
            </w:r>
          </w:p>
        </w:tc>
        <w:tc>
          <w:tcPr>
            <w:tcW w:type="dxa" w:w="2340"/>
          </w:tcPr>
          <w:p>
            <w:pPr>
              <w:spacing w:before="0" w:after="0" w:line="252" w:lineRule="auto"/>
              <w:jc w:val="left"/>
            </w:pPr>
            <w:r>
              <w:rPr>
                <w:rFonts w:ascii="Calibri" w:hAnsi="Calibri"/>
                <w:sz w:val="19"/>
              </w:rPr>
              <w:t>Formal opinion</w:t>
            </w:r>
          </w:p>
        </w:tc>
        <w:tc>
          <w:tcPr>
            <w:tcW w:type="dxa" w:w="2340"/>
          </w:tcPr>
          <w:p>
            <w:pPr>
              <w:spacing w:before="0" w:after="0" w:line="252" w:lineRule="auto"/>
              <w:jc w:val="left"/>
            </w:pPr>
            <w:r>
              <w:rPr>
                <w:rFonts w:ascii="Calibri" w:hAnsi="Calibri"/>
                <w:sz w:val="19"/>
              </w:rPr>
              <w:t>ABA ethics archive</w:t>
            </w:r>
          </w:p>
        </w:tc>
        <w:tc>
          <w:tcPr>
            <w:tcW w:type="dxa" w:w="2340"/>
          </w:tcPr>
          <w:p>
            <w:pPr>
              <w:spacing w:before="0" w:after="0" w:line="252" w:lineRule="auto"/>
              <w:jc w:val="left"/>
            </w:pPr>
            <w:r>
              <w:rPr>
                <w:rFonts w:ascii="Calibri" w:hAnsi="Calibri"/>
                <w:sz w:val="19"/>
              </w:rPr>
              <w:t>Official ABA page</w:t>
            </w:r>
          </w:p>
        </w:tc>
      </w:tr>
      <w:tr>
        <w:tc>
          <w:tcPr>
            <w:tcW w:type="dxa" w:w="2340"/>
          </w:tcPr>
          <w:p>
            <w:pPr>
              <w:spacing w:before="0" w:after="0" w:line="252" w:lineRule="auto"/>
              <w:jc w:val="left"/>
            </w:pPr>
            <w:r>
              <w:rPr>
                <w:rFonts w:ascii="Calibri" w:hAnsi="Calibri"/>
                <w:sz w:val="19"/>
              </w:rPr>
              <w:t>Florida 24-1</w:t>
            </w:r>
          </w:p>
        </w:tc>
        <w:tc>
          <w:tcPr>
            <w:tcW w:type="dxa" w:w="2340"/>
          </w:tcPr>
          <w:p>
            <w:pPr>
              <w:spacing w:before="0" w:after="0" w:line="252" w:lineRule="auto"/>
              <w:jc w:val="left"/>
            </w:pPr>
            <w:r>
              <w:rPr>
                <w:rFonts w:ascii="Calibri" w:hAnsi="Calibri"/>
                <w:sz w:val="19"/>
              </w:rPr>
              <w:t>Formal opinion</w:t>
            </w:r>
          </w:p>
        </w:tc>
        <w:tc>
          <w:tcPr>
            <w:tcW w:type="dxa" w:w="2340"/>
          </w:tcPr>
          <w:p>
            <w:pPr>
              <w:spacing w:before="0" w:after="0" w:line="252" w:lineRule="auto"/>
              <w:jc w:val="left"/>
            </w:pPr>
            <w:r>
              <w:rPr>
                <w:rFonts w:ascii="Calibri" w:hAnsi="Calibri"/>
                <w:sz w:val="19"/>
              </w:rPr>
              <w:t>Florida Bar page</w:t>
            </w:r>
          </w:p>
        </w:tc>
        <w:tc>
          <w:tcPr>
            <w:tcW w:type="dxa" w:w="2340"/>
          </w:tcPr>
          <w:p>
            <w:pPr>
              <w:spacing w:before="0" w:after="0" w:line="252" w:lineRule="auto"/>
              <w:jc w:val="left"/>
            </w:pPr>
            <w:r>
              <w:rPr>
                <w:rFonts w:ascii="Calibri" w:hAnsi="Calibri"/>
                <w:sz w:val="19"/>
              </w:rPr>
              <w:t>Official Bar page</w:t>
            </w:r>
          </w:p>
        </w:tc>
      </w:tr>
      <w:tr>
        <w:tc>
          <w:tcPr>
            <w:tcW w:type="dxa" w:w="2340"/>
          </w:tcPr>
          <w:p>
            <w:pPr>
              <w:spacing w:before="0" w:after="0" w:line="252" w:lineRule="auto"/>
              <w:jc w:val="left"/>
            </w:pPr>
            <w:r>
              <w:rPr>
                <w:rFonts w:ascii="Calibri" w:hAnsi="Calibri"/>
                <w:sz w:val="19"/>
              </w:rPr>
              <w:t>Mata v. Avianca</w:t>
            </w:r>
          </w:p>
        </w:tc>
        <w:tc>
          <w:tcPr>
            <w:tcW w:type="dxa" w:w="2340"/>
          </w:tcPr>
          <w:p>
            <w:pPr>
              <w:spacing w:before="0" w:after="0" w:line="252" w:lineRule="auto"/>
              <w:jc w:val="left"/>
            </w:pPr>
            <w:r>
              <w:rPr>
                <w:rFonts w:ascii="Calibri" w:hAnsi="Calibri"/>
                <w:sz w:val="19"/>
              </w:rPr>
              <w:t>Court opinion</w:t>
            </w:r>
          </w:p>
        </w:tc>
        <w:tc>
          <w:tcPr>
            <w:tcW w:type="dxa" w:w="2340"/>
          </w:tcPr>
          <w:p>
            <w:pPr>
              <w:spacing w:before="0" w:after="0" w:line="252" w:lineRule="auto"/>
              <w:jc w:val="left"/>
            </w:pPr>
            <w:r>
              <w:rPr>
                <w:rFonts w:ascii="Calibri" w:hAnsi="Calibri"/>
                <w:sz w:val="19"/>
              </w:rPr>
              <w:t>Published opinion text</w:t>
            </w:r>
          </w:p>
        </w:tc>
        <w:tc>
          <w:tcPr>
            <w:tcW w:type="dxa" w:w="2340"/>
          </w:tcPr>
          <w:p>
            <w:pPr>
              <w:spacing w:before="0" w:after="0" w:line="252" w:lineRule="auto"/>
              <w:jc w:val="left"/>
            </w:pPr>
            <w:r>
              <w:rPr>
                <w:rFonts w:ascii="Calibri" w:hAnsi="Calibri"/>
                <w:sz w:val="19"/>
              </w:rPr>
              <w:t>Public opinion / mirror</w:t>
            </w:r>
          </w:p>
        </w:tc>
      </w:tr>
      <w:tr>
        <w:tc>
          <w:tcPr>
            <w:tcW w:type="dxa" w:w="2340"/>
          </w:tcPr>
          <w:p>
            <w:pPr>
              <w:spacing w:before="0" w:after="0" w:line="252" w:lineRule="auto"/>
              <w:jc w:val="left"/>
            </w:pPr>
            <w:r>
              <w:rPr>
                <w:rFonts w:ascii="Calibri" w:hAnsi="Calibri"/>
                <w:sz w:val="19"/>
              </w:rPr>
              <w:t>NYC Bar 2024-5</w:t>
            </w:r>
          </w:p>
        </w:tc>
        <w:tc>
          <w:tcPr>
            <w:tcW w:type="dxa" w:w="2340"/>
          </w:tcPr>
          <w:p>
            <w:pPr>
              <w:spacing w:before="0" w:after="0" w:line="252" w:lineRule="auto"/>
              <w:jc w:val="left"/>
            </w:pPr>
            <w:r>
              <w:rPr>
                <w:rFonts w:ascii="Calibri" w:hAnsi="Calibri"/>
                <w:sz w:val="19"/>
              </w:rPr>
              <w:t>Formal opinion</w:t>
            </w:r>
          </w:p>
        </w:tc>
        <w:tc>
          <w:tcPr>
            <w:tcW w:type="dxa" w:w="2340"/>
          </w:tcPr>
          <w:p>
            <w:pPr>
              <w:spacing w:before="0" w:after="0" w:line="252" w:lineRule="auto"/>
              <w:jc w:val="left"/>
            </w:pPr>
            <w:r>
              <w:rPr>
                <w:rFonts w:ascii="Calibri" w:hAnsi="Calibri"/>
                <w:sz w:val="19"/>
              </w:rPr>
              <w:t>NYC Bar report page</w:t>
            </w:r>
          </w:p>
        </w:tc>
        <w:tc>
          <w:tcPr>
            <w:tcW w:type="dxa" w:w="2340"/>
          </w:tcPr>
          <w:p>
            <w:pPr>
              <w:spacing w:before="0" w:after="0" w:line="252" w:lineRule="auto"/>
              <w:jc w:val="left"/>
            </w:pPr>
            <w:r>
              <w:rPr>
                <w:rFonts w:ascii="Calibri" w:hAnsi="Calibri"/>
                <w:sz w:val="19"/>
              </w:rPr>
              <w:t>Official Bar page</w:t>
            </w:r>
          </w:p>
        </w:tc>
      </w:tr>
      <w:tr>
        <w:tc>
          <w:tcPr>
            <w:tcW w:type="dxa" w:w="2340"/>
          </w:tcPr>
          <w:p>
            <w:pPr>
              <w:spacing w:before="0" w:after="0" w:line="252" w:lineRule="auto"/>
              <w:jc w:val="left"/>
            </w:pPr>
            <w:r>
              <w:rPr>
                <w:rFonts w:ascii="Calibri" w:hAnsi="Calibri"/>
                <w:sz w:val="19"/>
              </w:rPr>
              <w:t>Big Data's Disparate Impact</w:t>
            </w:r>
          </w:p>
        </w:tc>
        <w:tc>
          <w:tcPr>
            <w:tcW w:type="dxa" w:w="2340"/>
          </w:tcPr>
          <w:p>
            <w:pPr>
              <w:spacing w:before="0" w:after="0" w:line="252" w:lineRule="auto"/>
              <w:jc w:val="left"/>
            </w:pPr>
            <w:r>
              <w:rPr>
                <w:rFonts w:ascii="Calibri" w:hAnsi="Calibri"/>
                <w:sz w:val="19"/>
              </w:rPr>
              <w:t>Law review article</w:t>
            </w:r>
          </w:p>
        </w:tc>
        <w:tc>
          <w:tcPr>
            <w:tcW w:type="dxa" w:w="2340"/>
          </w:tcPr>
          <w:p>
            <w:pPr>
              <w:spacing w:before="0" w:after="0" w:line="252" w:lineRule="auto"/>
              <w:jc w:val="left"/>
            </w:pPr>
            <w:r>
              <w:rPr>
                <w:rFonts w:ascii="Calibri" w:hAnsi="Calibri"/>
                <w:sz w:val="19"/>
              </w:rPr>
              <w:t>SSRN record</w:t>
            </w:r>
          </w:p>
        </w:tc>
        <w:tc>
          <w:tcPr>
            <w:tcW w:type="dxa" w:w="2340"/>
          </w:tcPr>
          <w:p>
            <w:pPr>
              <w:spacing w:before="0" w:after="0" w:line="252" w:lineRule="auto"/>
              <w:jc w:val="left"/>
            </w:pPr>
            <w:r>
              <w:rPr>
                <w:rFonts w:ascii="Calibri" w:hAnsi="Calibri"/>
                <w:sz w:val="19"/>
              </w:rPr>
              <w:t>Open access</w:t>
            </w:r>
          </w:p>
        </w:tc>
      </w:tr>
      <w:tr>
        <w:tc>
          <w:tcPr>
            <w:tcW w:type="dxa" w:w="2340"/>
          </w:tcPr>
          <w:p>
            <w:pPr>
              <w:spacing w:before="0" w:after="0" w:line="252" w:lineRule="auto"/>
              <w:jc w:val="left"/>
            </w:pPr>
            <w:r>
              <w:rPr>
                <w:rFonts w:ascii="Calibri" w:hAnsi="Calibri"/>
                <w:sz w:val="19"/>
              </w:rPr>
              <w:t>Datasheets for Datasets</w:t>
            </w:r>
          </w:p>
        </w:tc>
        <w:tc>
          <w:tcPr>
            <w:tcW w:type="dxa" w:w="2340"/>
          </w:tcPr>
          <w:p>
            <w:pPr>
              <w:spacing w:before="0" w:after="0" w:line="252" w:lineRule="auto"/>
              <w:jc w:val="left"/>
            </w:pPr>
            <w:r>
              <w:rPr>
                <w:rFonts w:ascii="Calibri" w:hAnsi="Calibri"/>
                <w:sz w:val="19"/>
              </w:rPr>
              <w:t>Working paper</w:t>
            </w:r>
          </w:p>
        </w:tc>
        <w:tc>
          <w:tcPr>
            <w:tcW w:type="dxa" w:w="2340"/>
          </w:tcPr>
          <w:p>
            <w:pPr>
              <w:spacing w:before="0" w:after="0" w:line="252" w:lineRule="auto"/>
              <w:jc w:val="left"/>
            </w:pPr>
            <w:r>
              <w:rPr>
                <w:rFonts w:ascii="Calibri" w:hAnsi="Calibri"/>
                <w:sz w:val="19"/>
              </w:rPr>
              <w:t>AI Now page</w:t>
            </w:r>
          </w:p>
        </w:tc>
        <w:tc>
          <w:tcPr>
            <w:tcW w:type="dxa" w:w="2340"/>
          </w:tcPr>
          <w:p>
            <w:pPr>
              <w:spacing w:before="0" w:after="0" w:line="252" w:lineRule="auto"/>
              <w:jc w:val="left"/>
            </w:pPr>
            <w:r>
              <w:rPr>
                <w:rFonts w:ascii="Calibri" w:hAnsi="Calibri"/>
                <w:sz w:val="19"/>
              </w:rPr>
              <w:t>Open access</w:t>
            </w:r>
          </w:p>
        </w:tc>
      </w:tr>
      <w:tr>
        <w:tc>
          <w:tcPr>
            <w:tcW w:type="dxa" w:w="2340"/>
          </w:tcPr>
          <w:p>
            <w:pPr>
              <w:spacing w:before="0" w:after="0" w:line="252" w:lineRule="auto"/>
              <w:jc w:val="left"/>
            </w:pPr>
            <w:r>
              <w:rPr>
                <w:rFonts w:ascii="Calibri" w:hAnsi="Calibri"/>
                <w:sz w:val="19"/>
              </w:rPr>
              <w:t>NIST GenAI Profile</w:t>
            </w:r>
          </w:p>
        </w:tc>
        <w:tc>
          <w:tcPr>
            <w:tcW w:type="dxa" w:w="2340"/>
          </w:tcPr>
          <w:p>
            <w:pPr>
              <w:spacing w:before="0" w:after="0" w:line="252" w:lineRule="auto"/>
              <w:jc w:val="left"/>
            </w:pPr>
            <w:r>
              <w:rPr>
                <w:rFonts w:ascii="Calibri" w:hAnsi="Calibri"/>
                <w:sz w:val="19"/>
              </w:rPr>
              <w:t>Official profile</w:t>
            </w:r>
          </w:p>
        </w:tc>
        <w:tc>
          <w:tcPr>
            <w:tcW w:type="dxa" w:w="2340"/>
          </w:tcPr>
          <w:p>
            <w:pPr>
              <w:spacing w:before="0" w:after="0" w:line="252" w:lineRule="auto"/>
              <w:jc w:val="left"/>
            </w:pPr>
            <w:r>
              <w:rPr>
                <w:rFonts w:ascii="Calibri" w:hAnsi="Calibri"/>
                <w:sz w:val="19"/>
              </w:rPr>
              <w:t>NIST publication page</w:t>
            </w:r>
          </w:p>
        </w:tc>
        <w:tc>
          <w:tcPr>
            <w:tcW w:type="dxa" w:w="2340"/>
          </w:tcPr>
          <w:p>
            <w:pPr>
              <w:spacing w:before="0" w:after="0" w:line="252" w:lineRule="auto"/>
              <w:jc w:val="left"/>
            </w:pPr>
            <w:r>
              <w:rPr>
                <w:rFonts w:ascii="Calibri" w:hAnsi="Calibri"/>
                <w:sz w:val="19"/>
              </w:rPr>
              <w:t>Open</w:t>
            </w:r>
          </w:p>
        </w:tc>
      </w:tr>
      <w:tr>
        <w:tc>
          <w:tcPr>
            <w:tcW w:type="dxa" w:w="2340"/>
          </w:tcPr>
          <w:p>
            <w:pPr>
              <w:spacing w:before="0" w:after="0" w:line="252" w:lineRule="auto"/>
              <w:jc w:val="left"/>
            </w:pPr>
            <w:r>
              <w:rPr>
                <w:rFonts w:ascii="Calibri" w:hAnsi="Calibri"/>
                <w:sz w:val="19"/>
              </w:rPr>
              <w:t>NIST AI RMF Resources</w:t>
            </w:r>
          </w:p>
        </w:tc>
        <w:tc>
          <w:tcPr>
            <w:tcW w:type="dxa" w:w="2340"/>
          </w:tcPr>
          <w:p>
            <w:pPr>
              <w:spacing w:before="0" w:after="0" w:line="252" w:lineRule="auto"/>
              <w:jc w:val="left"/>
            </w:pPr>
            <w:r>
              <w:rPr>
                <w:rFonts w:ascii="Calibri" w:hAnsi="Calibri"/>
                <w:sz w:val="19"/>
              </w:rPr>
              <w:t>Official resource page</w:t>
            </w:r>
          </w:p>
        </w:tc>
        <w:tc>
          <w:tcPr>
            <w:tcW w:type="dxa" w:w="2340"/>
          </w:tcPr>
          <w:p>
            <w:pPr>
              <w:spacing w:before="0" w:after="0" w:line="252" w:lineRule="auto"/>
              <w:jc w:val="left"/>
            </w:pPr>
            <w:r>
              <w:rPr>
                <w:rFonts w:ascii="Calibri" w:hAnsi="Calibri"/>
                <w:sz w:val="19"/>
              </w:rPr>
              <w:t>NIST resources page</w:t>
            </w:r>
          </w:p>
        </w:tc>
        <w:tc>
          <w:tcPr>
            <w:tcW w:type="dxa" w:w="2340"/>
          </w:tcPr>
          <w:p>
            <w:pPr>
              <w:spacing w:before="0" w:after="0" w:line="252" w:lineRule="auto"/>
              <w:jc w:val="left"/>
            </w:pPr>
            <w:r>
              <w:rPr>
                <w:rFonts w:ascii="Calibri" w:hAnsi="Calibri"/>
                <w:sz w:val="19"/>
              </w:rPr>
              <w:t>Open</w:t>
            </w:r>
          </w:p>
        </w:tc>
      </w:tr>
      <w:tr>
        <w:tc>
          <w:tcPr>
            <w:tcW w:type="dxa" w:w="2340"/>
          </w:tcPr>
          <w:p>
            <w:pPr>
              <w:spacing w:before="0" w:after="0" w:line="252" w:lineRule="auto"/>
              <w:jc w:val="left"/>
            </w:pPr>
            <w:r>
              <w:rPr>
                <w:rFonts w:ascii="Calibri" w:hAnsi="Calibri"/>
                <w:sz w:val="19"/>
              </w:rPr>
              <w:t>USCO Part 2</w:t>
            </w:r>
          </w:p>
        </w:tc>
        <w:tc>
          <w:tcPr>
            <w:tcW w:type="dxa" w:w="2340"/>
          </w:tcPr>
          <w:p>
            <w:pPr>
              <w:spacing w:before="0" w:after="0" w:line="252" w:lineRule="auto"/>
              <w:jc w:val="left"/>
            </w:pPr>
            <w:r>
              <w:rPr>
                <w:rFonts w:ascii="Calibri" w:hAnsi="Calibri"/>
                <w:sz w:val="19"/>
              </w:rPr>
              <w:t>Official report</w:t>
            </w:r>
          </w:p>
        </w:tc>
        <w:tc>
          <w:tcPr>
            <w:tcW w:type="dxa" w:w="2340"/>
          </w:tcPr>
          <w:p>
            <w:pPr>
              <w:spacing w:before="0" w:after="0" w:line="252" w:lineRule="auto"/>
              <w:jc w:val="left"/>
            </w:pPr>
            <w:r>
              <w:rPr>
                <w:rFonts w:ascii="Calibri" w:hAnsi="Calibri"/>
                <w:sz w:val="19"/>
              </w:rPr>
              <w:t>USCO AI study page</w:t>
            </w:r>
          </w:p>
        </w:tc>
        <w:tc>
          <w:tcPr>
            <w:tcW w:type="dxa" w:w="2340"/>
          </w:tcPr>
          <w:p>
            <w:pPr>
              <w:spacing w:before="0" w:after="0" w:line="252" w:lineRule="auto"/>
              <w:jc w:val="left"/>
            </w:pPr>
            <w:r>
              <w:rPr>
                <w:rFonts w:ascii="Calibri" w:hAnsi="Calibri"/>
                <w:sz w:val="19"/>
              </w:rPr>
              <w:t>Open</w:t>
            </w:r>
          </w:p>
        </w:tc>
      </w:tr>
      <w:tr>
        <w:tc>
          <w:tcPr>
            <w:tcW w:type="dxa" w:w="2340"/>
          </w:tcPr>
          <w:p>
            <w:pPr>
              <w:spacing w:before="0" w:after="0" w:line="252" w:lineRule="auto"/>
              <w:jc w:val="left"/>
            </w:pPr>
            <w:r>
              <w:rPr>
                <w:rFonts w:ascii="Calibri" w:hAnsi="Calibri"/>
                <w:sz w:val="19"/>
              </w:rPr>
              <w:t>USCO Part 3</w:t>
            </w:r>
          </w:p>
        </w:tc>
        <w:tc>
          <w:tcPr>
            <w:tcW w:type="dxa" w:w="2340"/>
          </w:tcPr>
          <w:p>
            <w:pPr>
              <w:spacing w:before="0" w:after="0" w:line="252" w:lineRule="auto"/>
              <w:jc w:val="left"/>
            </w:pPr>
            <w:r>
              <w:rPr>
                <w:rFonts w:ascii="Calibri" w:hAnsi="Calibri"/>
                <w:sz w:val="19"/>
              </w:rPr>
              <w:t>Official report</w:t>
            </w:r>
          </w:p>
        </w:tc>
        <w:tc>
          <w:tcPr>
            <w:tcW w:type="dxa" w:w="2340"/>
          </w:tcPr>
          <w:p>
            <w:pPr>
              <w:spacing w:before="0" w:after="0" w:line="252" w:lineRule="auto"/>
              <w:jc w:val="left"/>
            </w:pPr>
            <w:r>
              <w:rPr>
                <w:rFonts w:ascii="Calibri" w:hAnsi="Calibri"/>
                <w:sz w:val="19"/>
              </w:rPr>
              <w:t>USCO AI study page</w:t>
            </w:r>
          </w:p>
        </w:tc>
        <w:tc>
          <w:tcPr>
            <w:tcW w:type="dxa" w:w="2340"/>
          </w:tcPr>
          <w:p>
            <w:pPr>
              <w:spacing w:before="0" w:after="0" w:line="252" w:lineRule="auto"/>
              <w:jc w:val="left"/>
            </w:pPr>
            <w:r>
              <w:rPr>
                <w:rFonts w:ascii="Calibri" w:hAnsi="Calibri"/>
                <w:sz w:val="19"/>
              </w:rPr>
              <w:t>Open</w:t>
            </w:r>
          </w:p>
        </w:tc>
      </w:tr>
      <w:tr>
        <w:tc>
          <w:tcPr>
            <w:tcW w:type="dxa" w:w="2340"/>
          </w:tcPr>
          <w:p>
            <w:pPr>
              <w:spacing w:before="0" w:after="0" w:line="252" w:lineRule="auto"/>
              <w:jc w:val="left"/>
            </w:pPr>
            <w:r>
              <w:rPr>
                <w:rFonts w:ascii="Calibri" w:hAnsi="Calibri"/>
                <w:sz w:val="19"/>
              </w:rPr>
              <w:t>EU AI Act</w:t>
            </w:r>
          </w:p>
        </w:tc>
        <w:tc>
          <w:tcPr>
            <w:tcW w:type="dxa" w:w="2340"/>
          </w:tcPr>
          <w:p>
            <w:pPr>
              <w:spacing w:before="0" w:after="0" w:line="252" w:lineRule="auto"/>
              <w:jc w:val="left"/>
            </w:pPr>
            <w:r>
              <w:rPr>
                <w:rFonts w:ascii="Calibri" w:hAnsi="Calibri"/>
                <w:sz w:val="19"/>
              </w:rPr>
              <w:t>Official regulation</w:t>
            </w:r>
          </w:p>
        </w:tc>
        <w:tc>
          <w:tcPr>
            <w:tcW w:type="dxa" w:w="2340"/>
          </w:tcPr>
          <w:p>
            <w:pPr>
              <w:spacing w:before="0" w:after="0" w:line="252" w:lineRule="auto"/>
              <w:jc w:val="left"/>
            </w:pPr>
            <w:r>
              <w:rPr>
                <w:rFonts w:ascii="Calibri" w:hAnsi="Calibri"/>
                <w:sz w:val="19"/>
              </w:rPr>
              <w:t>EUR-Lex</w:t>
            </w:r>
          </w:p>
        </w:tc>
        <w:tc>
          <w:tcPr>
            <w:tcW w:type="dxa" w:w="2340"/>
          </w:tcPr>
          <w:p>
            <w:pPr>
              <w:spacing w:before="0" w:after="0" w:line="252" w:lineRule="auto"/>
              <w:jc w:val="left"/>
            </w:pPr>
            <w:r>
              <w:rPr>
                <w:rFonts w:ascii="Calibri" w:hAnsi="Calibri"/>
                <w:sz w:val="19"/>
              </w:rPr>
              <w:t>Open</w:t>
            </w:r>
          </w:p>
        </w:tc>
      </w:tr>
      <w:tr>
        <w:tc>
          <w:tcPr>
            <w:tcW w:type="dxa" w:w="2340"/>
          </w:tcPr>
          <w:p>
            <w:pPr>
              <w:spacing w:before="0" w:after="0" w:line="252" w:lineRule="auto"/>
              <w:jc w:val="left"/>
            </w:pPr>
            <w:r>
              <w:rPr>
                <w:rFonts w:ascii="Calibri" w:hAnsi="Calibri"/>
                <w:sz w:val="19"/>
              </w:rPr>
              <w:t>CA Practical Guidance</w:t>
            </w:r>
          </w:p>
        </w:tc>
        <w:tc>
          <w:tcPr>
            <w:tcW w:type="dxa" w:w="2340"/>
          </w:tcPr>
          <w:p>
            <w:pPr>
              <w:spacing w:before="0" w:after="0" w:line="252" w:lineRule="auto"/>
              <w:jc w:val="left"/>
            </w:pPr>
            <w:r>
              <w:rPr>
                <w:rFonts w:ascii="Calibri" w:hAnsi="Calibri"/>
                <w:sz w:val="19"/>
              </w:rPr>
              <w:t>Practice guidance</w:t>
            </w:r>
          </w:p>
        </w:tc>
        <w:tc>
          <w:tcPr>
            <w:tcW w:type="dxa" w:w="2340"/>
          </w:tcPr>
          <w:p>
            <w:pPr>
              <w:spacing w:before="0" w:after="0" w:line="252" w:lineRule="auto"/>
              <w:jc w:val="left"/>
            </w:pPr>
            <w:r>
              <w:rPr>
                <w:rFonts w:ascii="Calibri" w:hAnsi="Calibri"/>
                <w:sz w:val="19"/>
              </w:rPr>
              <w:t>California Bar ethics resources</w:t>
            </w:r>
          </w:p>
        </w:tc>
        <w:tc>
          <w:tcPr>
            <w:tcW w:type="dxa" w:w="2340"/>
          </w:tcPr>
          <w:p>
            <w:pPr>
              <w:spacing w:before="0" w:after="0" w:line="252" w:lineRule="auto"/>
              <w:jc w:val="left"/>
            </w:pPr>
            <w:r>
              <w:rPr>
                <w:rFonts w:ascii="Calibri" w:hAnsi="Calibri"/>
                <w:sz w:val="19"/>
              </w:rPr>
              <w:t>Official Bar page / PDF</w:t>
            </w:r>
          </w:p>
        </w:tc>
      </w:tr>
      <w:tr>
        <w:tc>
          <w:tcPr>
            <w:tcW w:type="dxa" w:w="2340"/>
          </w:tcPr>
          <w:p>
            <w:pPr>
              <w:spacing w:before="0" w:after="0" w:line="252" w:lineRule="auto"/>
              <w:jc w:val="left"/>
            </w:pPr>
            <w:r>
              <w:rPr>
                <w:rFonts w:ascii="Calibri" w:hAnsi="Calibri"/>
                <w:sz w:val="19"/>
              </w:rPr>
              <w:t>ABA GenAI article</w:t>
            </w:r>
          </w:p>
        </w:tc>
        <w:tc>
          <w:tcPr>
            <w:tcW w:type="dxa" w:w="2340"/>
          </w:tcPr>
          <w:p>
            <w:pPr>
              <w:spacing w:before="0" w:after="0" w:line="252" w:lineRule="auto"/>
              <w:jc w:val="left"/>
            </w:pPr>
            <w:r>
              <w:rPr>
                <w:rFonts w:ascii="Calibri" w:hAnsi="Calibri"/>
                <w:sz w:val="19"/>
              </w:rPr>
              <w:t>Practice article</w:t>
            </w:r>
          </w:p>
        </w:tc>
        <w:tc>
          <w:tcPr>
            <w:tcW w:type="dxa" w:w="2340"/>
          </w:tcPr>
          <w:p>
            <w:pPr>
              <w:spacing w:before="0" w:after="0" w:line="252" w:lineRule="auto"/>
              <w:jc w:val="left"/>
            </w:pPr>
            <w:r>
              <w:rPr>
                <w:rFonts w:ascii="Calibri" w:hAnsi="Calibri"/>
                <w:sz w:val="19"/>
              </w:rPr>
              <w:t>ABA article page</w:t>
            </w:r>
          </w:p>
        </w:tc>
        <w:tc>
          <w:tcPr>
            <w:tcW w:type="dxa" w:w="2340"/>
          </w:tcPr>
          <w:p>
            <w:pPr>
              <w:spacing w:before="0" w:after="0" w:line="252" w:lineRule="auto"/>
              <w:jc w:val="left"/>
            </w:pPr>
            <w:r>
              <w:rPr>
                <w:rFonts w:ascii="Calibri" w:hAnsi="Calibri"/>
                <w:sz w:val="19"/>
              </w:rPr>
              <w:t>Official ABA page</w:t>
            </w:r>
          </w:p>
        </w:tc>
      </w:tr>
    </w:tbl>
    <w:p>
      <w:pPr>
        <w:pStyle w:val="Heading1"/>
      </w:pPr>
      <w:r>
        <w:t>Accessibility and Institutional Placeholders</w:t>
      </w:r>
    </w:p>
    <w:p>
      <w:pPr>
        <w:spacing w:before="0" w:after="80" w:line="300" w:lineRule="auto"/>
        <w:jc w:val="left"/>
      </w:pPr>
      <w:r>
        <w:rPr>
          <w:rFonts w:ascii="Calibri" w:hAnsi="Calibri"/>
          <w:b w:val="0"/>
          <w:i w:val="0"/>
          <w:color w:val="555555"/>
          <w:sz w:val="22"/>
        </w:rPr>
        <w:t>[INSERT CURRENT APPROVED STANFORD LANGUAGE for disability accommodations, academic support, mental health resources, reporting concerns, and any recording or privacy rules.]</w:t>
      </w:r>
    </w:p>
    <w:p>
      <w:pPr>
        <w:spacing w:before="0" w:after="80" w:line="300" w:lineRule="auto"/>
        <w:jc w:val="left"/>
      </w:pPr>
      <w:r>
        <w:rPr>
          <w:rFonts w:ascii="Calibri" w:hAnsi="Calibri"/>
          <w:b w:val="0"/>
          <w:i w:val="0"/>
          <w:color w:val="555555"/>
          <w:sz w:val="22"/>
        </w:rPr>
        <w:t>[INSERT CURRENT APPROVED STANFORD LANGUAGE for academic integrity, classroom conduct, and any course-specific policy boilerplate.]</w:t>
      </w:r>
    </w:p>
    <w:p>
      <w:pPr>
        <w:spacing w:before="0" w:after="160" w:line="300" w:lineRule="auto"/>
        <w:jc w:val="left"/>
      </w:pPr>
      <w:r>
        <w:rPr>
          <w:rFonts w:ascii="Calibri" w:hAnsi="Calibri"/>
          <w:b w:val="0"/>
          <w:i w:val="0"/>
          <w:color w:val="555555"/>
          <w:sz w:val="22"/>
        </w:rPr>
        <w:t>[INSERT CURRENT APPROVED STANFORD LANGUAGE for accessibility, captioning, and alternative-format requests.]</w:t>
      </w:r>
    </w:p>
    <w:p>
      <w:pPr>
        <w:pStyle w:val="Heading1"/>
      </w:pPr>
      <w:r>
        <w:t>Faculty Notes</w:t>
      </w:r>
    </w:p>
    <w:p>
      <w:pPr>
        <w:pStyle w:val="ListBullet"/>
        <w:spacing w:before="0" w:after="80" w:line="276" w:lineRule="auto"/>
      </w:pPr>
      <w:r>
        <w:rPr>
          <w:rFonts w:ascii="Calibri" w:hAnsi="Calibri"/>
          <w:sz w:val="22"/>
        </w:rPr>
        <w:t>This draft intentionally leans on durable official sources and a small set of canonical scholarship so the course can be updated without a full rewrite.</w:t>
      </w:r>
    </w:p>
    <w:p>
      <w:pPr>
        <w:pStyle w:val="ListBullet"/>
        <w:spacing w:before="0" w:after="80" w:line="276" w:lineRule="auto"/>
      </w:pPr>
      <w:r>
        <w:rPr>
          <w:rFonts w:ascii="Calibri" w:hAnsi="Calibri"/>
          <w:sz w:val="22"/>
        </w:rPr>
        <w:t>If the next offering should be more technical, week 2 can expand; if it should be more litigation-focused, week 4 can expand; if it should be more transactional or procurement-focused, week 9 can expand.</w:t>
      </w:r>
    </w:p>
    <w:p>
      <w:pPr>
        <w:pStyle w:val="ListBullet"/>
        <w:spacing w:before="0" w:after="80" w:line="276" w:lineRule="auto"/>
      </w:pPr>
      <w:r>
        <w:rPr>
          <w:rFonts w:ascii="Calibri" w:hAnsi="Calibri"/>
          <w:sz w:val="22"/>
        </w:rPr>
        <w:t>Several current AI guidance sources are changing quickly, so the final reading list should be refreshed before each offering.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8"/>
      </w:rPr>
      <w:t>Understanding AI for Legal Professionals | Draft syllabus | August 3,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