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42" w:rsidRDefault="00CE4642" w:rsidP="00CB7E3E">
      <w:pPr>
        <w:spacing w:line="276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KD background papers</w:t>
      </w:r>
    </w:p>
    <w:p w:rsidR="00C820FB" w:rsidRDefault="00C820FB" w:rsidP="00CB7E3E">
      <w:pPr>
        <w:spacing w:line="276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</w:p>
    <w:p w:rsidR="00B52285" w:rsidRDefault="00B52285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Burns JC, </w:t>
      </w:r>
      <w:proofErr w:type="spellStart"/>
      <w:r>
        <w:rPr>
          <w:rFonts w:ascii="Times New Roman" w:hAnsi="Times New Roman" w:cs="Times New Roman"/>
          <w:sz w:val="20"/>
          <w:szCs w:val="20"/>
        </w:rPr>
        <w:t>Shike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H, Gordon JB, Malhotra A, </w:t>
      </w:r>
      <w:proofErr w:type="spellStart"/>
      <w:r>
        <w:rPr>
          <w:rFonts w:ascii="Times New Roman" w:hAnsi="Times New Roman" w:cs="Times New Roman"/>
          <w:sz w:val="20"/>
          <w:szCs w:val="20"/>
        </w:rPr>
        <w:t>Schoenweiter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M, Kawasaki T. Sequelae of Kawasaki disease in adolescents and young adults. </w:t>
      </w:r>
      <w:r>
        <w:rPr>
          <w:rFonts w:ascii="Times New Roman" w:hAnsi="Times New Roman" w:cs="Times New Roman"/>
          <w:i/>
          <w:sz w:val="20"/>
          <w:szCs w:val="20"/>
        </w:rPr>
        <w:t xml:space="preserve">J Am Coll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>
        <w:rPr>
          <w:rFonts w:ascii="Times New Roman" w:hAnsi="Times New Roman" w:cs="Times New Roman"/>
          <w:sz w:val="20"/>
          <w:szCs w:val="20"/>
        </w:rPr>
        <w:t>. 1996;28(1):253-257. Doi:10.1016/0735-1097(96)00099-X</w:t>
      </w:r>
    </w:p>
    <w:p w:rsidR="00B52285" w:rsidRDefault="00B52285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52285" w:rsidRDefault="00B52285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Burns JC. Kawasaki Disease update. </w:t>
      </w:r>
      <w:r>
        <w:rPr>
          <w:rFonts w:ascii="Times New Roman" w:hAnsi="Times New Roman" w:cs="Times New Roman"/>
          <w:i/>
          <w:sz w:val="20"/>
          <w:szCs w:val="20"/>
        </w:rPr>
        <w:t xml:space="preserve">Indian J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2009;76(1):71-76. </w:t>
      </w:r>
      <w:proofErr w:type="spellStart"/>
      <w:r>
        <w:rPr>
          <w:rFonts w:ascii="Times New Roman" w:hAnsi="Times New Roman" w:cs="Times New Roman"/>
          <w:sz w:val="20"/>
          <w:szCs w:val="20"/>
        </w:rPr>
        <w:t>Doi:http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://dx.doi.org/10.1007/s12098-009-003103. </w:t>
      </w:r>
    </w:p>
    <w:p w:rsidR="00B52285" w:rsidRDefault="00B52285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52285" w:rsidRDefault="00B52285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Fujiwara H, </w:t>
      </w:r>
      <w:proofErr w:type="spellStart"/>
      <w:r>
        <w:rPr>
          <w:rFonts w:ascii="Times New Roman" w:hAnsi="Times New Roman" w:cs="Times New Roman"/>
          <w:sz w:val="20"/>
          <w:szCs w:val="20"/>
        </w:rPr>
        <w:t>Hamashima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Y. Pathology of the Heart in Kawasaki Disease. 1978;61(1). </w:t>
      </w:r>
    </w:p>
    <w:p w:rsidR="00B52285" w:rsidRPr="00B52285" w:rsidRDefault="00B52285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A167E1" w:rsidRPr="00CE4642" w:rsidRDefault="00A167E1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CE4642">
        <w:rPr>
          <w:rFonts w:ascii="Times New Roman" w:hAnsi="Times New Roman" w:cs="Times New Roman"/>
          <w:sz w:val="20"/>
          <w:szCs w:val="20"/>
        </w:rPr>
        <w:t xml:space="preserve">Kato H, Sugimura T, Akagi T, Sato N,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Hashino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K,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Maeno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Y, Kazue T,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Eto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G,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Yamakawa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R. Long-term consequences of Kawasaki disease A 10- to 21-year follow up study of 594 patients. </w:t>
      </w:r>
      <w:r w:rsidRPr="00CE4642">
        <w:rPr>
          <w:rFonts w:ascii="Times New Roman" w:hAnsi="Times New Roman" w:cs="Times New Roman"/>
          <w:i/>
          <w:sz w:val="20"/>
          <w:szCs w:val="20"/>
        </w:rPr>
        <w:t>Circulation</w:t>
      </w:r>
      <w:r w:rsidRPr="00CE4642">
        <w:rPr>
          <w:rFonts w:ascii="Times New Roman" w:hAnsi="Times New Roman" w:cs="Times New Roman"/>
          <w:sz w:val="20"/>
          <w:szCs w:val="20"/>
        </w:rPr>
        <w:t xml:space="preserve">. 1996;94:1379-1385. </w:t>
      </w:r>
    </w:p>
    <w:p w:rsidR="00120718" w:rsidRDefault="00120718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52285" w:rsidRDefault="00B52285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4642">
        <w:rPr>
          <w:rFonts w:ascii="Times New Roman" w:hAnsi="Times New Roman" w:cs="Times New Roman"/>
          <w:sz w:val="20"/>
          <w:szCs w:val="20"/>
        </w:rPr>
        <w:t>McCrindle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BW, Rowley AH,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Newburger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JW, Burns JC, Bolger AF,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Gewitz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M, Baker AL, Jackson MA, Takahashi M, Shah PB,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Kobayashki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T, Wu MH,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Saji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TT,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Pahl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E, American Heart Association Rheumatic Fever Ed, and Kawasaki Disease Committee of the Council on Cardiovascular Disease in the Young, Nursing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CoCaS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, Anesthesia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CoCSa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, Prevention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aCoEa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. Diagnosis, treatment, and long-term management of Kawasaki disease: A scientific statement for health professionals from the American Heart Association. </w:t>
      </w:r>
      <w:r w:rsidRPr="00CE4642">
        <w:rPr>
          <w:rFonts w:ascii="Times New Roman" w:hAnsi="Times New Roman" w:cs="Times New Roman"/>
          <w:i/>
          <w:sz w:val="20"/>
          <w:szCs w:val="20"/>
        </w:rPr>
        <w:t>Circulation</w:t>
      </w:r>
      <w:r w:rsidRPr="00CE4642">
        <w:rPr>
          <w:rFonts w:ascii="Times New Roman" w:hAnsi="Times New Roman" w:cs="Times New Roman"/>
          <w:sz w:val="20"/>
          <w:szCs w:val="20"/>
        </w:rPr>
        <w:t xml:space="preserve">. 2017; 135:e927-e999. </w:t>
      </w:r>
    </w:p>
    <w:p w:rsidR="004D5ADD" w:rsidRDefault="004D5ADD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52285" w:rsidRPr="00CE4642" w:rsidRDefault="00B52285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CE4642" w:rsidRDefault="00A167E1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CE4642">
        <w:rPr>
          <w:rFonts w:ascii="Times New Roman" w:hAnsi="Times New Roman" w:cs="Times New Roman"/>
          <w:sz w:val="20"/>
          <w:szCs w:val="20"/>
        </w:rPr>
        <w:t xml:space="preserve">Ohkubo T, Fukazawa R, Ikegami E, Ogawa S. Reduced shear stress and disturbed flow may lead to coronary aneurysm and thrombus formation. </w:t>
      </w:r>
      <w:proofErr w:type="spellStart"/>
      <w:r w:rsidRPr="00CE4642"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 w:rsidRPr="00CE4642">
        <w:rPr>
          <w:rFonts w:ascii="Times New Roman" w:hAnsi="Times New Roman" w:cs="Times New Roman"/>
          <w:i/>
          <w:sz w:val="20"/>
          <w:szCs w:val="20"/>
        </w:rPr>
        <w:t xml:space="preserve"> Int.</w:t>
      </w:r>
      <w:r w:rsidRPr="00CE4642">
        <w:rPr>
          <w:rFonts w:ascii="Times New Roman" w:hAnsi="Times New Roman" w:cs="Times New Roman"/>
          <w:sz w:val="20"/>
          <w:szCs w:val="20"/>
        </w:rPr>
        <w:t xml:space="preserve"> 2007;49:1-7. </w:t>
      </w:r>
    </w:p>
    <w:p w:rsidR="00CE4642" w:rsidRDefault="00CE4642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C820FB" w:rsidRDefault="004D5ADD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Rizk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SRY, El Said G, Daniels LB, et al. Acute myocardial ischemia in adults secondary to missed Kawasaki disease in childhood. </w:t>
      </w:r>
      <w:r>
        <w:rPr>
          <w:rFonts w:ascii="Times New Roman" w:hAnsi="Times New Roman" w:cs="Times New Roman"/>
          <w:i/>
          <w:sz w:val="20"/>
          <w:szCs w:val="20"/>
        </w:rPr>
        <w:t xml:space="preserve">Am J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>
        <w:rPr>
          <w:rFonts w:ascii="Times New Roman" w:hAnsi="Times New Roman" w:cs="Times New Roman"/>
          <w:sz w:val="20"/>
          <w:szCs w:val="20"/>
        </w:rPr>
        <w:t>. 2015;115(4)423-427. Doi:10.1016/j.amjcard.2014.11.024</w:t>
      </w:r>
    </w:p>
    <w:p w:rsidR="004D5ADD" w:rsidRDefault="004D5ADD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D5ADD" w:rsidRDefault="004D5ADD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Senzaki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H. Long-term outcome of Kawasaki disease. </w:t>
      </w:r>
      <w:r>
        <w:rPr>
          <w:rFonts w:ascii="Times New Roman" w:hAnsi="Times New Roman" w:cs="Times New Roman"/>
          <w:i/>
          <w:sz w:val="20"/>
          <w:szCs w:val="20"/>
        </w:rPr>
        <w:t>Circulation</w:t>
      </w:r>
      <w:r>
        <w:rPr>
          <w:rFonts w:ascii="Times New Roman" w:hAnsi="Times New Roman" w:cs="Times New Roman"/>
          <w:sz w:val="20"/>
          <w:szCs w:val="20"/>
        </w:rPr>
        <w:t xml:space="preserve">. 2008;118(25):2763-2772. Doi:10.1161/CIRCULATIONAHA.107.749515. </w:t>
      </w:r>
    </w:p>
    <w:p w:rsidR="00034395" w:rsidRDefault="00034395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034395" w:rsidRPr="00034395" w:rsidRDefault="00034395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Tsuda E, Hirata T, Matsuo O, Abe T, Sugiyama H, Yamada O. The 30-year outcome of patients after myocardial infarction due to coronary artery lesions caused by Kawasaki disease.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2011;32(2):176-182. doi:10.1007/s00246-010-9838-y. </w:t>
      </w:r>
    </w:p>
    <w:p w:rsidR="00CE4642" w:rsidRPr="00CE4642" w:rsidRDefault="00CE4642" w:rsidP="00CB7E3E">
      <w:pPr>
        <w:pBdr>
          <w:bottom w:val="single" w:sz="6" w:space="1" w:color="auto"/>
        </w:pBd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CE4642" w:rsidRPr="00CE4642" w:rsidRDefault="00CE4642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94966" w:rsidRPr="00CE4642" w:rsidRDefault="00B94966" w:rsidP="00CB7E3E">
      <w:pPr>
        <w:spacing w:line="276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 w:rsidRPr="00CE4642">
        <w:rPr>
          <w:rFonts w:ascii="Times New Roman" w:hAnsi="Times New Roman" w:cs="Times New Roman"/>
          <w:b/>
          <w:sz w:val="20"/>
          <w:szCs w:val="20"/>
        </w:rPr>
        <w:t xml:space="preserve">Previous work from our group: </w:t>
      </w:r>
    </w:p>
    <w:p w:rsidR="00120718" w:rsidRPr="00C86E3B" w:rsidRDefault="00120718" w:rsidP="00C86E3B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370A4D" w:rsidRPr="00370A4D" w:rsidRDefault="00370A4D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Esmaily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Moghadam M, Hsia T-Y, Marsden AL. A non-discrete method for computation of residence time in fluid mechanics simulations. </w:t>
      </w:r>
      <w:r>
        <w:rPr>
          <w:rFonts w:ascii="Times New Roman" w:hAnsi="Times New Roman" w:cs="Times New Roman"/>
          <w:i/>
          <w:sz w:val="20"/>
          <w:szCs w:val="20"/>
        </w:rPr>
        <w:t>Phys Fluids (1994)</w:t>
      </w:r>
      <w:r>
        <w:rPr>
          <w:rFonts w:ascii="Times New Roman" w:hAnsi="Times New Roman" w:cs="Times New Roman"/>
          <w:sz w:val="20"/>
          <w:szCs w:val="20"/>
        </w:rPr>
        <w:t xml:space="preserve">. 2013;25(11);110802. </w:t>
      </w:r>
      <w:r w:rsidR="001C2B1B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oi:10.1063/1.4819142</w:t>
      </w:r>
    </w:p>
    <w:p w:rsidR="00B52285" w:rsidRPr="00CE4642" w:rsidRDefault="00B52285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94966" w:rsidRPr="00CE4642" w:rsidRDefault="00B94966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CE4642">
        <w:rPr>
          <w:rFonts w:ascii="Times New Roman" w:hAnsi="Times New Roman" w:cs="Times New Roman"/>
          <w:sz w:val="20"/>
          <w:szCs w:val="20"/>
        </w:rPr>
        <w:t xml:space="preserve">Grande Gutierrez N, </w:t>
      </w:r>
      <w:r w:rsidR="00B52285">
        <w:rPr>
          <w:rFonts w:ascii="Times New Roman" w:hAnsi="Times New Roman" w:cs="Times New Roman"/>
          <w:sz w:val="20"/>
          <w:szCs w:val="20"/>
        </w:rPr>
        <w:t xml:space="preserve">Matthew M, </w:t>
      </w:r>
      <w:proofErr w:type="spellStart"/>
      <w:r w:rsidR="00B52285">
        <w:rPr>
          <w:rFonts w:ascii="Times New Roman" w:hAnsi="Times New Roman" w:cs="Times New Roman"/>
          <w:sz w:val="20"/>
          <w:szCs w:val="20"/>
        </w:rPr>
        <w:t>MicCrindle</w:t>
      </w:r>
      <w:proofErr w:type="spellEnd"/>
      <w:r w:rsidR="00B52285">
        <w:rPr>
          <w:rFonts w:ascii="Times New Roman" w:hAnsi="Times New Roman" w:cs="Times New Roman"/>
          <w:sz w:val="20"/>
          <w:szCs w:val="20"/>
        </w:rPr>
        <w:t xml:space="preserve"> BW, et al. Hemodynamic variables in aneurysms are associated with thrombotic risk in children with Kawasaki disease. </w:t>
      </w:r>
      <w:r w:rsidRPr="00CB7E3E">
        <w:rPr>
          <w:rFonts w:ascii="Times New Roman" w:hAnsi="Times New Roman" w:cs="Times New Roman"/>
          <w:i/>
          <w:sz w:val="20"/>
          <w:szCs w:val="20"/>
        </w:rPr>
        <w:t>International Journal of Cardiology</w:t>
      </w:r>
      <w:r w:rsidRPr="00CE4642">
        <w:rPr>
          <w:rFonts w:ascii="Times New Roman" w:hAnsi="Times New Roman" w:cs="Times New Roman"/>
          <w:sz w:val="20"/>
          <w:szCs w:val="20"/>
        </w:rPr>
        <w:t>, 2019</w:t>
      </w:r>
      <w:r w:rsidR="00CB7E3E">
        <w:rPr>
          <w:rFonts w:ascii="Times New Roman" w:hAnsi="Times New Roman" w:cs="Times New Roman"/>
          <w:sz w:val="20"/>
          <w:szCs w:val="20"/>
        </w:rPr>
        <w:t>;281:15-21. Doi:10.1016/J.IJCARD.2019.01.092</w:t>
      </w:r>
      <w:r w:rsidRPr="00CE4642">
        <w:rPr>
          <w:rFonts w:ascii="Times New Roman" w:hAnsi="Times New Roman" w:cs="Times New Roman"/>
          <w:sz w:val="20"/>
          <w:szCs w:val="20"/>
        </w:rPr>
        <w:t>.</w:t>
      </w:r>
    </w:p>
    <w:p w:rsidR="00B94966" w:rsidRPr="00CE4642" w:rsidRDefault="00B94966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94966" w:rsidRPr="00CE4642" w:rsidRDefault="00B94966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94966" w:rsidRDefault="00B94966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CE4642">
        <w:rPr>
          <w:rFonts w:ascii="Times New Roman" w:hAnsi="Times New Roman" w:cs="Times New Roman"/>
          <w:sz w:val="20"/>
          <w:szCs w:val="20"/>
        </w:rPr>
        <w:t xml:space="preserve">Grande Gutierrez N, Kahn A, Burns JC, Marsden AL. Computational blood flow simulations in Kawasaki disease patients: Insight into coronary artery aneurysm hemodynamics. </w:t>
      </w:r>
      <w:r w:rsidRPr="00CE4642">
        <w:rPr>
          <w:rFonts w:ascii="Times New Roman" w:hAnsi="Times New Roman" w:cs="Times New Roman"/>
          <w:i/>
          <w:sz w:val="20"/>
          <w:szCs w:val="20"/>
        </w:rPr>
        <w:t>Global Cardiology Science &amp; Practice</w:t>
      </w:r>
      <w:r w:rsidRPr="00CE4642">
        <w:rPr>
          <w:rFonts w:ascii="Times New Roman" w:hAnsi="Times New Roman" w:cs="Times New Roman"/>
          <w:sz w:val="20"/>
          <w:szCs w:val="20"/>
        </w:rPr>
        <w:t>. 2017:29</w:t>
      </w:r>
    </w:p>
    <w:p w:rsidR="00C86E3B" w:rsidRPr="00CE4642" w:rsidRDefault="00C86E3B" w:rsidP="00C86E3B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CE4642">
        <w:rPr>
          <w:rFonts w:ascii="Times New Roman" w:hAnsi="Times New Roman" w:cs="Times New Roman"/>
          <w:sz w:val="20"/>
          <w:szCs w:val="20"/>
        </w:rPr>
        <w:lastRenderedPageBreak/>
        <w:t xml:space="preserve">Sengupta D, Kahn AM, Burns JC, Sankaran S,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Shadden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SC, Marsden AL. Image-based modeling of hemodynamics in coronary artery aneurysms caused by Kawasaki disease. </w:t>
      </w:r>
      <w:proofErr w:type="spellStart"/>
      <w:r w:rsidRPr="00CE4642">
        <w:rPr>
          <w:rFonts w:ascii="Times New Roman" w:hAnsi="Times New Roman" w:cs="Times New Roman"/>
          <w:i/>
          <w:sz w:val="20"/>
          <w:szCs w:val="20"/>
        </w:rPr>
        <w:t>Biomech</w:t>
      </w:r>
      <w:proofErr w:type="spellEnd"/>
      <w:r w:rsidRPr="00CE4642">
        <w:rPr>
          <w:rFonts w:ascii="Times New Roman" w:hAnsi="Times New Roman" w:cs="Times New Roman"/>
          <w:i/>
          <w:sz w:val="20"/>
          <w:szCs w:val="20"/>
        </w:rPr>
        <w:t xml:space="preserve"> Model </w:t>
      </w:r>
      <w:proofErr w:type="spellStart"/>
      <w:r w:rsidRPr="00CE4642">
        <w:rPr>
          <w:rFonts w:ascii="Times New Roman" w:hAnsi="Times New Roman" w:cs="Times New Roman"/>
          <w:i/>
          <w:sz w:val="20"/>
          <w:szCs w:val="20"/>
        </w:rPr>
        <w:t>Mechanobiol</w:t>
      </w:r>
      <w:proofErr w:type="spellEnd"/>
      <w:r w:rsidRPr="00CE4642">
        <w:rPr>
          <w:rFonts w:ascii="Times New Roman" w:hAnsi="Times New Roman" w:cs="Times New Roman"/>
          <w:i/>
          <w:sz w:val="20"/>
          <w:szCs w:val="20"/>
        </w:rPr>
        <w:t>.</w:t>
      </w:r>
      <w:r w:rsidRPr="00CE4642">
        <w:rPr>
          <w:rFonts w:ascii="Times New Roman" w:hAnsi="Times New Roman" w:cs="Times New Roman"/>
          <w:sz w:val="20"/>
          <w:szCs w:val="20"/>
        </w:rPr>
        <w:t xml:space="preserve"> 2012;11:915-932. </w:t>
      </w:r>
    </w:p>
    <w:p w:rsidR="00C86E3B" w:rsidRPr="00CE4642" w:rsidRDefault="00C86E3B" w:rsidP="00C86E3B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CE4642">
        <w:rPr>
          <w:rFonts w:ascii="Times New Roman" w:hAnsi="Times New Roman" w:cs="Times New Roman"/>
          <w:sz w:val="20"/>
          <w:szCs w:val="20"/>
        </w:rPr>
        <w:t xml:space="preserve">Sengupta D, Kahn AM, Kung E,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Esmaily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Moghadam M,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Shirinsky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O,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Lyskina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GA, Burns JC, Marsden AL. Thrombotic risk stratification using computational modeling in patients with coronary artery aneurysms following Kawasaki disease. </w:t>
      </w:r>
      <w:proofErr w:type="spellStart"/>
      <w:r w:rsidRPr="00CE4642">
        <w:rPr>
          <w:rFonts w:ascii="Times New Roman" w:hAnsi="Times New Roman" w:cs="Times New Roman"/>
          <w:i/>
          <w:sz w:val="20"/>
          <w:szCs w:val="20"/>
        </w:rPr>
        <w:t>Biomech</w:t>
      </w:r>
      <w:proofErr w:type="spellEnd"/>
      <w:r w:rsidRPr="00CE4642">
        <w:rPr>
          <w:rFonts w:ascii="Times New Roman" w:hAnsi="Times New Roman" w:cs="Times New Roman"/>
          <w:i/>
          <w:sz w:val="20"/>
          <w:szCs w:val="20"/>
        </w:rPr>
        <w:t xml:space="preserve"> Model </w:t>
      </w:r>
      <w:proofErr w:type="spellStart"/>
      <w:r w:rsidRPr="00CE4642">
        <w:rPr>
          <w:rFonts w:ascii="Times New Roman" w:hAnsi="Times New Roman" w:cs="Times New Roman"/>
          <w:i/>
          <w:sz w:val="20"/>
          <w:szCs w:val="20"/>
        </w:rPr>
        <w:t>Mechanobiol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. 2014;13:1261-1276. </w:t>
      </w:r>
    </w:p>
    <w:p w:rsidR="00C86E3B" w:rsidRPr="00CE4642" w:rsidRDefault="00C86E3B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59090D" w:rsidRDefault="0059090D" w:rsidP="00CB7E3E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--- </w:t>
      </w:r>
    </w:p>
    <w:p w:rsidR="0059090D" w:rsidRDefault="0059090D" w:rsidP="00CB7E3E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59090D" w:rsidRDefault="0059090D" w:rsidP="0059090D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Residence time correlations</w:t>
      </w:r>
    </w:p>
    <w:p w:rsidR="0059090D" w:rsidRDefault="0059090D" w:rsidP="0059090D">
      <w:pPr>
        <w:pBdr>
          <w:bottom w:val="single" w:sz="6" w:space="1" w:color="auto"/>
        </w:pBd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</w:p>
    <w:p w:rsidR="0059090D" w:rsidRPr="0059090D" w:rsidRDefault="0059090D" w:rsidP="0059090D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spellStart"/>
      <w:r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Ngoepe</w:t>
      </w:r>
      <w:proofErr w:type="spellEnd"/>
      <w:r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 MN, </w:t>
      </w:r>
      <w:proofErr w:type="spellStart"/>
      <w:r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Frangi</w:t>
      </w:r>
      <w:proofErr w:type="spellEnd"/>
      <w:r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 AF, Byrne JV, </w:t>
      </w:r>
      <w:proofErr w:type="spellStart"/>
      <w:r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Ventikos</w:t>
      </w:r>
      <w:proofErr w:type="spellEnd"/>
      <w:r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 Y. Thrombosis in Cerebral Aneurysms and the Computational Modeling Thereof: A Review. </w:t>
      </w:r>
      <w:r w:rsidRPr="0059090D">
        <w:rPr>
          <w:rFonts w:ascii="Arial" w:eastAsia="Times New Roman" w:hAnsi="Arial" w:cs="Arial"/>
          <w:i/>
          <w:iCs/>
          <w:color w:val="303030"/>
          <w:sz w:val="20"/>
          <w:szCs w:val="20"/>
          <w:shd w:val="clear" w:color="auto" w:fill="FFFFFF"/>
        </w:rPr>
        <w:t>Front Physiol</w:t>
      </w:r>
      <w:r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. 2018;9:306. Published 2018 Apr 4. doi:10.3389/fphys.2018.00306</w:t>
      </w:r>
    </w:p>
    <w:p w:rsidR="0059090D" w:rsidRDefault="0059090D" w:rsidP="00CB7E3E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CE4642" w:rsidRDefault="00CE4642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CE4642" w:rsidRPr="00375DC5" w:rsidRDefault="00CE4642" w:rsidP="00CB7E3E">
      <w:pPr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 w:rsidRPr="00375DC5">
        <w:rPr>
          <w:rFonts w:ascii="Times New Roman" w:hAnsi="Times New Roman" w:cs="Times New Roman"/>
          <w:b/>
          <w:sz w:val="20"/>
          <w:szCs w:val="20"/>
        </w:rPr>
        <w:t>Z-score pap</w:t>
      </w:r>
      <w:r w:rsidR="00375DC5">
        <w:rPr>
          <w:rFonts w:ascii="Times New Roman" w:hAnsi="Times New Roman" w:cs="Times New Roman"/>
          <w:b/>
          <w:sz w:val="20"/>
          <w:szCs w:val="20"/>
        </w:rPr>
        <w:t>er</w:t>
      </w:r>
    </w:p>
    <w:p w:rsidR="00A167E1" w:rsidRPr="00CE4642" w:rsidRDefault="00A167E1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9A778E" w:rsidRDefault="00375DC5" w:rsidP="00CB7E3E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Dallaire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F, </w:t>
      </w:r>
      <w:proofErr w:type="spellStart"/>
      <w:r>
        <w:rPr>
          <w:rFonts w:ascii="Times New Roman" w:hAnsi="Times New Roman" w:cs="Times New Roman"/>
          <w:sz w:val="20"/>
          <w:szCs w:val="20"/>
        </w:rPr>
        <w:t>Dahdah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N. New equations and a critical appraisal of coronary artery Z scores in healthy children. </w:t>
      </w:r>
      <w:r>
        <w:rPr>
          <w:rFonts w:ascii="Times New Roman" w:hAnsi="Times New Roman" w:cs="Times New Roman"/>
          <w:i/>
          <w:sz w:val="20"/>
          <w:szCs w:val="20"/>
        </w:rPr>
        <w:t xml:space="preserve">J Am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Soc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778E">
        <w:rPr>
          <w:rFonts w:ascii="Times New Roman" w:hAnsi="Times New Roman" w:cs="Times New Roman"/>
          <w:i/>
          <w:sz w:val="20"/>
          <w:szCs w:val="20"/>
        </w:rPr>
        <w:t>Echocardiography</w:t>
      </w:r>
      <w:r w:rsidR="009A778E">
        <w:rPr>
          <w:rFonts w:ascii="Times New Roman" w:hAnsi="Times New Roman" w:cs="Times New Roman"/>
          <w:sz w:val="20"/>
          <w:szCs w:val="20"/>
        </w:rPr>
        <w:t>. 2011;24(1):60-74. doi:10.1016/j.echo.2010.10.004</w:t>
      </w:r>
    </w:p>
    <w:p w:rsidR="00A22CEA" w:rsidRDefault="00A22CEA" w:rsidP="00CB7E3E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120718" w:rsidRDefault="00375DC5" w:rsidP="00CB7E3E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0029" w:rsidRPr="00375DC5" w:rsidRDefault="006B0029" w:rsidP="00CB7E3E">
      <w:pPr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 w:rsidRPr="00375DC5">
        <w:rPr>
          <w:rFonts w:ascii="Times New Roman" w:hAnsi="Times New Roman" w:cs="Times New Roman"/>
          <w:b/>
          <w:sz w:val="20"/>
          <w:szCs w:val="20"/>
        </w:rPr>
        <w:t xml:space="preserve">Software citations: </w:t>
      </w:r>
    </w:p>
    <w:p w:rsidR="003B24C7" w:rsidRDefault="003B24C7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6B0029" w:rsidRDefault="006B0029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Simvascular</w:t>
      </w:r>
      <w:proofErr w:type="spellEnd"/>
    </w:p>
    <w:p w:rsidR="00145393" w:rsidRDefault="006B0029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4642">
        <w:rPr>
          <w:rFonts w:ascii="Times New Roman" w:hAnsi="Times New Roman" w:cs="Times New Roman"/>
          <w:sz w:val="20"/>
          <w:szCs w:val="20"/>
        </w:rPr>
        <w:t>Updegrove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A, </w:t>
      </w:r>
      <w:r w:rsidR="00145393">
        <w:rPr>
          <w:rFonts w:ascii="Times New Roman" w:hAnsi="Times New Roman" w:cs="Times New Roman"/>
          <w:sz w:val="20"/>
          <w:szCs w:val="20"/>
        </w:rPr>
        <w:t xml:space="preserve">Wilson NM, </w:t>
      </w:r>
      <w:proofErr w:type="spellStart"/>
      <w:r w:rsidR="00145393">
        <w:rPr>
          <w:rFonts w:ascii="Times New Roman" w:hAnsi="Times New Roman" w:cs="Times New Roman"/>
          <w:sz w:val="20"/>
          <w:szCs w:val="20"/>
        </w:rPr>
        <w:t>Merkow</w:t>
      </w:r>
      <w:proofErr w:type="spellEnd"/>
      <w:r w:rsidR="00145393">
        <w:rPr>
          <w:rFonts w:ascii="Times New Roman" w:hAnsi="Times New Roman" w:cs="Times New Roman"/>
          <w:sz w:val="20"/>
          <w:szCs w:val="20"/>
        </w:rPr>
        <w:t xml:space="preserve"> J, Lan H, Marsden AL, </w:t>
      </w:r>
      <w:proofErr w:type="spellStart"/>
      <w:r w:rsidR="00145393">
        <w:rPr>
          <w:rFonts w:ascii="Times New Roman" w:hAnsi="Times New Roman" w:cs="Times New Roman"/>
          <w:sz w:val="20"/>
          <w:szCs w:val="20"/>
        </w:rPr>
        <w:t>Shadden</w:t>
      </w:r>
      <w:proofErr w:type="spellEnd"/>
      <w:r w:rsidR="00145393">
        <w:rPr>
          <w:rFonts w:ascii="Times New Roman" w:hAnsi="Times New Roman" w:cs="Times New Roman"/>
          <w:sz w:val="20"/>
          <w:szCs w:val="20"/>
        </w:rPr>
        <w:t xml:space="preserve"> SC. </w:t>
      </w:r>
      <w:proofErr w:type="spellStart"/>
      <w:r w:rsidR="00145393">
        <w:rPr>
          <w:rFonts w:ascii="Times New Roman" w:hAnsi="Times New Roman" w:cs="Times New Roman"/>
          <w:sz w:val="20"/>
          <w:szCs w:val="20"/>
        </w:rPr>
        <w:t>Simvascular</w:t>
      </w:r>
      <w:proofErr w:type="spellEnd"/>
      <w:r w:rsidR="00145393">
        <w:rPr>
          <w:rFonts w:ascii="Times New Roman" w:hAnsi="Times New Roman" w:cs="Times New Roman"/>
          <w:sz w:val="20"/>
          <w:szCs w:val="20"/>
        </w:rPr>
        <w:t xml:space="preserve">: An open source pipeline for cardiovascular simulation. </w:t>
      </w:r>
      <w:r w:rsidR="00145393">
        <w:rPr>
          <w:rFonts w:ascii="Times New Roman" w:hAnsi="Times New Roman" w:cs="Times New Roman"/>
          <w:i/>
          <w:sz w:val="20"/>
          <w:szCs w:val="20"/>
        </w:rPr>
        <w:t>Ann Biome Eng.</w:t>
      </w:r>
      <w:r w:rsidR="00145393">
        <w:rPr>
          <w:rFonts w:ascii="Times New Roman" w:hAnsi="Times New Roman" w:cs="Times New Roman"/>
          <w:sz w:val="20"/>
          <w:szCs w:val="20"/>
        </w:rPr>
        <w:t xml:space="preserve"> 2017; 45:525-541. </w:t>
      </w:r>
    </w:p>
    <w:p w:rsidR="00145393" w:rsidRDefault="00145393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6B0029" w:rsidRPr="00CE4642" w:rsidRDefault="006B0029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Tetgen</w:t>
      </w:r>
      <w:proofErr w:type="spellEnd"/>
    </w:p>
    <w:p w:rsidR="003B24C7" w:rsidRDefault="00120718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CE4642">
        <w:rPr>
          <w:rFonts w:ascii="Times New Roman" w:hAnsi="Times New Roman" w:cs="Times New Roman"/>
          <w:sz w:val="20"/>
          <w:szCs w:val="20"/>
        </w:rPr>
        <w:t xml:space="preserve">H. Si. </w:t>
      </w:r>
      <w:proofErr w:type="spellStart"/>
      <w:r w:rsidR="00145393">
        <w:rPr>
          <w:rFonts w:ascii="Times New Roman" w:hAnsi="Times New Roman" w:cs="Times New Roman"/>
          <w:sz w:val="20"/>
          <w:szCs w:val="20"/>
        </w:rPr>
        <w:t>TetGen</w:t>
      </w:r>
      <w:proofErr w:type="spellEnd"/>
      <w:r w:rsidR="00145393">
        <w:rPr>
          <w:rFonts w:ascii="Times New Roman" w:hAnsi="Times New Roman" w:cs="Times New Roman"/>
          <w:sz w:val="20"/>
          <w:szCs w:val="20"/>
        </w:rPr>
        <w:t xml:space="preserve">, a Delaunay-Based Quality Tetrahedral Mesh Generator. ACM Trans. On </w:t>
      </w:r>
      <w:r w:rsidRPr="00CE4642">
        <w:rPr>
          <w:rFonts w:ascii="Times New Roman" w:hAnsi="Times New Roman" w:cs="Times New Roman"/>
          <w:sz w:val="20"/>
          <w:szCs w:val="20"/>
        </w:rPr>
        <w:t>Math. Softw</w:t>
      </w:r>
      <w:r w:rsidR="00145393">
        <w:rPr>
          <w:rFonts w:ascii="Times New Roman" w:hAnsi="Times New Roman" w:cs="Times New Roman"/>
          <w:sz w:val="20"/>
          <w:szCs w:val="20"/>
        </w:rPr>
        <w:t>are. 2015;</w:t>
      </w:r>
      <w:r w:rsidRPr="00CE4642">
        <w:rPr>
          <w:rFonts w:ascii="Times New Roman" w:hAnsi="Times New Roman" w:cs="Times New Roman"/>
          <w:sz w:val="20"/>
          <w:szCs w:val="20"/>
        </w:rPr>
        <w:t>41</w:t>
      </w:r>
      <w:r w:rsidR="00145393">
        <w:rPr>
          <w:rFonts w:ascii="Times New Roman" w:hAnsi="Times New Roman" w:cs="Times New Roman"/>
          <w:sz w:val="20"/>
          <w:szCs w:val="20"/>
        </w:rPr>
        <w:t>(11).</w:t>
      </w:r>
      <w:r w:rsidRPr="00CE464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0029" w:rsidRDefault="006B0029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6B0029" w:rsidRPr="00CE4642" w:rsidRDefault="006B0029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Paraview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? VTK? </w:t>
      </w:r>
    </w:p>
    <w:p w:rsidR="003B24C7" w:rsidRPr="00CE4642" w:rsidRDefault="003B24C7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3B24C7" w:rsidRPr="00CE4642" w:rsidRDefault="003B24C7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A167E1" w:rsidRPr="00CE4642" w:rsidRDefault="00A167E1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A167E1" w:rsidRPr="00CE4642" w:rsidRDefault="00A167E1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sectPr w:rsidR="00A167E1" w:rsidRPr="00CE4642" w:rsidSect="004F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F1"/>
    <w:rsid w:val="00034395"/>
    <w:rsid w:val="00120718"/>
    <w:rsid w:val="00145393"/>
    <w:rsid w:val="001C2B1B"/>
    <w:rsid w:val="00370A4D"/>
    <w:rsid w:val="00375DC5"/>
    <w:rsid w:val="003B24C7"/>
    <w:rsid w:val="004D5ADD"/>
    <w:rsid w:val="004F0A19"/>
    <w:rsid w:val="0059090D"/>
    <w:rsid w:val="006B0029"/>
    <w:rsid w:val="008A23F1"/>
    <w:rsid w:val="009A778E"/>
    <w:rsid w:val="00A167E1"/>
    <w:rsid w:val="00A22CEA"/>
    <w:rsid w:val="00B52285"/>
    <w:rsid w:val="00B94966"/>
    <w:rsid w:val="00C820FB"/>
    <w:rsid w:val="00C86E3B"/>
    <w:rsid w:val="00CB7E3E"/>
    <w:rsid w:val="00CE4642"/>
    <w:rsid w:val="00D6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89F8B"/>
  <w15:chartTrackingRefBased/>
  <w15:docId w15:val="{EEFD7E2D-8354-FA49-BE58-900EA9A0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2019-04-26T10:59:00Z</dcterms:created>
  <dcterms:modified xsi:type="dcterms:W3CDTF">2019-05-15T09:56:00Z</dcterms:modified>
</cp:coreProperties>
</file>