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25.png" ContentType="image/png"/>
  <Override PartName="/word/media/rId166.png" ContentType="image/png"/>
  <Override PartName="/word/media/rId144.png" ContentType="image/png"/>
  <Override PartName="/word/media/rId175.png" ContentType="image/png"/>
  <Override PartName="/word/media/rId185.png" ContentType="image/png"/>
  <Override PartName="/word/media/rId170.png" ContentType="image/png"/>
  <Override PartName="/word/media/rId180.png" ContentType="image/png"/>
  <Override PartName="/word/media/rId94.png" ContentType="image/png"/>
  <Override PartName="/word/media/rId90.png" ContentType="image/png"/>
  <Override PartName="/word/media/rId120.png" ContentType="image/png"/>
  <Override PartName="/word/media/rId29.png" ContentType="image/png"/>
  <Override PartName="/word/media/rId44.png" ContentType="image/png"/>
  <Override PartName="/word/media/rId34.png" ContentType="image/png"/>
  <Override PartName="/word/media/rId39.png" ContentType="image/png"/>
  <Override PartName="/word/media/rId136.png" ContentType="image/png"/>
  <Override PartName="/word/media/rId131.png" ContentType="image/png"/>
  <Override PartName="/word/media/rId84.png" ContentType="image/png"/>
  <Override PartName="/word/media/rId79.png" ContentType="image/png"/>
  <Override PartName="/word/media/rId154.png" ContentType="image/png"/>
  <Override PartName="/word/media/rId149.png" ContentType="image/png"/>
  <Override PartName="/word/media/rId106.png" ContentType="image/png"/>
  <Override PartName="/word/media/rId101.png" ContentType="image/png"/>
  <Override PartName="/word/media/rId111.png" ContentType="image/png"/>
  <Override PartName="/word/media/rId1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Hypertension disease natural history and healthcare utilization when treatment guidelines do not account for race</w:t>
      </w:r>
    </w:p>
    <w:p>
      <w:pPr>
        <w:pStyle w:val="Author"/>
      </w:pPr>
      <w:r>
        <w:t xml:space="preserve">Marika M. Cusick</w:t>
      </w:r>
    </w:p>
    <w:p>
      <w:pPr>
        <w:pStyle w:val="Author"/>
      </w:pPr>
      <w:r>
        <w:t xml:space="preserve">Malcolm Barrett</w:t>
      </w:r>
    </w:p>
    <w:p>
      <w:pPr>
        <w:pStyle w:val="Author"/>
      </w:pPr>
      <w:r>
        <w:t xml:space="preserve">Fernando Alarid-Escudero</w:t>
      </w:r>
    </w:p>
    <w:p>
      <w:pPr>
        <w:pStyle w:val="Author"/>
      </w:pPr>
      <w:r>
        <w:t xml:space="preserve">Jeremy D. Goldhaber-Fiebert</w:t>
      </w:r>
    </w:p>
    <w:p>
      <w:pPr>
        <w:pStyle w:val="Author"/>
      </w:pPr>
      <w:r>
        <w:t xml:space="preserve">Sherri Rose</w:t>
      </w:r>
    </w:p>
    <w:p>
      <w:pPr>
        <w:pStyle w:val="Date"/>
      </w:pPr>
      <w:r>
        <w:t xml:space="preserve">2026-10-22</w:t>
      </w:r>
    </w:p>
    <w:bookmarkStart w:id="9" w:name="abstract"/>
    <w:p>
      <w:pPr>
        <w:pStyle w:val="Heading2"/>
      </w:pPr>
      <w:r>
        <w:t xml:space="preserve">Abstract</w:t>
      </w:r>
    </w:p>
    <w:p>
      <w:pPr>
        <w:pStyle w:val="FirstParagraph"/>
      </w:pPr>
      <w:r>
        <w:rPr>
          <w:b/>
          <w:bCs/>
        </w:rPr>
        <w:t xml:space="preserve">Objective:</w:t>
      </w:r>
      <w:r>
        <w:t xml:space="preserve"> </w:t>
      </w:r>
      <w:r>
        <w:t xml:space="preserve">To estimate the impact of removing race-adjusted antihypertensive treatment recommendations for Black adults on health outcomes, healthcare utilization, and racial/ethnic disparities.</w:t>
      </w:r>
    </w:p>
    <w:p>
      <w:pPr>
        <w:pStyle w:val="BodyText"/>
      </w:pPr>
      <w:r>
        <w:rPr>
          <w:b/>
          <w:bCs/>
        </w:rPr>
        <w:t xml:space="preserve">Study Setting and Design:</w:t>
      </w:r>
      <w:r>
        <w:t xml:space="preserve"> </w:t>
      </w:r>
      <w:r>
        <w:t xml:space="preserve">We conducted a decision-analytic modeling study using a discrete-time state-transition microsimulation of hypertension natural history and health system utilization. We evaluated the effect of removing race-adjusted antihypertensive treatment recommendations under two scenarios: one assuming racial heterogeneity in treatment effectiveness, reflecting evidence behind prior race-specific guidelines, and the other assuming no racial heterogeneity. Main outcomes included life expectancy, cumulative incidence and duration of hypertension, and blood pressure control with antihypertensive treatment.</w:t>
      </w:r>
    </w:p>
    <w:p>
      <w:pPr>
        <w:pStyle w:val="BodyText"/>
      </w:pPr>
      <w:r>
        <w:rPr>
          <w:b/>
          <w:bCs/>
        </w:rPr>
        <w:t xml:space="preserve">Data Sources and Analytic Sample:</w:t>
      </w:r>
      <w:r>
        <w:t xml:space="preserve"> </w:t>
      </w:r>
      <w:r>
        <w:t xml:space="preserve">The microsimulation simulated lifetime trajectories among 100,000 non-Hispanic Black and non-Hispanic white 40-year-old adults. Model parameters were derived from multiple data sources, including the 2013-2018 National Health and Nutrition Examination Survey, the American Board of Family Medicine PRIME primary care electronic health record registry from 2018 and 2024, 2021 U.S. life tables, and published literature.</w:t>
      </w:r>
    </w:p>
    <w:p>
      <w:pPr>
        <w:pStyle w:val="BodyText"/>
      </w:pPr>
      <w:r>
        <w:rPr>
          <w:b/>
          <w:bCs/>
        </w:rPr>
        <w:t xml:space="preserve">Principal Findings:</w:t>
      </w:r>
      <w:r>
        <w:t xml:space="preserve"> </w:t>
      </w:r>
      <w:r>
        <w:t xml:space="preserve">Under assumptions of heterogeneous treatment effectiveness by race, guidelines without race adjustment decreased life expectancy among non-Hispanic Black adults by 0.4 years, increasing the life expectancy gap with non-Hispanic white adults from 4.1 to 4.5 years. Hypertension control among non-Hispanic Black adults also worsened. Years with uncontrolled hypertension increased by 0.8 years, widening the disparity with non-Hispanic white adults from 1.7 to 2.5 years. Assuming no racial heterogeneity, these effects were diminished: life expectancy decreased by 0.1 years and years with uncontrolled hypertension increased by 0.2 years, less than one-half and one-quarter of the effects observed under assumptions of heterogeneous treatment effectiveness by race.</w:t>
      </w:r>
    </w:p>
    <w:p>
      <w:pPr>
        <w:pStyle w:val="BodyText"/>
      </w:pPr>
      <w:r>
        <w:rPr>
          <w:b/>
          <w:bCs/>
        </w:rPr>
        <w:t xml:space="preserve">Conclusions:</w:t>
      </w:r>
      <w:r>
        <w:t xml:space="preserve"> </w:t>
      </w:r>
      <w:r>
        <w:t xml:space="preserve">The potential effects of removing race-adjusted antihypertensive treatment guidelines depended on assumptions of racial heterogeneity in treatment effectiveness. Our findings highlight the importance of understanding drivers of previously observed racial differences when considering modifying antihypertensive treatment guidelines.</w:t>
      </w:r>
    </w:p>
    <w:p>
      <w:pPr>
        <w:pStyle w:val="BodyText"/>
      </w:pPr>
      <w:r>
        <w:rPr>
          <w:b/>
          <w:bCs/>
        </w:rPr>
        <w:t xml:space="preserve">Word count:</w:t>
      </w:r>
      <w:r>
        <w:t xml:space="preserve"> </w:t>
      </w:r>
      <w:r>
        <w:t xml:space="preserve">3,444 words</w:t>
      </w:r>
    </w:p>
    <w:bookmarkEnd w:id="9"/>
    <w:bookmarkStart w:id="10" w:name="introduction"/>
    <w:p>
      <w:pPr>
        <w:pStyle w:val="Heading2"/>
      </w:pPr>
      <w:r>
        <w:t xml:space="preserve">1 Introduction</w:t>
      </w:r>
    </w:p>
    <w:p>
      <w:pPr>
        <w:pStyle w:val="FirstParagraph"/>
      </w:pPr>
      <w:r>
        <w:t xml:space="preserve">Hypertension affects nearly half of American adults and is a major driver of cardiovascular mortality in the U.S.</w:t>
      </w:r>
      <w:r>
        <w:rPr>
          <w:vertAlign w:val="superscript"/>
        </w:rPr>
        <w:t xml:space="preserve">1</w:t>
      </w:r>
      <w:r>
        <w:t xml:space="preserve"> </w:t>
      </w:r>
      <w:r>
        <w:t xml:space="preserve">The burden of hypertension is not shared equally across the population. Non-Hispanic Black adults have a higher prevalence of hypertension compared with non-Hispanic white, non-Hispanic Asian, and Hispanic adults.</w:t>
      </w:r>
      <w:r>
        <w:rPr>
          <w:vertAlign w:val="superscript"/>
        </w:rPr>
        <w:t xml:space="preserve">2,3</w:t>
      </w:r>
      <w:r>
        <w:t xml:space="preserve"> </w:t>
      </w:r>
      <w:r>
        <w:t xml:space="preserve">Furthermore, only one in four adults with hypertension achieve recommended blood pressure targets,</w:t>
      </w:r>
      <w:r>
        <w:rPr>
          <w:vertAlign w:val="superscript"/>
        </w:rPr>
        <w:t xml:space="preserve">4</w:t>
      </w:r>
      <w:r>
        <w:t xml:space="preserve"> </w:t>
      </w:r>
      <w:r>
        <w:t xml:space="preserve">and rates of blood pressure control are lower among non-Hispanic Black, Hispanic, and non-Hispanic Asian adults compared with non-Hispanic white adults.</w:t>
      </w:r>
      <w:r>
        <w:rPr>
          <w:vertAlign w:val="superscript"/>
        </w:rPr>
        <w:t xml:space="preserve">5</w:t>
      </w:r>
      <w:r>
        <w:t xml:space="preserve"> </w:t>
      </w:r>
      <w:r>
        <w:t xml:space="preserve">Previous research suggests that variation in hypertension control is shaped by socioeconomic factors, including income, insurance status, or educational attainment.</w:t>
      </w:r>
      <w:r>
        <w:rPr>
          <w:vertAlign w:val="superscript"/>
        </w:rPr>
        <w:t xml:space="preserve">4,5</w:t>
      </w:r>
    </w:p>
    <w:p>
      <w:pPr>
        <w:pStyle w:val="BodyText"/>
      </w:pPr>
      <w:r>
        <w:t xml:space="preserve">Most adults with hypertension are advised to make lifestyle modifications and initiate antihypertensive treatment to lower blood pressure and reduce the risk of cardiovascular events.</w:t>
      </w:r>
      <w:r>
        <w:rPr>
          <w:vertAlign w:val="superscript"/>
        </w:rPr>
        <w:t xml:space="preserve">4,6</w:t>
      </w:r>
      <w:r>
        <w:t xml:space="preserve"> </w:t>
      </w:r>
      <w:r>
        <w:t xml:space="preserve">The Antihypertensive and Lipid-Lowering Treatment to Prevent Heart Attack Trial (ALLHAT), conducted between 1994 and 2002, compared antihypertensive medication classes in preventing major cardiovascular events. Subgroup analyses from ALLHAT revealed heterogeneity in antihypertensive treatment effectiveness between Black and non-Black adults.</w:t>
      </w:r>
      <w:r>
        <w:rPr>
          <w:vertAlign w:val="superscript"/>
        </w:rPr>
        <w:t xml:space="preserve">7–9</w:t>
      </w:r>
      <w:r>
        <w:t xml:space="preserve"> </w:t>
      </w:r>
      <w:r>
        <w:t xml:space="preserve">These findings informed race-specific pharmacologic therapy recommendations for Black adults in major clinical practice guidelines, such as the 2014 Eighth Joint National Committee, 2017 American Heart Association (AHA)/American College of Cardiology (ACC), and 2018 European Society of Cardiology guidelines.</w:t>
      </w:r>
      <w:r>
        <w:rPr>
          <w:vertAlign w:val="superscript"/>
        </w:rPr>
        <w:t xml:space="preserve">6,10,11</w:t>
      </w:r>
    </w:p>
    <w:p>
      <w:pPr>
        <w:pStyle w:val="BodyText"/>
      </w:pPr>
      <w:r>
        <w:t xml:space="preserve">However, the inclusion of race in clinical algorithms and practice guidelines has faced growing criticism for propagating racial bias in clinical decision-making and exacerbating health disparities.</w:t>
      </w:r>
      <w:r>
        <w:rPr>
          <w:vertAlign w:val="superscript"/>
        </w:rPr>
        <w:t xml:space="preserve">12–14</w:t>
      </w:r>
      <w:r>
        <w:t xml:space="preserve"> </w:t>
      </w:r>
      <w:r>
        <w:t xml:space="preserve">In response, national organizations have removed race or ethnicity-based adjustments from some clinical equations.</w:t>
      </w:r>
      <w:r>
        <w:rPr>
          <w:vertAlign w:val="superscript"/>
        </w:rPr>
        <w:t xml:space="preserve">15–19</w:t>
      </w:r>
      <w:r>
        <w:t xml:space="preserve"> </w:t>
      </w:r>
      <w:r>
        <w:t xml:space="preserve">Recently, the 2025 AHA/ACC guidelines on the prevention, detection, evaluation, and management of high blood pressure in adults removed race-specific recommendations for antihypertensive treatment.</w:t>
      </w:r>
      <w:r>
        <w:rPr>
          <w:vertAlign w:val="superscript"/>
        </w:rPr>
        <w:t xml:space="preserve">20</w:t>
      </w:r>
    </w:p>
    <w:p>
      <w:pPr>
        <w:pStyle w:val="BodyText"/>
      </w:pPr>
      <w:r>
        <w:t xml:space="preserve">The implications of removing race-adjusted antihypertensive treatment recommendations for health outcomes and racial/ethnic disparities remain unclear, in particular given uncertainty in the existence of racial heterogeneity in treatment effectiveness. Rigorous evaluations of clinical guideline changes are critical to assess their potential impact and minimize unintended harm.</w:t>
      </w:r>
      <w:r>
        <w:rPr>
          <w:vertAlign w:val="superscript"/>
        </w:rPr>
        <w:t xml:space="preserve">21</w:t>
      </w:r>
      <w:r>
        <w:t xml:space="preserve"> </w:t>
      </w:r>
      <w:r>
        <w:t xml:space="preserve">In this study, we developed a microsimulation model to estimate the impact of removing race-adjusted recommendations on health outcomes, healthcare utilization, and racial/ethnic disparities between non-Hispanic Black and non-Hispanic white adults. To reflect the uncertainty of racial heterogeneity in treatment effectiveness, we considered two scenarios: one assuming race-specific treatment effects and another assuming equal effectiveness across racial groups.</w:t>
      </w:r>
    </w:p>
    <w:bookmarkEnd w:id="10"/>
    <w:bookmarkStart w:id="24" w:name="materials-and-methods"/>
    <w:p>
      <w:pPr>
        <w:pStyle w:val="Heading2"/>
      </w:pPr>
      <w:r>
        <w:t xml:space="preserve">2 Materials and methods</w:t>
      </w:r>
    </w:p>
    <w:bookmarkStart w:id="15" w:name="microsimulation-model-overview"/>
    <w:p>
      <w:pPr>
        <w:pStyle w:val="Heading3"/>
      </w:pPr>
      <w:r>
        <w:t xml:space="preserve">2.1 Microsimulation model overview</w:t>
      </w:r>
    </w:p>
    <w:p>
      <w:pPr>
        <w:pStyle w:val="FirstParagraph"/>
      </w:pPr>
      <w:r>
        <w:t xml:space="preserve">We conducted a decision-analytic modeling study using a discrete-time state transition microsimulation model. The microsimulation model had two interacting processes: disease natural history and health system utilization (</w:t>
      </w:r>
      <w:hyperlink w:anchor="fig-model-diagram">
        <w:r>
          <w:rPr>
            <w:rStyle w:val="Hyperlink"/>
          </w:rPr>
          <w:t xml:space="preserve">Figure 1</w:t>
        </w:r>
      </w:hyperlink>
      <w:r>
        <w:t xml:space="preserve">). The disease natural history process simulated individual systolic and diastolic blood pressure trajectories and progression to death. The health system process tracked individuals through three stages: in the health system (with routine place for healthcare), detected and treated for hypertension, and discontinued treatment.</w:t>
      </w:r>
    </w:p>
    <w:tbl>
      <w:tblPr>
        <w:tblStyle w:val="Table"/>
        <w:tblW w:type="pct" w:w="5000"/>
        <w:tblLayout w:type="fixed"/>
        <w:tblLook w:firstRow="0" w:lastRow="0" w:firstColumn="0" w:lastColumn="0" w:noHBand="0" w:noVBand="0" w:val="0000"/>
      </w:tblPr>
      <w:tblGrid>
        <w:gridCol w:w="7920"/>
      </w:tblGrid>
      <w:tr>
        <w:tc>
          <w:tcPr/>
          <w:bookmarkStart w:id="14" w:name="fig-model-diagram"/>
          <w:p>
            <w:pPr>
              <w:pStyle w:val="Compact"/>
              <w:jc w:val="center"/>
            </w:pPr>
            <w:r>
              <w:drawing>
                <wp:inline>
                  <wp:extent cx="5334000" cy="2871787"/>
                  <wp:effectExtent b="0" l="0" r="0" t="0"/>
                  <wp:docPr descr="" title="" id="12" name="Picture"/>
                  <a:graphic>
                    <a:graphicData uri="http://schemas.openxmlformats.org/drawingml/2006/picture">
                      <pic:pic>
                        <pic:nvPicPr>
                          <pic:cNvPr descr="figures/model_diagram.png" id="13" name="Picture"/>
                          <pic:cNvPicPr>
                            <a:picLocks noChangeArrowheads="1" noChangeAspect="1"/>
                          </pic:cNvPicPr>
                        </pic:nvPicPr>
                        <pic:blipFill>
                          <a:blip r:embed="rId11"/>
                          <a:stretch>
                            <a:fillRect/>
                          </a:stretch>
                        </pic:blipFill>
                        <pic:spPr bwMode="auto">
                          <a:xfrm>
                            <a:off x="0" y="0"/>
                            <a:ext cx="5334000" cy="287178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Model diagram of state-transition microsimulation model of hypertension disease natural history and health system utilization</w:t>
            </w:r>
          </w:p>
          <w:bookmarkEnd w:id="14"/>
        </w:tc>
      </w:tr>
    </w:tbl>
    <w:bookmarkEnd w:id="15"/>
    <w:bookmarkStart w:id="16" w:name="data-sources"/>
    <w:p>
      <w:pPr>
        <w:pStyle w:val="Heading3"/>
      </w:pPr>
      <w:r>
        <w:t xml:space="preserve">2.2 Data sources</w:t>
      </w:r>
    </w:p>
    <w:p>
      <w:pPr>
        <w:pStyle w:val="FirstParagraph"/>
      </w:pPr>
      <w:r>
        <w:t xml:space="preserve">Multiple data sources were used to parameterize our microsimulation model (</w:t>
      </w:r>
      <w:hyperlink w:anchor="supptbl-base-case">
        <w:r>
          <w:rPr>
            <w:rStyle w:val="Hyperlink"/>
          </w:rPr>
          <w:t xml:space="preserve">Table S1</w:t>
        </w:r>
      </w:hyperlink>
      <w:r>
        <w:t xml:space="preserve">). To obtain a simulation cohort representative of U.S. adults, we relied on survey data from the 2013-2014, 2015-2016, and 2017-2018 years of the National Health and Nutrition Examination Survey (NHANES).</w:t>
      </w:r>
      <w:r>
        <w:rPr>
          <w:vertAlign w:val="superscript"/>
        </w:rPr>
        <w:t xml:space="preserve">22</w:t>
      </w:r>
      <w:r>
        <w:t xml:space="preserve"> </w:t>
      </w:r>
      <w:r>
        <w:t xml:space="preserve">We sampled one million blood pressure measurements between January 2018 and June 2024 from the American Board of Family Medicine PRIME primary care electronic health record registry to estimate model transitions in hypertension natural history and health system utilization.</w:t>
      </w:r>
      <w:r>
        <w:rPr>
          <w:vertAlign w:val="superscript"/>
        </w:rPr>
        <w:t xml:space="preserve">23,24</w:t>
      </w:r>
      <w:r>
        <w:t xml:space="preserve"> </w:t>
      </w:r>
      <w:r>
        <w:t xml:space="preserve">Baseline mortality rates were derived from 2021 age-, sex-, race-, and ethnicity-specific life tables.</w:t>
      </w:r>
      <w:r>
        <w:rPr>
          <w:vertAlign w:val="superscript"/>
        </w:rPr>
        <w:t xml:space="preserve">25</w:t>
      </w:r>
      <w:r>
        <w:t xml:space="preserve"> </w:t>
      </w:r>
      <w:r>
        <w:t xml:space="preserve">Remaining model parameters, including the effectiveness of antihypertensive treatments in lowering blood pressure, antihypertensive monotherapy utilization, and treatment discontinuation rates, were obtained from published literature as cited.</w:t>
      </w:r>
    </w:p>
    <w:bookmarkEnd w:id="16"/>
    <w:bookmarkStart w:id="17" w:name="sec-simulation-cohort"/>
    <w:p>
      <w:pPr>
        <w:pStyle w:val="Heading3"/>
      </w:pPr>
      <w:r>
        <w:t xml:space="preserve">2.3 Simulation cohort</w:t>
      </w:r>
    </w:p>
    <w:p>
      <w:pPr>
        <w:pStyle w:val="FirstParagraph"/>
      </w:pPr>
      <w:r>
        <w:t xml:space="preserve">Our simulation cohort consisted of 100,000 synthetic 40-year-old non-Hispanic Black and non-Hispanic white adults. We sampled synthetic individuals using a multivariate copula model fit to NHANES data (</w:t>
      </w:r>
      <w:hyperlink w:anchor="sec-multi-copula">
        <w:r>
          <w:rPr>
            <w:rStyle w:val="Hyperlink"/>
          </w:rPr>
          <w:t xml:space="preserve">Section S 6.2</w:t>
        </w:r>
      </w:hyperlink>
      <w:r>
        <w:t xml:space="preserve">). Synthetic individuals differed by race/ethnicity, sex, initial systolic and diastolic blood pressure values, and blood pressure measurement frequencies.</w:t>
      </w:r>
    </w:p>
    <w:bookmarkEnd w:id="17"/>
    <w:bookmarkStart w:id="18" w:name="disease-natural-history"/>
    <w:p>
      <w:pPr>
        <w:pStyle w:val="Heading3"/>
      </w:pPr>
      <w:r>
        <w:t xml:space="preserve">2.4 Disease natural history</w:t>
      </w:r>
    </w:p>
    <w:p>
      <w:pPr>
        <w:pStyle w:val="FirstParagraph"/>
      </w:pPr>
      <w:r>
        <w:t xml:space="preserve">The microsimulation model simulated lifetime systolic and diastolic blood pressure trajectories. Blood pressure values were categorized into hypertension stages using standard blood pressure cut-offs: normal (systolic &lt;120 mm Hg and diastolic &lt;80 mm Hg), elevated (systolic 120-129 mm Hg and diastolic &lt;80 mm Hg), stage 1 (systolic 130-139 mm Hg or diastolic 80-89 mm Hg), and stage 2 (systolic</w:t>
      </w:r>
      <w:r>
        <w:t xml:space="preserve"> </w:t>
      </w:r>
      <m:oMath>
        <m:r>
          <m:rPr>
            <m:sty m:val="p"/>
          </m:rPr>
          <m:t>≥</m:t>
        </m:r>
      </m:oMath>
      <w:r>
        <w:t xml:space="preserve"> </w:t>
      </w:r>
      <w:r>
        <w:t xml:space="preserve">140 mm Hg or diastolic</w:t>
      </w:r>
      <w:r>
        <w:t xml:space="preserve"> </w:t>
      </w:r>
      <m:oMath>
        <m:r>
          <m:rPr>
            <m:sty m:val="p"/>
          </m:rPr>
          <m:t>≥</m:t>
        </m:r>
      </m:oMath>
      <w:r>
        <w:t xml:space="preserve"> </w:t>
      </w:r>
      <w:r>
        <w:t xml:space="preserve">90 mm Hg).</w:t>
      </w:r>
      <w:r>
        <w:rPr>
          <w:vertAlign w:val="superscript"/>
        </w:rPr>
        <w:t xml:space="preserve">26</w:t>
      </w:r>
      <w:r>
        <w:t xml:space="preserve"> </w:t>
      </w:r>
      <w:r>
        <w:t xml:space="preserve">To allow for individual variation in blood pressure, we fit quantile regressions to predict monthly systolic and diastolic blood pressure values using the PRIME registry (</w:t>
      </w:r>
      <w:hyperlink w:anchor="sec-sys-dia-regressions">
        <w:r>
          <w:rPr>
            <w:rStyle w:val="Hyperlink"/>
          </w:rPr>
          <w:t xml:space="preserve">Section S 6.3</w:t>
        </w:r>
      </w:hyperlink>
      <w:r>
        <w:t xml:space="preserve">). Assigned quantiles for blood pressure prediction were updated every five years according to an exponential distribution, while preserving correlations between systolic and diastolic blood pressure values observed in the PRIME registry (</w:t>
      </w:r>
      <w:hyperlink w:anchor="sec-sys-dia-correlations">
        <w:r>
          <w:rPr>
            <w:rStyle w:val="Hyperlink"/>
          </w:rPr>
          <w:t xml:space="preserve">Section S 6.4</w:t>
        </w:r>
      </w:hyperlink>
      <w:r>
        <w:t xml:space="preserve">). Treatment initiation lowered blood pressure according to treatment effects observed in the ALLHAT clinical trial, further described in</w:t>
      </w:r>
      <w:r>
        <w:t xml:space="preserve"> </w:t>
      </w:r>
      <w:hyperlink w:anchor="sec-interventions">
        <w:r>
          <w:rPr>
            <w:rStyle w:val="Hyperlink"/>
          </w:rPr>
          <w:t xml:space="preserve">Section 2.6</w:t>
        </w:r>
      </w:hyperlink>
      <w:r>
        <w:t xml:space="preserve">. Individuals who discontinued treatment returned to blood pressure trajectories before treatment exposure. Mortality rates varied by age, sex, race/ethnicity, and blood pressure. We used age-sex-race/ethnicity-specific mortality rates from the 2021 U.S. life tables.</w:t>
      </w:r>
      <w:r>
        <w:rPr>
          <w:vertAlign w:val="superscript"/>
        </w:rPr>
        <w:t xml:space="preserve">25</w:t>
      </w:r>
      <w:r>
        <w:t xml:space="preserve"> </w:t>
      </w:r>
      <w:r>
        <w:t xml:space="preserve">Individuals with elevated blood pressure experienced increased mortality risk (</w:t>
      </w:r>
      <w:hyperlink w:anchor="sec-mortality-adjustments">
        <w:r>
          <w:rPr>
            <w:rStyle w:val="Hyperlink"/>
          </w:rPr>
          <w:t xml:space="preserve">Section S 6.5</w:t>
        </w:r>
      </w:hyperlink>
      <w:r>
        <w:t xml:space="preserve">).</w:t>
      </w:r>
      <w:r>
        <w:rPr>
          <w:vertAlign w:val="superscript"/>
        </w:rPr>
        <w:t xml:space="preserve">27</w:t>
      </w:r>
    </w:p>
    <w:bookmarkEnd w:id="18"/>
    <w:bookmarkStart w:id="19" w:name="health-system-utilization"/>
    <w:p>
      <w:pPr>
        <w:pStyle w:val="Heading3"/>
      </w:pPr>
      <w:r>
        <w:t xml:space="preserve">2.5 Health system utilization</w:t>
      </w:r>
    </w:p>
    <w:p>
      <w:pPr>
        <w:pStyle w:val="FirstParagraph"/>
      </w:pPr>
      <w:r>
        <w:t xml:space="preserve">All synthetic individuals were initialized as</w:t>
      </w:r>
      <w:r>
        <w:t xml:space="preserve"> </w:t>
      </w:r>
      <w:r>
        <w:t xml:space="preserve">“in the health system”</w:t>
      </w:r>
      <w:r>
        <w:t xml:space="preserve"> </w:t>
      </w:r>
      <w:r>
        <w:t xml:space="preserve">state (</w:t>
      </w:r>
      <w:hyperlink w:anchor="fig-model-diagram">
        <w:r>
          <w:rPr>
            <w:rStyle w:val="Hyperlink"/>
          </w:rPr>
          <w:t xml:space="preserve">Figure 1</w:t>
        </w:r>
      </w:hyperlink>
      <w:r>
        <w:t xml:space="preserve">). Treatment initiation was simulated in two steps. First, individual blood pressure measurement intervals ranged from monthly to annually according to their age, sex, and prior blood pressure values. Second, at each blood pressure measurement, the probability of initiating antihypertensive therapy was predicted as a function of age, sex, and systolic and diastolic blood pressure values (</w:t>
      </w:r>
      <w:hyperlink w:anchor="sec-treatment-prob">
        <w:r>
          <w:rPr>
            <w:rStyle w:val="Hyperlink"/>
          </w:rPr>
          <w:t xml:space="preserve">Section S 6.6</w:t>
        </w:r>
      </w:hyperlink>
      <w:r>
        <w:t xml:space="preserve">). Given limitations of electronic health record data in measuring treatment discontinuation, treatment class-specific discontinuation rates were obtained from the ALLHAT trial.</w:t>
      </w:r>
      <w:r>
        <w:rPr>
          <w:vertAlign w:val="superscript"/>
        </w:rPr>
        <w:t xml:space="preserve">28</w:t>
      </w:r>
      <w:r>
        <w:t xml:space="preserve"> </w:t>
      </w:r>
      <w:r>
        <w:t xml:space="preserve">Our model assumed that individuals who discontinued treatment did not reinitiate treatment.</w:t>
      </w:r>
    </w:p>
    <w:bookmarkEnd w:id="19"/>
    <w:bookmarkStart w:id="21" w:name="sec-interventions"/>
    <w:p>
      <w:pPr>
        <w:pStyle w:val="Heading3"/>
      </w:pPr>
      <w:r>
        <w:t xml:space="preserve">2.6 Interventions</w:t>
      </w:r>
    </w:p>
    <w:p>
      <w:pPr>
        <w:pStyle w:val="FirstParagraph"/>
      </w:pPr>
      <w:r>
        <w:t xml:space="preserve">We compared the 2025 AHA/ACC guideline, which removed race-specific antihypertensive treatment recommendations, with continued use of the 2017 AHA/ACC race-adjusted recommendations. Our analysis focused on first-line monotherapy with thiazide diuretics or angiotensin-converting enzyme (ACE) inhibitors among individuals with stage 1 or 2 hypertension. The 2017 AHA/ACC guidelines recommended thiazide diuretics or ACE inhibitors as first-line antihypertensive therapy. However, these guidelines also included a special recommendation for Black adults, removing ACE inhibitors as a first-line therapy for this racial group.</w:t>
      </w:r>
      <w:r>
        <w:rPr>
          <w:vertAlign w:val="superscript"/>
        </w:rPr>
        <w:t xml:space="preserve">6</w:t>
      </w:r>
      <w:r>
        <w:t xml:space="preserve"> </w:t>
      </w:r>
      <w:r>
        <w:t xml:space="preserve">In simulating race-adjusted guidelines, non-Hispanic Black adults were prescribed thiazide diuretics only, whereas non-Hispanic white adults were prescribed both thiazide diuretics and ACE inhibitors.</w:t>
      </w:r>
      <w:r>
        <w:rPr>
          <w:vertAlign w:val="superscript"/>
        </w:rPr>
        <w:t xml:space="preserve">29</w:t>
      </w:r>
      <w:r>
        <w:t xml:space="preserve"> </w:t>
      </w:r>
      <w:r>
        <w:t xml:space="preserve">The 2025 AHA/ACC guideline no longer includes a special recommendation by race. Our simulation assumed that prescribing patterns for thiazide diuretics and ACE inhibitors did not differ by race.</w:t>
      </w:r>
    </w:p>
    <w:p>
      <w:pPr>
        <w:pStyle w:val="BodyText"/>
      </w:pPr>
      <w:r>
        <w:t xml:space="preserve">Guideline changes were evaluated under two treatment effect scenarios: 1) heterogeneity in treatment effectiveness by race and 2) no heterogeneity in treatment effectiveness by race. In the first scenario, we used ALLHAT subgroup analyses that demonstrated treatment heterogeneity by race: ACE inhibitors were inferior to thiazide diuretics in blood pressure control and cardiovascular disease prevention among Black adults.</w:t>
      </w:r>
      <w:r>
        <w:rPr>
          <w:vertAlign w:val="superscript"/>
        </w:rPr>
        <w:t xml:space="preserve">7</w:t>
      </w:r>
      <w:r>
        <w:t xml:space="preserve"> </w:t>
      </w:r>
      <w:r>
        <w:t xml:space="preserve">Blood pressure reductions and discontinuation rates differed by race in the simulation. In the second scenario, treatment effects and discontinuation rates were based on estimates from the overall ALLHAT trial population and were applied equally across racial/ethnic groups.</w:t>
      </w:r>
      <w:r>
        <w:rPr>
          <w:vertAlign w:val="superscript"/>
        </w:rPr>
        <w:t xml:space="preserve">28</w:t>
      </w:r>
      <w:r>
        <w:t xml:space="preserve"> </w:t>
      </w:r>
      <w:r>
        <w:t xml:space="preserve">Blood pressure reductions varied by years on treatment through year four of ALLHAT follow-up (</w:t>
      </w:r>
      <w:hyperlink w:anchor="Xfa64ae72bb410c19160ab6636961775cabb6f7f">
        <w:r>
          <w:rPr>
            <w:rStyle w:val="Hyperlink"/>
          </w:rPr>
          <w:t xml:space="preserve">Table 1</w:t>
        </w:r>
      </w:hyperlink>
      <w:r>
        <w:t xml:space="preserve">). Simulated individuals who remained on treatment after year four retained the year-four effect.</w:t>
      </w:r>
    </w:p>
    <w:tbl>
      <w:tblPr>
        <w:tblStyle w:val="Table"/>
        <w:tblW w:type="pct" w:w="5000"/>
        <w:tblLayout w:type="fixed"/>
        <w:tblLook w:firstRow="0" w:lastRow="0" w:firstColumn="0" w:lastColumn="0" w:noHBand="0" w:noVBand="0" w:val="0000"/>
      </w:tblPr>
      <w:tblGrid>
        <w:gridCol w:w="7920"/>
      </w:tblGrid>
      <w:tr>
        <w:tc>
          <w:tcPr/>
          <w:bookmarkStart w:id="20" w:name="Xfa64ae72bb410c19160ab6636961775cabb6f7f"/>
          <w:p>
            <w:pPr>
              <w:jc w:val="center"/>
            </w:pPr>
            <w:pPr>
              <w:jc w:val="left"/>
              <w:spacing w:before="200"/>
              <w:pStyle w:val="ImageCaption"/>
            </w:pPr>
            <w:r>
              <w:t xml:space="preserve">Table 1: Absolute reductions in blood pressure (systolic/diastolic, mm Hg) by antihypertensive treatment type and treatment effect heterogeneity assumption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Antihypertensive Treatment</w:t>
                  </w:r>
                </w:p>
              </w:tc>
              <w:tc>
                <w:tcPr/>
                <w:p>
                  <w:pPr>
                    <w:pStyle w:val="Compact"/>
                    <w:jc w:val="center"/>
                  </w:pPr>
                  <w:r>
                    <w:t xml:space="preserve">Year</w:t>
                  </w:r>
                </w:p>
              </w:tc>
              <w:tc>
                <w:tcPr/>
                <w:p>
                  <w:pPr>
                    <w:pStyle w:val="Compact"/>
                    <w:jc w:val="center"/>
                  </w:pPr>
                  <w:r>
                    <w:t xml:space="preserve">Heterogeneous Treatment Effects</w:t>
                  </w:r>
                </w:p>
              </w:tc>
              <w:tc>
                <w:tcPr/>
                <w:p>
                  <w:pPr>
                    <w:pStyle w:val="Compact"/>
                  </w:pPr>
                </w:p>
              </w:tc>
              <w:tc>
                <w:tcPr/>
                <w:p>
                  <w:pPr>
                    <w:pStyle w:val="Compact"/>
                    <w:jc w:val="center"/>
                  </w:pPr>
                  <w:r>
                    <w:t xml:space="preserve">No Heterogeneous Treatment Effects</w:t>
                  </w:r>
                </w:p>
              </w:tc>
              <w:tc>
                <w:tcPr/>
                <w:p>
                  <w:pPr>
                    <w:pStyle w:val="Compact"/>
                  </w:pPr>
                </w:p>
              </w:tc>
            </w:tr>
            <w:tr>
              <w:tc>
                <w:tcPr/>
                <w:p>
                  <w:pPr>
                    <w:pStyle w:val="Compact"/>
                  </w:pPr>
                </w:p>
              </w:tc>
              <w:tc>
                <w:tcPr/>
                <w:p>
                  <w:pPr>
                    <w:pStyle w:val="Compact"/>
                  </w:pPr>
                </w:p>
              </w:tc>
              <w:tc>
                <w:tcPr/>
                <w:p>
                  <w:pPr>
                    <w:pStyle w:val="Compact"/>
                    <w:jc w:val="center"/>
                  </w:pPr>
                  <w:r>
                    <w:t xml:space="preserve">Black</w:t>
                  </w:r>
                </w:p>
              </w:tc>
              <w:tc>
                <w:tcPr/>
                <w:p>
                  <w:pPr>
                    <w:pStyle w:val="Compact"/>
                    <w:jc w:val="center"/>
                  </w:pPr>
                  <w:r>
                    <w:t xml:space="preserve">Non-Black</w:t>
                  </w:r>
                </w:p>
              </w:tc>
              <w:tc>
                <w:tcPr/>
                <w:p>
                  <w:pPr>
                    <w:pStyle w:val="Compact"/>
                    <w:jc w:val="center"/>
                  </w:pPr>
                  <w:r>
                    <w:t xml:space="preserve">Black</w:t>
                  </w:r>
                </w:p>
              </w:tc>
              <w:tc>
                <w:tcPr/>
                <w:p>
                  <w:pPr>
                    <w:pStyle w:val="Compact"/>
                    <w:jc w:val="center"/>
                  </w:pPr>
                  <w:r>
                    <w:t xml:space="preserve">Non-Black</w:t>
                  </w:r>
                </w:p>
              </w:tc>
            </w:tr>
            <w:tr>
              <w:tc>
                <w:tcPr/>
                <w:p>
                  <w:pPr>
                    <w:pStyle w:val="Compact"/>
                    <w:jc w:val="center"/>
                  </w:pPr>
                  <w:r>
                    <w:t xml:space="preserve">Thiazide diuretic</w:t>
                  </w:r>
                </w:p>
              </w:tc>
              <w:tc>
                <w:tcPr/>
                <w:p>
                  <w:pPr>
                    <w:pStyle w:val="Compact"/>
                    <w:jc w:val="center"/>
                  </w:pPr>
                  <w:r>
                    <w:t xml:space="preserve">1</w:t>
                  </w:r>
                </w:p>
              </w:tc>
              <w:tc>
                <w:tcPr/>
                <w:p>
                  <w:pPr>
                    <w:pStyle w:val="Compact"/>
                    <w:jc w:val="center"/>
                  </w:pPr>
                  <w:r>
                    <w:t xml:space="preserve">7.7/3.9</w:t>
                  </w:r>
                </w:p>
              </w:tc>
              <w:tc>
                <w:tcPr/>
                <w:p>
                  <w:pPr>
                    <w:pStyle w:val="Compact"/>
                    <w:jc w:val="center"/>
                  </w:pPr>
                  <w:r>
                    <w:t xml:space="preserve">9.8/4.7</w:t>
                  </w:r>
                </w:p>
              </w:tc>
              <w:tc>
                <w:tcPr/>
                <w:p>
                  <w:pPr>
                    <w:pStyle w:val="Compact"/>
                    <w:jc w:val="center"/>
                  </w:pPr>
                  <w:r>
                    <w:t xml:space="preserve">9.3/4.7</w:t>
                  </w:r>
                </w:p>
              </w:tc>
              <w:tc>
                <w:tcPr/>
                <w:p>
                  <w:pPr>
                    <w:pStyle w:val="Compact"/>
                    <w:jc w:val="center"/>
                  </w:pPr>
                  <w:r>
                    <w:t xml:space="preserve">9.3/4.7</w:t>
                  </w:r>
                </w:p>
              </w:tc>
            </w:tr>
            <w:tr>
              <w:tc>
                <w:tcPr/>
                <w:p>
                  <w:pPr>
                    <w:pStyle w:val="Compact"/>
                  </w:pPr>
                </w:p>
              </w:tc>
              <w:tc>
                <w:tcPr/>
                <w:p>
                  <w:pPr>
                    <w:pStyle w:val="Compact"/>
                    <w:jc w:val="center"/>
                  </w:pPr>
                  <w:r>
                    <w:t xml:space="preserve">2</w:t>
                  </w:r>
                </w:p>
              </w:tc>
              <w:tc>
                <w:tcPr/>
                <w:p>
                  <w:pPr>
                    <w:pStyle w:val="Compact"/>
                    <w:jc w:val="center"/>
                  </w:pPr>
                  <w:r>
                    <w:t xml:space="preserve">8.6/5.0</w:t>
                  </w:r>
                </w:p>
              </w:tc>
              <w:tc>
                <w:tcPr/>
                <w:p>
                  <w:pPr>
                    <w:pStyle w:val="Compact"/>
                    <w:jc w:val="center"/>
                  </w:pPr>
                  <w:r>
                    <w:t xml:space="preserve">10.6/5.8</w:t>
                  </w:r>
                </w:p>
              </w:tc>
              <w:tc>
                <w:tcPr/>
                <w:p>
                  <w:pPr>
                    <w:pStyle w:val="Compact"/>
                    <w:jc w:val="center"/>
                  </w:pPr>
                  <w:r>
                    <w:t xml:space="preserve">10.3/5.7</w:t>
                  </w:r>
                </w:p>
              </w:tc>
              <w:tc>
                <w:tcPr/>
                <w:p>
                  <w:pPr>
                    <w:pStyle w:val="Compact"/>
                    <w:jc w:val="center"/>
                  </w:pPr>
                  <w:r>
                    <w:t xml:space="preserve">10.3/5.7</w:t>
                  </w:r>
                </w:p>
              </w:tc>
            </w:tr>
            <w:tr>
              <w:tc>
                <w:tcPr/>
                <w:p>
                  <w:pPr>
                    <w:pStyle w:val="Compact"/>
                  </w:pPr>
                </w:p>
              </w:tc>
              <w:tc>
                <w:tcPr/>
                <w:p>
                  <w:pPr>
                    <w:pStyle w:val="Compact"/>
                    <w:jc w:val="center"/>
                  </w:pPr>
                  <w:r>
                    <w:t xml:space="preserve">4</w:t>
                  </w:r>
                </w:p>
              </w:tc>
              <w:tc>
                <w:tcPr/>
                <w:p>
                  <w:pPr>
                    <w:pStyle w:val="Compact"/>
                    <w:jc w:val="center"/>
                  </w:pPr>
                  <w:r>
                    <w:t xml:space="preserve">10.5/6.6</w:t>
                  </w:r>
                </w:p>
              </w:tc>
              <w:tc>
                <w:tcPr/>
                <w:p>
                  <w:pPr>
                    <w:pStyle w:val="Compact"/>
                    <w:jc w:val="center"/>
                  </w:pPr>
                  <w:r>
                    <w:t xml:space="preserve">12.3/7.6</w:t>
                  </w:r>
                </w:p>
              </w:tc>
              <w:tc>
                <w:tcPr/>
                <w:p>
                  <w:pPr>
                    <w:pStyle w:val="Compact"/>
                    <w:jc w:val="center"/>
                  </w:pPr>
                  <w:r>
                    <w:t xml:space="preserve">12.3/7.5</w:t>
                  </w:r>
                </w:p>
              </w:tc>
              <w:tc>
                <w:tcPr/>
                <w:p>
                  <w:pPr>
                    <w:pStyle w:val="Compact"/>
                    <w:jc w:val="center"/>
                  </w:pPr>
                  <w:r>
                    <w:t xml:space="preserve">12.3/7.5</w:t>
                  </w:r>
                </w:p>
              </w:tc>
            </w:tr>
            <w:tr>
              <w:tc>
                <w:tcPr/>
                <w:p>
                  <w:pPr>
                    <w:pStyle w:val="Compact"/>
                    <w:jc w:val="center"/>
                  </w:pPr>
                  <w:r>
                    <w:t xml:space="preserve">ACE inhibitor</w:t>
                  </w:r>
                </w:p>
              </w:tc>
              <w:tc>
                <w:tcPr/>
                <w:p>
                  <w:pPr>
                    <w:pStyle w:val="Compact"/>
                    <w:jc w:val="center"/>
                  </w:pPr>
                  <w:r>
                    <w:t xml:space="preserve">1</w:t>
                  </w:r>
                </w:p>
              </w:tc>
              <w:tc>
                <w:tcPr/>
                <w:p>
                  <w:pPr>
                    <w:pStyle w:val="Compact"/>
                    <w:jc w:val="center"/>
                  </w:pPr>
                  <w:r>
                    <w:t xml:space="preserve">2.5/2.3</w:t>
                  </w:r>
                </w:p>
              </w:tc>
              <w:tc>
                <w:tcPr/>
                <w:p>
                  <w:pPr>
                    <w:pStyle w:val="Compact"/>
                    <w:jc w:val="center"/>
                  </w:pPr>
                  <w:r>
                    <w:t xml:space="preserve">8.1/4.9</w:t>
                  </w:r>
                </w:p>
              </w:tc>
              <w:tc>
                <w:tcPr/>
                <w:p>
                  <w:pPr>
                    <w:pStyle w:val="Compact"/>
                    <w:jc w:val="center"/>
                  </w:pPr>
                  <w:r>
                    <w:t xml:space="preserve">6.1/4.2</w:t>
                  </w:r>
                </w:p>
              </w:tc>
              <w:tc>
                <w:tcPr/>
                <w:p>
                  <w:pPr>
                    <w:pStyle w:val="Compact"/>
                    <w:jc w:val="center"/>
                  </w:pPr>
                  <w:r>
                    <w:t xml:space="preserve">6.1/4.2</w:t>
                  </w:r>
                </w:p>
              </w:tc>
            </w:tr>
            <w:tr>
              <w:tc>
                <w:tcPr/>
                <w:p>
                  <w:pPr>
                    <w:pStyle w:val="Compact"/>
                  </w:pPr>
                </w:p>
              </w:tc>
              <w:tc>
                <w:tcPr/>
                <w:p>
                  <w:pPr>
                    <w:pStyle w:val="Compact"/>
                    <w:jc w:val="center"/>
                  </w:pPr>
                  <w:r>
                    <w:t xml:space="preserve">2</w:t>
                  </w:r>
                </w:p>
              </w:tc>
              <w:tc>
                <w:tcPr/>
                <w:p>
                  <w:pPr>
                    <w:pStyle w:val="Compact"/>
                    <w:jc w:val="center"/>
                  </w:pPr>
                  <w:r>
                    <w:t xml:space="preserve">3.4/3.4</w:t>
                  </w:r>
                </w:p>
              </w:tc>
              <w:tc>
                <w:tcPr/>
                <w:p>
                  <w:pPr>
                    <w:pStyle w:val="Compact"/>
                    <w:jc w:val="center"/>
                  </w:pPr>
                  <w:r>
                    <w:t xml:space="preserve">9.5/6.1</w:t>
                  </w:r>
                </w:p>
              </w:tc>
              <w:tc>
                <w:tcPr/>
                <w:p>
                  <w:pPr>
                    <w:pStyle w:val="Compact"/>
                    <w:jc w:val="center"/>
                  </w:pPr>
                  <w:r>
                    <w:t xml:space="preserve">8.0/5.5</w:t>
                  </w:r>
                </w:p>
              </w:tc>
              <w:tc>
                <w:tcPr/>
                <w:p>
                  <w:pPr>
                    <w:pStyle w:val="Compact"/>
                    <w:jc w:val="center"/>
                  </w:pPr>
                  <w:r>
                    <w:t xml:space="preserve">8.0/5.5</w:t>
                  </w:r>
                </w:p>
              </w:tc>
            </w:tr>
            <w:tr>
              <w:tc>
                <w:tcPr/>
                <w:p>
                  <w:pPr>
                    <w:pStyle w:val="Compact"/>
                  </w:pPr>
                </w:p>
              </w:tc>
              <w:tc>
                <w:tcPr/>
                <w:p>
                  <w:pPr>
                    <w:pStyle w:val="Compact"/>
                    <w:jc w:val="center"/>
                  </w:pPr>
                  <w:r>
                    <w:t xml:space="preserve">4</w:t>
                  </w:r>
                </w:p>
              </w:tc>
              <w:tc>
                <w:tcPr/>
                <w:p>
                  <w:pPr>
                    <w:pStyle w:val="Compact"/>
                    <w:jc w:val="center"/>
                  </w:pPr>
                  <w:r>
                    <w:t xml:space="preserve">6.8/5.6</w:t>
                  </w:r>
                </w:p>
              </w:tc>
              <w:tc>
                <w:tcPr/>
                <w:p>
                  <w:pPr>
                    <w:pStyle w:val="Compact"/>
                    <w:jc w:val="center"/>
                  </w:pPr>
                  <w:r>
                    <w:t xml:space="preserve">12.0/8.0</w:t>
                  </w:r>
                </w:p>
              </w:tc>
              <w:tc>
                <w:tcPr/>
                <w:p>
                  <w:pPr>
                    <w:pStyle w:val="Compact"/>
                    <w:jc w:val="center"/>
                  </w:pPr>
                  <w:r>
                    <w:t xml:space="preserve">10.9/7.5</w:t>
                  </w:r>
                </w:p>
              </w:tc>
              <w:tc>
                <w:tcPr/>
                <w:p>
                  <w:pPr>
                    <w:pStyle w:val="Compact"/>
                    <w:jc w:val="center"/>
                  </w:pPr>
                  <w:r>
                    <w:t xml:space="preserve">10.9/7.5</w:t>
                  </w:r>
                </w:p>
              </w:tc>
            </w:tr>
          </w:tbl>
          <w:bookmarkEnd w:id="20"/>
          <w:p/>
        </w:tc>
      </w:tr>
    </w:tbl>
    <w:p>
      <w:pPr>
        <w:pStyle w:val="BodyText"/>
      </w:pPr>
      <w:r>
        <w:t xml:space="preserve">ACE inhibitor: angiotensin-converting enzyme inhibitor</w:t>
      </w:r>
    </w:p>
    <w:bookmarkEnd w:id="21"/>
    <w:bookmarkStart w:id="22" w:name="outcomes-and-analysis"/>
    <w:p>
      <w:pPr>
        <w:pStyle w:val="Heading3"/>
      </w:pPr>
      <w:r>
        <w:t xml:space="preserve">2.7 Outcomes and analysis</w:t>
      </w:r>
    </w:p>
    <w:p>
      <w:pPr>
        <w:pStyle w:val="FirstParagraph"/>
      </w:pPr>
      <w:r>
        <w:t xml:space="preserve">To validate the hypertension disease natural history process, we simulated a hypothetical cohort of 10,000 individuals from the PRIME registry before antihypertensive treatment exposure (</w:t>
      </w:r>
      <w:hyperlink w:anchor="sec-validation-results">
        <w:r>
          <w:rPr>
            <w:rStyle w:val="Hyperlink"/>
          </w:rPr>
          <w:t xml:space="preserve">Section S 6.7</w:t>
        </w:r>
      </w:hyperlink>
      <w:r>
        <w:t xml:space="preserve">). Our main outcomes included life expectancy, years spent with stage 1 or 2 hypertension, cumulative incidence and duration of antihypertensive treatment, and years with uncontrolled hypertension. We defined uncontrolled hypertension as having stage 1 or stage 2 blood pressure values while receiving treatment. We reported mean estimates and 95% confidence intervals with Monte Carlo standard errors (MCSEs) for all outcomes.</w:t>
      </w:r>
    </w:p>
    <w:bookmarkEnd w:id="22"/>
    <w:bookmarkStart w:id="23" w:name="secondary-analysis"/>
    <w:p>
      <w:pPr>
        <w:pStyle w:val="Heading3"/>
      </w:pPr>
      <w:r>
        <w:t xml:space="preserve">2.8 Secondary analysis</w:t>
      </w:r>
    </w:p>
    <w:p>
      <w:pPr>
        <w:pStyle w:val="FirstParagraph"/>
      </w:pPr>
      <w:r>
        <w:t xml:space="preserve">In a secondary analysis, we leveraged the previously published social factors framework, a decision-modeling approach for health policy analyses when outcomes are influenced by both disease and social processes.</w:t>
      </w:r>
      <w:r>
        <w:rPr>
          <w:vertAlign w:val="superscript"/>
        </w:rPr>
        <w:t xml:space="preserve">30</w:t>
      </w:r>
      <w:r>
        <w:t xml:space="preserve"> </w:t>
      </w:r>
      <w:r>
        <w:t xml:space="preserve">Two social factors were additionally modeled in our microsimulation model: health insurance status and census tract-level social deprivation index (SDI) (</w:t>
      </w:r>
      <w:hyperlink w:anchor="sec-secondary-analysis">
        <w:r>
          <w:rPr>
            <w:rStyle w:val="Hyperlink"/>
          </w:rPr>
          <w:t xml:space="preserve">Section S 6.8</w:t>
        </w:r>
      </w:hyperlink>
      <w:r>
        <w:t xml:space="preserve">,</w:t>
      </w:r>
      <w:r>
        <w:t xml:space="preserve"> </w:t>
      </w:r>
      <w:hyperlink w:anchor="suppfig-model-diagram">
        <w:r>
          <w:rPr>
            <w:rStyle w:val="Hyperlink"/>
          </w:rPr>
          <w:t xml:space="preserve">Figure S6</w:t>
        </w:r>
      </w:hyperlink>
      <w:r>
        <w:t xml:space="preserve">,</w:t>
      </w:r>
      <w:r>
        <w:t xml:space="preserve"> </w:t>
      </w:r>
      <w:hyperlink w:anchor="supptbl-base-case-sff">
        <w:r>
          <w:rPr>
            <w:rStyle w:val="Hyperlink"/>
          </w:rPr>
          <w:t xml:space="preserve">Table S9</w:t>
        </w:r>
      </w:hyperlink>
      <w:r>
        <w:t xml:space="preserve">). Census tract-level SDI served as a proxy for socioeconomic status and captured geographic variation in hypertension prevalence, awareness, and control.</w:t>
      </w:r>
      <w:r>
        <w:rPr>
          <w:vertAlign w:val="superscript"/>
        </w:rPr>
        <w:t xml:space="preserve">4,5</w:t>
      </w:r>
      <w:r>
        <w:t xml:space="preserve"> </w:t>
      </w:r>
      <w:r>
        <w:t xml:space="preserve">The updated model included a fourth health system stage, out of the health system, representing individuals without a routine place for healthcare. At model initiation, synthetic individuals were assigned a census tract-level SDI, insurance status, and an initial health system state (</w:t>
      </w:r>
      <w:hyperlink w:anchor="sec-multi-copula">
        <w:r>
          <w:rPr>
            <w:rStyle w:val="Hyperlink"/>
          </w:rPr>
          <w:t xml:space="preserve">Section S 6.2</w:t>
        </w:r>
      </w:hyperlink>
      <w:r>
        <w:t xml:space="preserve">,</w:t>
      </w:r>
      <w:r>
        <w:t xml:space="preserve"> </w:t>
      </w:r>
      <w:hyperlink w:anchor="sec-sdi-assignment">
        <w:r>
          <w:rPr>
            <w:rStyle w:val="Hyperlink"/>
          </w:rPr>
          <w:t xml:space="preserve">Section S 6.9</w:t>
        </w:r>
      </w:hyperlink>
      <w:r>
        <w:t xml:space="preserve">).</w:t>
      </w:r>
      <w:r>
        <w:rPr>
          <w:vertAlign w:val="superscript"/>
        </w:rPr>
        <w:t xml:space="preserve">31</w:t>
      </w:r>
      <w:r>
        <w:t xml:space="preserve">. After age 65, all simulated individuals were assumed to have insurance through Medicare coverage.</w:t>
      </w:r>
    </w:p>
    <w:p>
      <w:pPr>
        <w:pStyle w:val="BodyText"/>
      </w:pPr>
      <w:r>
        <w:t xml:space="preserve">To incorporate the impact of the social factors on disease natural history, we modified several model parameters and transition probability dependencies. Baseline mortality rates were further adjusted by insurance status.</w:t>
      </w:r>
      <w:r>
        <w:rPr>
          <w:vertAlign w:val="superscript"/>
        </w:rPr>
        <w:t xml:space="preserve">32–34</w:t>
      </w:r>
      <w:r>
        <w:t xml:space="preserve"> </w:t>
      </w:r>
      <w:r>
        <w:t xml:space="preserve">Having no health insurance increased baseline mortality rates, assuming a hazard ratio for increased mortality risk among those uninsured (</w:t>
      </w:r>
      <w:hyperlink w:anchor="sec-mortality-insurance">
        <w:r>
          <w:rPr>
            <w:rStyle w:val="Hyperlink"/>
          </w:rPr>
          <w:t xml:space="preserve">Section S 6.10</w:t>
        </w:r>
      </w:hyperlink>
      <w:r>
        <w:t xml:space="preserve">). We predicted systolic and diastolic blood pressure trajectories as a function of age, sex, and census tract-level SDI (</w:t>
      </w:r>
      <w:hyperlink w:anchor="sec-sys-dia-regressions">
        <w:r>
          <w:rPr>
            <w:rStyle w:val="Hyperlink"/>
          </w:rPr>
          <w:t xml:space="preserve">Section S 6.3</w:t>
        </w:r>
      </w:hyperlink>
      <w:r>
        <w:t xml:space="preserve">,</w:t>
      </w:r>
      <w:r>
        <w:t xml:space="preserve"> </w:t>
      </w:r>
      <w:hyperlink w:anchor="sec-sys-dia-correlations">
        <w:r>
          <w:rPr>
            <w:rStyle w:val="Hyperlink"/>
          </w:rPr>
          <w:t xml:space="preserve">Section S 6.4</w:t>
        </w:r>
      </w:hyperlink>
      <w:r>
        <w:t xml:space="preserve">).</w:t>
      </w:r>
    </w:p>
    <w:p>
      <w:pPr>
        <w:pStyle w:val="BodyText"/>
      </w:pPr>
      <w:r>
        <w:t xml:space="preserve">Insurance status and census tract-level SDI also influenced health system utilization. Uninsured individuals were less likely to enter the health system and had elevated blood pressures compared to insured individuals, as observed in NHANES (</w:t>
      </w:r>
      <w:hyperlink w:anchor="sec-transition-in-system">
        <w:r>
          <w:rPr>
            <w:rStyle w:val="Hyperlink"/>
          </w:rPr>
          <w:t xml:space="preserve">Section S 6.11</w:t>
        </w:r>
      </w:hyperlink>
      <w:r>
        <w:t xml:space="preserve">,</w:t>
      </w:r>
      <w:r>
        <w:t xml:space="preserve"> </w:t>
      </w:r>
      <w:hyperlink w:anchor="sec-out-of-system-BP">
        <w:r>
          <w:rPr>
            <w:rStyle w:val="Hyperlink"/>
          </w:rPr>
          <w:t xml:space="preserve">Section S 6.12</w:t>
        </w:r>
      </w:hyperlink>
      <w:r>
        <w:t xml:space="preserve">). Treatment initiation rates varied by census tract-level SDI. We predicted blood pressure measurement frequencies and antihypertensive treatment probabilities as a function of age, sex, systolic and diastolic blood pressure values, and census tract-level SDI (</w:t>
      </w:r>
      <w:hyperlink w:anchor="sec-treatment-prob">
        <w:r>
          <w:rPr>
            <w:rStyle w:val="Hyperlink"/>
          </w:rPr>
          <w:t xml:space="preserve">Section S 6.6</w:t>
        </w:r>
      </w:hyperlink>
      <w:r>
        <w:t xml:space="preserve">). Finally, uninsured individuals were assumed to discontinue treatment at faster rates compared to insured individuals.</w:t>
      </w:r>
      <w:r>
        <w:rPr>
          <w:vertAlign w:val="superscript"/>
        </w:rPr>
        <w:t xml:space="preserve">35</w:t>
      </w:r>
    </w:p>
    <w:bookmarkEnd w:id="23"/>
    <w:bookmarkEnd w:id="24"/>
    <w:bookmarkStart w:id="58" w:name="results"/>
    <w:p>
      <w:pPr>
        <w:pStyle w:val="Heading2"/>
      </w:pPr>
      <w:r>
        <w:t xml:space="preserve">3 Results</w:t>
      </w:r>
    </w:p>
    <w:bookmarkStart w:id="26" w:name="cohort-characteristics"/>
    <w:p>
      <w:pPr>
        <w:pStyle w:val="Heading3"/>
      </w:pPr>
      <w:r>
        <w:t xml:space="preserve">3.1 Cohort characteristics</w:t>
      </w:r>
    </w:p>
    <w:p>
      <w:pPr>
        <w:pStyle w:val="FirstParagraph"/>
      </w:pPr>
      <w:r>
        <w:t xml:space="preserve">The simulation cohort included 100,000 adults aged 40 years, evenly divided between non-Hispanic Black and non-Hispanic white individuals. At age 40, non-Hispanic Black adults had a higher proportion of individuals in hypertension stages 1 (36% vs. 34%) and stage 2 (19% vs. 14%) compared to non-Hispanic white adults (</w:t>
      </w:r>
      <w:hyperlink w:anchor="tbl-demographics-by-race">
        <w:r>
          <w:rPr>
            <w:rStyle w:val="Hyperlink"/>
          </w:rPr>
          <w:t xml:space="preserve">Table 2</w:t>
        </w:r>
      </w:hyperlink>
      <w:r>
        <w:t xml:space="preserve">). In model validation, simulation model outputs were concordant with age-specific hypertension prevalence estimates in the PRIME registry (</w:t>
      </w:r>
      <w:hyperlink w:anchor="supptbl-validation-life-expectancy">
        <w:r>
          <w:rPr>
            <w:rStyle w:val="Hyperlink"/>
          </w:rPr>
          <w:t xml:space="preserve">Table S8</w:t>
        </w:r>
      </w:hyperlink>
      <w:r>
        <w:t xml:space="preserve">,</w:t>
      </w:r>
      <w:r>
        <w:t xml:space="preserve"> </w:t>
      </w:r>
      <w:hyperlink w:anchor="suppfig-validation-results">
        <w:r>
          <w:rPr>
            <w:rStyle w:val="Hyperlink"/>
          </w:rPr>
          <w:t xml:space="preserve">Figure S4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5" w:name="tbl-demographics-by-race"/>
          <w:p>
            <w:pPr>
              <w:jc w:val="center"/>
            </w:pPr>
            <w:pPr>
              <w:jc w:val="left"/>
              <w:spacing w:before="200"/>
              <w:pStyle w:val="ImageCaption"/>
            </w:pPr>
            <w:r>
              <w:t xml:space="preserve">Table 2: Demographic and clinical characteristics of simulation cohort by race</w:t>
            </w:r>
            <w:r>
              <w:t xml:space="preserve">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Characteristic</w:t>
                  </w:r>
                </w:p>
              </w:tc>
              <w:tc>
                <w:tcPr/>
                <w:p>
                  <w:pPr>
                    <w:pStyle w:val="Compact"/>
                  </w:pPr>
                </w:p>
              </w:tc>
              <w:tc>
                <w:tcPr/>
                <w:p>
                  <w:pPr>
                    <w:pStyle w:val="Compact"/>
                    <w:jc w:val="center"/>
                  </w:pPr>
                  <w:r>
                    <w:t xml:space="preserve">Non-Hispanic Black (N=50,000)</w:t>
                  </w:r>
                </w:p>
              </w:tc>
              <w:tc>
                <w:tcPr/>
                <w:p>
                  <w:pPr>
                    <w:pStyle w:val="Compact"/>
                    <w:jc w:val="center"/>
                  </w:pPr>
                  <w:r>
                    <w:t xml:space="preserve">Non-Hispanic white (N=50,000)</w:t>
                  </w:r>
                </w:p>
              </w:tc>
            </w:tr>
            <w:tr>
              <w:tc>
                <w:tcPr/>
                <w:p>
                  <w:pPr>
                    <w:pStyle w:val="Compact"/>
                    <w:jc w:val="center"/>
                  </w:pPr>
                  <w:r>
                    <w:t xml:space="preserve">Female (%)</w:t>
                  </w:r>
                </w:p>
              </w:tc>
              <w:tc>
                <w:tcPr/>
                <w:p>
                  <w:pPr>
                    <w:pStyle w:val="Compact"/>
                  </w:pPr>
                </w:p>
              </w:tc>
              <w:tc>
                <w:tcPr/>
                <w:p>
                  <w:pPr>
                    <w:pStyle w:val="Compact"/>
                    <w:jc w:val="center"/>
                  </w:pPr>
                  <w:r>
                    <w:t xml:space="preserve">52%</w:t>
                  </w:r>
                </w:p>
              </w:tc>
              <w:tc>
                <w:tcPr/>
                <w:p>
                  <w:pPr>
                    <w:pStyle w:val="Compact"/>
                    <w:jc w:val="center"/>
                  </w:pPr>
                  <w:r>
                    <w:t xml:space="preserve">51%</w:t>
                  </w:r>
                </w:p>
              </w:tc>
            </w:tr>
            <w:tr>
              <w:tc>
                <w:tcPr/>
                <w:p>
                  <w:pPr>
                    <w:pStyle w:val="Compact"/>
                    <w:jc w:val="center"/>
                  </w:pPr>
                  <w:r>
                    <w:t xml:space="preserve">Hypertension stage (%)</w:t>
                  </w:r>
                </w:p>
              </w:tc>
              <w:tc>
                <w:tcPr/>
                <w:p>
                  <w:pPr>
                    <w:pStyle w:val="Compact"/>
                    <w:jc w:val="center"/>
                  </w:pPr>
                  <w:r>
                    <w:t xml:space="preserve">Normal</w:t>
                  </w:r>
                </w:p>
              </w:tc>
              <w:tc>
                <w:tcPr/>
                <w:p>
                  <w:pPr>
                    <w:pStyle w:val="Compact"/>
                    <w:jc w:val="center"/>
                  </w:pPr>
                  <w:r>
                    <w:t xml:space="preserve">29%</w:t>
                  </w:r>
                </w:p>
              </w:tc>
              <w:tc>
                <w:tcPr/>
                <w:p>
                  <w:pPr>
                    <w:pStyle w:val="Compact"/>
                    <w:jc w:val="center"/>
                  </w:pPr>
                  <w:r>
                    <w:t xml:space="preserve">38%</w:t>
                  </w:r>
                </w:p>
              </w:tc>
            </w:tr>
            <w:tr>
              <w:tc>
                <w:tcPr/>
                <w:p>
                  <w:pPr>
                    <w:pStyle w:val="Compact"/>
                  </w:pPr>
                </w:p>
              </w:tc>
              <w:tc>
                <w:tcPr/>
                <w:p>
                  <w:pPr>
                    <w:pStyle w:val="Compact"/>
                    <w:jc w:val="center"/>
                  </w:pPr>
                  <w:r>
                    <w:t xml:space="preserve">Elevated</w:t>
                  </w:r>
                </w:p>
              </w:tc>
              <w:tc>
                <w:tcPr/>
                <w:p>
                  <w:pPr>
                    <w:pStyle w:val="Compact"/>
                    <w:jc w:val="center"/>
                  </w:pPr>
                  <w:r>
                    <w:t xml:space="preserve">15%</w:t>
                  </w:r>
                </w:p>
              </w:tc>
              <w:tc>
                <w:tcPr/>
                <w:p>
                  <w:pPr>
                    <w:pStyle w:val="Compact"/>
                    <w:jc w:val="center"/>
                  </w:pPr>
                  <w:r>
                    <w:t xml:space="preserve">15%</w:t>
                  </w:r>
                </w:p>
              </w:tc>
            </w:tr>
            <w:tr>
              <w:tc>
                <w:tcPr/>
                <w:p>
                  <w:pPr>
                    <w:pStyle w:val="Compact"/>
                  </w:pPr>
                </w:p>
              </w:tc>
              <w:tc>
                <w:tcPr/>
                <w:p>
                  <w:pPr>
                    <w:pStyle w:val="Compact"/>
                    <w:jc w:val="center"/>
                  </w:pPr>
                  <w:r>
                    <w:t xml:space="preserve">Stage 1</w:t>
                  </w:r>
                </w:p>
              </w:tc>
              <w:tc>
                <w:tcPr/>
                <w:p>
                  <w:pPr>
                    <w:pStyle w:val="Compact"/>
                    <w:jc w:val="center"/>
                  </w:pPr>
                  <w:r>
                    <w:t xml:space="preserve">36%</w:t>
                  </w:r>
                </w:p>
              </w:tc>
              <w:tc>
                <w:tcPr/>
                <w:p>
                  <w:pPr>
                    <w:pStyle w:val="Compact"/>
                    <w:jc w:val="center"/>
                  </w:pPr>
                  <w:r>
                    <w:t xml:space="preserve">34%</w:t>
                  </w:r>
                </w:p>
              </w:tc>
            </w:tr>
            <w:tr>
              <w:tc>
                <w:tcPr/>
                <w:p>
                  <w:pPr>
                    <w:pStyle w:val="Compact"/>
                  </w:pPr>
                </w:p>
              </w:tc>
              <w:tc>
                <w:tcPr/>
                <w:p>
                  <w:pPr>
                    <w:pStyle w:val="Compact"/>
                    <w:jc w:val="center"/>
                  </w:pPr>
                  <w:r>
                    <w:t xml:space="preserve">Stage 2</w:t>
                  </w:r>
                </w:p>
              </w:tc>
              <w:tc>
                <w:tcPr/>
                <w:p>
                  <w:pPr>
                    <w:pStyle w:val="Compact"/>
                    <w:jc w:val="center"/>
                  </w:pPr>
                  <w:r>
                    <w:t xml:space="preserve">19%</w:t>
                  </w:r>
                </w:p>
              </w:tc>
              <w:tc>
                <w:tcPr/>
                <w:p>
                  <w:pPr>
                    <w:pStyle w:val="Compact"/>
                    <w:jc w:val="center"/>
                  </w:pPr>
                  <w:r>
                    <w:t xml:space="preserve">14%</w:t>
                  </w:r>
                </w:p>
              </w:tc>
            </w:tr>
            <w:tr>
              <w:tc>
                <w:tcPr/>
                <w:p>
                  <w:pPr>
                    <w:pStyle w:val="Compact"/>
                    <w:jc w:val="center"/>
                  </w:pPr>
                  <w:r>
                    <w:t xml:space="preserve">Systolic blood pressure (mean [SD])</w:t>
                  </w:r>
                </w:p>
              </w:tc>
              <w:tc>
                <w:tcPr/>
                <w:p>
                  <w:pPr>
                    <w:pStyle w:val="Compact"/>
                  </w:pPr>
                </w:p>
              </w:tc>
              <w:tc>
                <w:tcPr/>
                <w:p>
                  <w:pPr>
                    <w:pStyle w:val="Compact"/>
                    <w:jc w:val="center"/>
                  </w:pPr>
                  <w:r>
                    <w:t xml:space="preserve">124.1 [13.0]</w:t>
                  </w:r>
                </w:p>
              </w:tc>
              <w:tc>
                <w:tcPr/>
                <w:p>
                  <w:pPr>
                    <w:pStyle w:val="Compact"/>
                    <w:jc w:val="center"/>
                  </w:pPr>
                  <w:r>
                    <w:t xml:space="preserve">121.0 [12.7]</w:t>
                  </w:r>
                </w:p>
              </w:tc>
            </w:tr>
            <w:tr>
              <w:tc>
                <w:tcPr/>
                <w:p>
                  <w:pPr>
                    <w:pStyle w:val="Compact"/>
                    <w:jc w:val="center"/>
                  </w:pPr>
                  <w:r>
                    <w:t xml:space="preserve">Diastolic blood pressure (mean [SD])</w:t>
                  </w:r>
                </w:p>
              </w:tc>
              <w:tc>
                <w:tcPr/>
                <w:p>
                  <w:pPr>
                    <w:pStyle w:val="Compact"/>
                  </w:pPr>
                </w:p>
              </w:tc>
              <w:tc>
                <w:tcPr/>
                <w:p>
                  <w:pPr>
                    <w:pStyle w:val="Compact"/>
                    <w:jc w:val="center"/>
                  </w:pPr>
                  <w:r>
                    <w:t xml:space="preserve">78.5 [9.1]</w:t>
                  </w:r>
                </w:p>
              </w:tc>
              <w:tc>
                <w:tcPr/>
                <w:p>
                  <w:pPr>
                    <w:pStyle w:val="Compact"/>
                    <w:jc w:val="center"/>
                  </w:pPr>
                  <w:r>
                    <w:t xml:space="preserve">77.0 [9.1]</w:t>
                  </w:r>
                </w:p>
              </w:tc>
            </w:tr>
          </w:tbl>
          <w:bookmarkEnd w:id="25"/>
          <w:p/>
        </w:tc>
      </w:tr>
    </w:tbl>
    <w:p>
      <w:pPr>
        <w:pStyle w:val="BodyText"/>
      </w:pPr>
      <w:r>
        <w:t xml:space="preserve">SD: Standard deviation</w:t>
      </w:r>
    </w:p>
    <w:bookmarkEnd w:id="26"/>
    <w:bookmarkStart w:id="51" w:name="Xb51250cbbd3aa51572d0944076100a86659d1db"/>
    <w:p>
      <w:pPr>
        <w:pStyle w:val="Heading3"/>
      </w:pPr>
      <w:r>
        <w:t xml:space="preserve">3.2 Heterogeneity in treatment effectiveness by race</w:t>
      </w:r>
    </w:p>
    <w:p>
      <w:pPr>
        <w:pStyle w:val="FirstParagraph"/>
      </w:pPr>
      <w:r>
        <w:t xml:space="preserve">Implementing antihypertensive guidelines without race adjustment shifted prescribing patterns for non-Hispanic Black adults, increasing the cumulative incidence of ACE inhibitor use from 0% to 46% and reducing thiazide diuretic use from 76% to 30% (</w:t>
      </w:r>
      <w:hyperlink w:anchor="supptbl-standard-treatment-utilization">
        <w:r>
          <w:rPr>
            <w:rStyle w:val="Hyperlink"/>
          </w:rPr>
          <w:t xml:space="preserve">Table S10</w:t>
        </w:r>
      </w:hyperlink>
      <w:r>
        <w:t xml:space="preserve">). Prescribing patterns for non-Hispanic white adults were unchanged, with the cumulative incidence of ACE inhibitor and thiazide diuretic use at</w:t>
      </w:r>
      <w:r>
        <w:t xml:space="preserve"> </w:t>
      </w:r>
      <w:r>
        <w:t xml:space="preserve">45% and 30%, respectively. Because ACE inhibitors produced smaller blood pressure reductions and higher discontinuation rates among non-Hispanic Black adults, this prescribing shift had adverse consequences for health outcomes, healthcare utilization, and racial/ethnic disparities.</w:t>
      </w:r>
    </w:p>
    <w:bookmarkStart w:id="28" w:name="health-outcomes"/>
    <w:p>
      <w:pPr>
        <w:pStyle w:val="Heading4"/>
      </w:pPr>
      <w:r>
        <w:t xml:space="preserve">3.2.1 Health outcomes</w:t>
      </w:r>
    </w:p>
    <w:p>
      <w:pPr>
        <w:pStyle w:val="FirstParagraph"/>
      </w:pPr>
      <w:r>
        <w:t xml:space="preserve">The cumulative incidence of stage 1 or 2 hypertension was unchanged at 90% under both guideline versions (</w:t>
      </w:r>
      <w:hyperlink w:anchor="supptbl-standard-main-results">
        <w:r>
          <w:rPr>
            <w:rStyle w:val="Hyperlink"/>
          </w:rPr>
          <w:t xml:space="preserve">Table S11</w:t>
        </w:r>
      </w:hyperlink>
      <w:r>
        <w:t xml:space="preserve">). Implementing guidelines that no longer account for race increased time spent with hypertension for non-Hispanic Black adults. Years with stage 1 or 2 hypertension increased from 15.1 years (95% CI: 15.0, 15.2) under race-adjusted guidelines to 16.4 years (95% CI: 16.2, 16.5) (</w:t>
      </w:r>
      <w:hyperlink w:anchor="fig-main-sick">
        <w:r>
          <w:rPr>
            <w:rStyle w:val="Hyperlink"/>
          </w:rPr>
          <w:t xml:space="preserve">Figure 2 (a)</w:t>
        </w:r>
      </w:hyperlink>
      <w:r>
        <w:t xml:space="preserve">). Life expectancy among non-Hispanic Black adults also decreased from 36.0 years (95% CI: 35.9, 36.1) to 35.7 years (95% CI: 35.5, 35.8). This decline widened the life expectancy gap with non-Hispanic white adults from 4.1 years to 4.5 years (</w:t>
      </w:r>
      <w:hyperlink w:anchor="tbl-standard-main-results-by-race">
        <w:r>
          <w:rPr>
            <w:rStyle w:val="Hyperlink"/>
          </w:rPr>
          <w:t xml:space="preserve">Table 3</w:t>
        </w:r>
      </w:hyperlink>
      <w:r>
        <w:t xml:space="preserve">,</w:t>
      </w:r>
      <w:r>
        <w:t xml:space="preserve"> </w:t>
      </w:r>
      <w:hyperlink w:anchor="fig-main-le">
        <w:r>
          <w:rPr>
            <w:rStyle w:val="Hyperlink"/>
          </w:rPr>
          <w:t xml:space="preserve">Figure 2 (b)</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7" w:name="tbl-standard-main-results-by-race"/>
          <w:p>
            <w:pPr>
              <w:jc w:val="center"/>
            </w:pPr>
            <w:pPr>
              <w:jc w:val="left"/>
              <w:spacing w:before="200"/>
              <w:pStyle w:val="ImageCaption"/>
            </w:pPr>
            <w:r>
              <w:t xml:space="preserve">Table 3: Main outcomes for non-Hispanic Black and non-Hispanic white adults comparing antihypertensive treatment guidelines with and without race adjustment</w:t>
            </w:r>
            <w:r>
              <w:t xml:space="preserve"> </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Outcome</w:t>
                  </w:r>
                </w:p>
              </w:tc>
              <w:tc>
                <w:tcPr/>
                <w:p>
                  <w:pPr>
                    <w:pStyle w:val="Compact"/>
                    <w:jc w:val="center"/>
                  </w:pPr>
                  <w:r>
                    <w:t xml:space="preserve">Group</w:t>
                  </w:r>
                </w:p>
              </w:tc>
              <w:tc>
                <w:tcPr/>
                <w:p>
                  <w:pPr>
                    <w:pStyle w:val="Compact"/>
                    <w:jc w:val="center"/>
                  </w:pPr>
                  <w:r>
                    <w:t xml:space="preserve">Heterogeneous Treatment Effects</w:t>
                  </w:r>
                </w:p>
              </w:tc>
              <w:tc>
                <w:tcPr/>
                <w:p>
                  <w:pPr>
                    <w:pStyle w:val="Compact"/>
                  </w:pPr>
                </w:p>
              </w:tc>
              <w:tc>
                <w:tcPr/>
                <w:p>
                  <w:pPr>
                    <w:pStyle w:val="Compact"/>
                    <w:jc w:val="center"/>
                  </w:pPr>
                  <w:r>
                    <w:t xml:space="preserve">No Heterogeneous Treatment Effects</w:t>
                  </w:r>
                </w:p>
              </w:tc>
              <w:tc>
                <w:tcPr/>
                <w:p>
                  <w:pPr>
                    <w:pStyle w:val="Compact"/>
                  </w:pPr>
                </w:p>
              </w:tc>
            </w:tr>
            <w:tr>
              <w:tc>
                <w:tcPr/>
                <w:p>
                  <w:pPr>
                    <w:pStyle w:val="Compact"/>
                  </w:pPr>
                </w:p>
              </w:tc>
              <w:tc>
                <w:tcPr/>
                <w:p>
                  <w:pPr>
                    <w:pStyle w:val="Compact"/>
                  </w:pPr>
                </w:p>
              </w:tc>
              <w:tc>
                <w:tcPr/>
                <w:p>
                  <w:pPr>
                    <w:pStyle w:val="Compact"/>
                    <w:jc w:val="center"/>
                  </w:pPr>
                  <w:r>
                    <w:t xml:space="preserve">Race Adjustment</w:t>
                  </w:r>
                </w:p>
              </w:tc>
              <w:tc>
                <w:tcPr/>
                <w:p>
                  <w:pPr>
                    <w:pStyle w:val="Compact"/>
                    <w:jc w:val="center"/>
                  </w:pPr>
                  <w:r>
                    <w:t xml:space="preserve">No Race Adjustment</w:t>
                  </w:r>
                </w:p>
              </w:tc>
              <w:tc>
                <w:tcPr/>
                <w:p>
                  <w:pPr>
                    <w:pStyle w:val="Compact"/>
                    <w:jc w:val="center"/>
                  </w:pPr>
                  <w:r>
                    <w:t xml:space="preserve">Race Adjustment</w:t>
                  </w:r>
                </w:p>
              </w:tc>
              <w:tc>
                <w:tcPr/>
                <w:p>
                  <w:pPr>
                    <w:pStyle w:val="Compact"/>
                    <w:jc w:val="center"/>
                  </w:pPr>
                  <w:r>
                    <w:t xml:space="preserve">No Race Adjustment</w:t>
                  </w:r>
                </w:p>
              </w:tc>
            </w:tr>
            <w:tr>
              <w:tc>
                <w:tcPr/>
                <w:p>
                  <w:pPr>
                    <w:pStyle w:val="Compact"/>
                    <w:jc w:val="center"/>
                  </w:pPr>
                  <w:r>
                    <w:t xml:space="preserve">Years spent in stage 1 or 2 hypertension</w:t>
                  </w:r>
                </w:p>
              </w:tc>
              <w:tc>
                <w:tcPr/>
                <w:p>
                  <w:pPr>
                    <w:pStyle w:val="Compact"/>
                    <w:jc w:val="center"/>
                  </w:pPr>
                  <w:r>
                    <w:t xml:space="preserve">Non-Hispanic Black</w:t>
                  </w:r>
                </w:p>
              </w:tc>
              <w:tc>
                <w:tcPr/>
                <w:p>
                  <w:pPr>
                    <w:pStyle w:val="Compact"/>
                    <w:jc w:val="center"/>
                  </w:pPr>
                  <w:r>
                    <w:t xml:space="preserve">15.1 [0.1]</w:t>
                  </w:r>
                </w:p>
              </w:tc>
              <w:tc>
                <w:tcPr/>
                <w:p>
                  <w:pPr>
                    <w:pStyle w:val="Compact"/>
                    <w:jc w:val="center"/>
                  </w:pPr>
                  <w:r>
                    <w:t xml:space="preserve">16.4 [0.1]</w:t>
                  </w:r>
                </w:p>
              </w:tc>
              <w:tc>
                <w:tcPr/>
                <w:p>
                  <w:pPr>
                    <w:pStyle w:val="Compact"/>
                    <w:jc w:val="center"/>
                  </w:pPr>
                  <w:r>
                    <w:t xml:space="preserve">14.3 [0.1]</w:t>
                  </w:r>
                </w:p>
              </w:tc>
              <w:tc>
                <w:tcPr/>
                <w:p>
                  <w:pPr>
                    <w:pStyle w:val="Compact"/>
                    <w:jc w:val="center"/>
                  </w:pPr>
                  <w:r>
                    <w:t xml:space="preserve">14.8 [0.1]</w:t>
                  </w:r>
                </w:p>
              </w:tc>
            </w:tr>
            <w:tr>
              <w:tc>
                <w:tcPr/>
                <w:p>
                  <w:pPr>
                    <w:pStyle w:val="Compact"/>
                  </w:pPr>
                </w:p>
              </w:tc>
              <w:tc>
                <w:tcPr/>
                <w:p>
                  <w:pPr>
                    <w:pStyle w:val="Compact"/>
                    <w:jc w:val="center"/>
                  </w:pPr>
                  <w:r>
                    <w:t xml:space="preserve">Non-Hispanic white</w:t>
                  </w:r>
                </w:p>
              </w:tc>
              <w:tc>
                <w:tcPr/>
                <w:p>
                  <w:pPr>
                    <w:pStyle w:val="Compact"/>
                    <w:jc w:val="center"/>
                  </w:pPr>
                  <w:r>
                    <w:t xml:space="preserve">14.1 [0.1]</w:t>
                  </w:r>
                </w:p>
              </w:tc>
              <w:tc>
                <w:tcPr/>
                <w:p>
                  <w:pPr>
                    <w:pStyle w:val="Compact"/>
                    <w:jc w:val="center"/>
                  </w:pPr>
                  <w:r>
                    <w:t xml:space="preserve">14.1 [0.1]</w:t>
                  </w:r>
                </w:p>
              </w:tc>
              <w:tc>
                <w:tcPr/>
                <w:p>
                  <w:pPr>
                    <w:pStyle w:val="Compact"/>
                    <w:jc w:val="center"/>
                  </w:pPr>
                  <w:r>
                    <w:t xml:space="preserve">14.4 [0.1]</w:t>
                  </w:r>
                </w:p>
              </w:tc>
              <w:tc>
                <w:tcPr/>
                <w:p>
                  <w:pPr>
                    <w:pStyle w:val="Compact"/>
                    <w:jc w:val="center"/>
                  </w:pPr>
                  <w:r>
                    <w:t xml:space="preserve">14.4 [0.1]</w:t>
                  </w:r>
                </w:p>
              </w:tc>
            </w:tr>
            <w:tr>
              <w:tc>
                <w:tcPr/>
                <w:p>
                  <w:pPr>
                    <w:pStyle w:val="Compact"/>
                  </w:pPr>
                </w:p>
              </w:tc>
              <w:tc>
                <w:tcPr/>
                <w:p>
                  <w:pPr>
                    <w:pStyle w:val="Compact"/>
                    <w:jc w:val="center"/>
                  </w:pPr>
                  <w:r>
                    <w:t xml:space="preserve">Difference</w:t>
                  </w:r>
                </w:p>
              </w:tc>
              <w:tc>
                <w:tcPr/>
                <w:p>
                  <w:pPr>
                    <w:pStyle w:val="Compact"/>
                    <w:jc w:val="center"/>
                  </w:pPr>
                  <w:r>
                    <w:t xml:space="preserve">-1.0 [0.1]</w:t>
                  </w:r>
                </w:p>
              </w:tc>
              <w:tc>
                <w:tcPr/>
                <w:p>
                  <w:pPr>
                    <w:pStyle w:val="Compact"/>
                    <w:jc w:val="center"/>
                  </w:pPr>
                  <w:r>
                    <w:t xml:space="preserve">-2.3 [0.1]</w:t>
                  </w:r>
                </w:p>
              </w:tc>
              <w:tc>
                <w:tcPr/>
                <w:p>
                  <w:pPr>
                    <w:pStyle w:val="Compact"/>
                    <w:jc w:val="center"/>
                  </w:pPr>
                  <w:r>
                    <w:t xml:space="preserve">0.1 [0.1]</w:t>
                  </w:r>
                </w:p>
              </w:tc>
              <w:tc>
                <w:tcPr/>
                <w:p>
                  <w:pPr>
                    <w:pStyle w:val="Compact"/>
                    <w:jc w:val="center"/>
                  </w:pPr>
                  <w:r>
                    <w:t xml:space="preserve">-0.4 [0.1]</w:t>
                  </w:r>
                </w:p>
              </w:tc>
            </w:tr>
            <w:tr>
              <w:tc>
                <w:tcPr/>
                <w:p>
                  <w:pPr>
                    <w:pStyle w:val="Compact"/>
                    <w:jc w:val="center"/>
                  </w:pPr>
                  <w:r>
                    <w:t xml:space="preserve">Years on antihypertensive treatment</w:t>
                  </w:r>
                </w:p>
              </w:tc>
              <w:tc>
                <w:tcPr/>
                <w:p>
                  <w:pPr>
                    <w:pStyle w:val="Compact"/>
                    <w:jc w:val="center"/>
                  </w:pPr>
                  <w:r>
                    <w:t xml:space="preserve">Non-Hispanic Black</w:t>
                  </w:r>
                </w:p>
              </w:tc>
              <w:tc>
                <w:tcPr/>
                <w:p>
                  <w:pPr>
                    <w:pStyle w:val="Compact"/>
                    <w:jc w:val="center"/>
                  </w:pPr>
                  <w:r>
                    <w:t xml:space="preserve">22.1 [0.1]</w:t>
                  </w:r>
                </w:p>
              </w:tc>
              <w:tc>
                <w:tcPr/>
                <w:p>
                  <w:pPr>
                    <w:pStyle w:val="Compact"/>
                    <w:jc w:val="center"/>
                  </w:pPr>
                  <w:r>
                    <w:t xml:space="preserve">20.4 [0.1]</w:t>
                  </w:r>
                </w:p>
              </w:tc>
              <w:tc>
                <w:tcPr/>
                <w:p>
                  <w:pPr>
                    <w:pStyle w:val="Compact"/>
                    <w:jc w:val="center"/>
                  </w:pPr>
                  <w:r>
                    <w:t xml:space="preserve">22.3 [0.1]</w:t>
                  </w:r>
                </w:p>
              </w:tc>
              <w:tc>
                <w:tcPr/>
                <w:p>
                  <w:pPr>
                    <w:pStyle w:val="Compact"/>
                    <w:jc w:val="center"/>
                  </w:pPr>
                  <w:r>
                    <w:t xml:space="preserve">21.4 [0.1]</w:t>
                  </w:r>
                </w:p>
              </w:tc>
            </w:tr>
            <w:tr>
              <w:tc>
                <w:tcPr/>
                <w:p>
                  <w:pPr>
                    <w:pStyle w:val="Compact"/>
                  </w:pPr>
                </w:p>
              </w:tc>
              <w:tc>
                <w:tcPr/>
                <w:p>
                  <w:pPr>
                    <w:pStyle w:val="Compact"/>
                    <w:jc w:val="center"/>
                  </w:pPr>
                  <w:r>
                    <w:t xml:space="preserve">Non-Hispanic white</w:t>
                  </w:r>
                </w:p>
              </w:tc>
              <w:tc>
                <w:tcPr/>
                <w:p>
                  <w:pPr>
                    <w:pStyle w:val="Compact"/>
                    <w:jc w:val="center"/>
                  </w:pPr>
                  <w:r>
                    <w:t xml:space="preserve">22.7 [0.1]</w:t>
                  </w:r>
                </w:p>
              </w:tc>
              <w:tc>
                <w:tcPr/>
                <w:p>
                  <w:pPr>
                    <w:pStyle w:val="Compact"/>
                    <w:jc w:val="center"/>
                  </w:pPr>
                  <w:r>
                    <w:t xml:space="preserve">22.7 [0.1]</w:t>
                  </w:r>
                </w:p>
              </w:tc>
              <w:tc>
                <w:tcPr/>
                <w:p>
                  <w:pPr>
                    <w:pStyle w:val="Compact"/>
                    <w:jc w:val="center"/>
                  </w:pPr>
                  <w:r>
                    <w:t xml:space="preserve">22.4 [0.1]</w:t>
                  </w:r>
                </w:p>
              </w:tc>
              <w:tc>
                <w:tcPr/>
                <w:p>
                  <w:pPr>
                    <w:pStyle w:val="Compact"/>
                    <w:jc w:val="center"/>
                  </w:pPr>
                  <w:r>
                    <w:t xml:space="preserve">22.4 [0.1]</w:t>
                  </w:r>
                </w:p>
              </w:tc>
            </w:tr>
            <w:tr>
              <w:tc>
                <w:tcPr/>
                <w:p>
                  <w:pPr>
                    <w:pStyle w:val="Compact"/>
                  </w:pPr>
                </w:p>
              </w:tc>
              <w:tc>
                <w:tcPr/>
                <w:p>
                  <w:pPr>
                    <w:pStyle w:val="Compact"/>
                    <w:jc w:val="center"/>
                  </w:pPr>
                  <w:r>
                    <w:t xml:space="preserve">Difference</w:t>
                  </w:r>
                </w:p>
              </w:tc>
              <w:tc>
                <w:tcPr/>
                <w:p>
                  <w:pPr>
                    <w:pStyle w:val="Compact"/>
                    <w:jc w:val="center"/>
                  </w:pPr>
                  <w:r>
                    <w:t xml:space="preserve">0.6 [0.1]</w:t>
                  </w:r>
                </w:p>
              </w:tc>
              <w:tc>
                <w:tcPr/>
                <w:p>
                  <w:pPr>
                    <w:pStyle w:val="Compact"/>
                    <w:jc w:val="center"/>
                  </w:pPr>
                  <w:r>
                    <w:t xml:space="preserve">2.3 [0.1]</w:t>
                  </w:r>
                </w:p>
              </w:tc>
              <w:tc>
                <w:tcPr/>
                <w:p>
                  <w:pPr>
                    <w:pStyle w:val="Compact"/>
                    <w:jc w:val="center"/>
                  </w:pPr>
                  <w:r>
                    <w:t xml:space="preserve">0.0 [0.1]</w:t>
                  </w:r>
                </w:p>
              </w:tc>
              <w:tc>
                <w:tcPr/>
                <w:p>
                  <w:pPr>
                    <w:pStyle w:val="Compact"/>
                    <w:jc w:val="center"/>
                  </w:pPr>
                  <w:r>
                    <w:t xml:space="preserve">1.0 [0.1]</w:t>
                  </w:r>
                </w:p>
              </w:tc>
            </w:tr>
            <w:tr>
              <w:tc>
                <w:tcPr/>
                <w:p>
                  <w:pPr>
                    <w:pStyle w:val="Compact"/>
                    <w:jc w:val="center"/>
                  </w:pPr>
                  <w:r>
                    <w:t xml:space="preserve">Years with uncontrolled hypertension</w:t>
                  </w:r>
                </w:p>
              </w:tc>
              <w:tc>
                <w:tcPr/>
                <w:p>
                  <w:pPr>
                    <w:pStyle w:val="Compact"/>
                    <w:jc w:val="center"/>
                  </w:pPr>
                  <w:r>
                    <w:t xml:space="preserve">Non-Hispanic Black</w:t>
                  </w:r>
                </w:p>
              </w:tc>
              <w:tc>
                <w:tcPr/>
                <w:p>
                  <w:pPr>
                    <w:pStyle w:val="Compact"/>
                    <w:jc w:val="center"/>
                  </w:pPr>
                  <w:r>
                    <w:t xml:space="preserve">9.0 [0.1]</w:t>
                  </w:r>
                </w:p>
              </w:tc>
              <w:tc>
                <w:tcPr/>
                <w:p>
                  <w:pPr>
                    <w:pStyle w:val="Compact"/>
                    <w:jc w:val="center"/>
                  </w:pPr>
                  <w:r>
                    <w:t xml:space="preserve">9.8 [0.1]</w:t>
                  </w:r>
                </w:p>
              </w:tc>
              <w:tc>
                <w:tcPr/>
                <w:p>
                  <w:pPr>
                    <w:pStyle w:val="Compact"/>
                    <w:jc w:val="center"/>
                  </w:pPr>
                  <w:r>
                    <w:t xml:space="preserve">8.0 [&lt;0.01]</w:t>
                  </w:r>
                </w:p>
              </w:tc>
              <w:tc>
                <w:tcPr/>
                <w:p>
                  <w:pPr>
                    <w:pStyle w:val="Compact"/>
                    <w:jc w:val="center"/>
                  </w:pPr>
                  <w:r>
                    <w:t xml:space="preserve">8.2 [&lt;0.01]</w:t>
                  </w:r>
                </w:p>
              </w:tc>
            </w:tr>
            <w:tr>
              <w:tc>
                <w:tcPr/>
                <w:p>
                  <w:pPr>
                    <w:pStyle w:val="Compact"/>
                  </w:pPr>
                </w:p>
              </w:tc>
              <w:tc>
                <w:tcPr/>
                <w:p>
                  <w:pPr>
                    <w:pStyle w:val="Compact"/>
                    <w:jc w:val="center"/>
                  </w:pPr>
                  <w:r>
                    <w:t xml:space="preserve">Non-Hispanic white</w:t>
                  </w:r>
                </w:p>
              </w:tc>
              <w:tc>
                <w:tcPr/>
                <w:p>
                  <w:pPr>
                    <w:pStyle w:val="Compact"/>
                    <w:jc w:val="center"/>
                  </w:pPr>
                  <w:r>
                    <w:t xml:space="preserve">7.3 [&lt;0.01]</w:t>
                  </w:r>
                </w:p>
              </w:tc>
              <w:tc>
                <w:tcPr/>
                <w:p>
                  <w:pPr>
                    <w:pStyle w:val="Compact"/>
                    <w:jc w:val="center"/>
                  </w:pPr>
                  <w:r>
                    <w:t xml:space="preserve">7.3 [&lt;0.01]</w:t>
                  </w:r>
                </w:p>
              </w:tc>
              <w:tc>
                <w:tcPr/>
                <w:p>
                  <w:pPr>
                    <w:pStyle w:val="Compact"/>
                    <w:jc w:val="center"/>
                  </w:pPr>
                  <w:r>
                    <w:t xml:space="preserve">7.6 [&lt;0.01]</w:t>
                  </w:r>
                </w:p>
              </w:tc>
              <w:tc>
                <w:tcPr/>
                <w:p>
                  <w:pPr>
                    <w:pStyle w:val="Compact"/>
                    <w:jc w:val="center"/>
                  </w:pPr>
                  <w:r>
                    <w:t xml:space="preserve">7.6 [&lt;0.01]</w:t>
                  </w:r>
                </w:p>
              </w:tc>
            </w:tr>
            <w:tr>
              <w:tc>
                <w:tcPr/>
                <w:p>
                  <w:pPr>
                    <w:pStyle w:val="Compact"/>
                  </w:pPr>
                </w:p>
              </w:tc>
              <w:tc>
                <w:tcPr/>
                <w:p>
                  <w:pPr>
                    <w:pStyle w:val="Compact"/>
                    <w:jc w:val="center"/>
                  </w:pPr>
                  <w:r>
                    <w:t xml:space="preserve">Difference</w:t>
                  </w:r>
                </w:p>
              </w:tc>
              <w:tc>
                <w:tcPr/>
                <w:p>
                  <w:pPr>
                    <w:pStyle w:val="Compact"/>
                    <w:jc w:val="center"/>
                  </w:pPr>
                  <w:r>
                    <w:t xml:space="preserve">-1.7 [0.1]</w:t>
                  </w:r>
                </w:p>
              </w:tc>
              <w:tc>
                <w:tcPr/>
                <w:p>
                  <w:pPr>
                    <w:pStyle w:val="Compact"/>
                    <w:jc w:val="center"/>
                  </w:pPr>
                  <w:r>
                    <w:t xml:space="preserve">-2.5 [0.1]</w:t>
                  </w:r>
                </w:p>
              </w:tc>
              <w:tc>
                <w:tcPr/>
                <w:p>
                  <w:pPr>
                    <w:pStyle w:val="Compact"/>
                    <w:jc w:val="center"/>
                  </w:pPr>
                  <w:r>
                    <w:t xml:space="preserve">-0.4 [0.1]</w:t>
                  </w:r>
                </w:p>
              </w:tc>
              <w:tc>
                <w:tcPr/>
                <w:p>
                  <w:pPr>
                    <w:pStyle w:val="Compact"/>
                    <w:jc w:val="center"/>
                  </w:pPr>
                  <w:r>
                    <w:t xml:space="preserve">-0.6 [0.1]</w:t>
                  </w:r>
                </w:p>
              </w:tc>
            </w:tr>
            <w:tr>
              <w:tc>
                <w:tcPr/>
                <w:p>
                  <w:pPr>
                    <w:pStyle w:val="Compact"/>
                    <w:jc w:val="center"/>
                  </w:pPr>
                  <w:r>
                    <w:t xml:space="preserve">Life expectancy</w:t>
                  </w:r>
                </w:p>
              </w:tc>
              <w:tc>
                <w:tcPr/>
                <w:p>
                  <w:pPr>
                    <w:pStyle w:val="Compact"/>
                    <w:jc w:val="center"/>
                  </w:pPr>
                  <w:r>
                    <w:t xml:space="preserve">Non-Hispanic Black</w:t>
                  </w:r>
                </w:p>
              </w:tc>
              <w:tc>
                <w:tcPr/>
                <w:p>
                  <w:pPr>
                    <w:pStyle w:val="Compact"/>
                    <w:jc w:val="center"/>
                  </w:pPr>
                  <w:r>
                    <w:t xml:space="preserve">36.0 [0.1]</w:t>
                  </w:r>
                </w:p>
              </w:tc>
              <w:tc>
                <w:tcPr/>
                <w:p>
                  <w:pPr>
                    <w:pStyle w:val="Compact"/>
                    <w:jc w:val="center"/>
                  </w:pPr>
                  <w:r>
                    <w:t xml:space="preserve">35.7 [0.1]</w:t>
                  </w:r>
                </w:p>
              </w:tc>
              <w:tc>
                <w:tcPr/>
                <w:p>
                  <w:pPr>
                    <w:pStyle w:val="Compact"/>
                    <w:jc w:val="center"/>
                  </w:pPr>
                  <w:r>
                    <w:t xml:space="preserve">36.2 [0.1]</w:t>
                  </w:r>
                </w:p>
              </w:tc>
              <w:tc>
                <w:tcPr/>
                <w:p>
                  <w:pPr>
                    <w:pStyle w:val="Compact"/>
                    <w:jc w:val="center"/>
                  </w:pPr>
                  <w:r>
                    <w:t xml:space="preserve">36.1 [0.1]</w:t>
                  </w:r>
                </w:p>
              </w:tc>
            </w:tr>
            <w:tr>
              <w:tc>
                <w:tcPr/>
                <w:p>
                  <w:pPr>
                    <w:pStyle w:val="Compact"/>
                  </w:pPr>
                </w:p>
              </w:tc>
              <w:tc>
                <w:tcPr/>
                <w:p>
                  <w:pPr>
                    <w:pStyle w:val="Compact"/>
                    <w:jc w:val="center"/>
                  </w:pPr>
                  <w:r>
                    <w:t xml:space="preserve">Non-Hispanic white</w:t>
                  </w:r>
                </w:p>
              </w:tc>
              <w:tc>
                <w:tcPr/>
                <w:p>
                  <w:pPr>
                    <w:pStyle w:val="Compact"/>
                    <w:jc w:val="center"/>
                  </w:pPr>
                  <w:r>
                    <w:t xml:space="preserve">40.1 [0.1]</w:t>
                  </w:r>
                </w:p>
              </w:tc>
              <w:tc>
                <w:tcPr/>
                <w:p>
                  <w:pPr>
                    <w:pStyle w:val="Compact"/>
                    <w:jc w:val="center"/>
                  </w:pPr>
                  <w:r>
                    <w:t xml:space="preserve">40.1 [0.1]</w:t>
                  </w:r>
                </w:p>
              </w:tc>
              <w:tc>
                <w:tcPr/>
                <w:p>
                  <w:pPr>
                    <w:pStyle w:val="Compact"/>
                    <w:jc w:val="center"/>
                  </w:pPr>
                  <w:r>
                    <w:t xml:space="preserve">40.0 [0.1]</w:t>
                  </w:r>
                </w:p>
              </w:tc>
              <w:tc>
                <w:tcPr/>
                <w:p>
                  <w:pPr>
                    <w:pStyle w:val="Compact"/>
                    <w:jc w:val="center"/>
                  </w:pPr>
                  <w:r>
                    <w:t xml:space="preserve">40.0 [0.1]</w:t>
                  </w:r>
                </w:p>
              </w:tc>
            </w:tr>
            <w:tr>
              <w:tc>
                <w:tcPr/>
                <w:p>
                  <w:pPr>
                    <w:pStyle w:val="Compact"/>
                  </w:pPr>
                </w:p>
              </w:tc>
              <w:tc>
                <w:tcPr/>
                <w:p>
                  <w:pPr>
                    <w:pStyle w:val="Compact"/>
                    <w:jc w:val="center"/>
                  </w:pPr>
                  <w:r>
                    <w:t xml:space="preserve">Difference</w:t>
                  </w:r>
                </w:p>
              </w:tc>
              <w:tc>
                <w:tcPr/>
                <w:p>
                  <w:pPr>
                    <w:pStyle w:val="Compact"/>
                    <w:jc w:val="center"/>
                  </w:pPr>
                  <w:r>
                    <w:t xml:space="preserve">4.1 [0.1]</w:t>
                  </w:r>
                </w:p>
              </w:tc>
              <w:tc>
                <w:tcPr/>
                <w:p>
                  <w:pPr>
                    <w:pStyle w:val="Compact"/>
                    <w:jc w:val="center"/>
                  </w:pPr>
                  <w:r>
                    <w:t xml:space="preserve">4.5 [0.1]</w:t>
                  </w:r>
                </w:p>
              </w:tc>
              <w:tc>
                <w:tcPr/>
                <w:p>
                  <w:pPr>
                    <w:pStyle w:val="Compact"/>
                    <w:jc w:val="center"/>
                  </w:pPr>
                  <w:r>
                    <w:t xml:space="preserve">3.8 [0.1]</w:t>
                  </w:r>
                </w:p>
              </w:tc>
              <w:tc>
                <w:tcPr/>
                <w:p>
                  <w:pPr>
                    <w:pStyle w:val="Compact"/>
                    <w:jc w:val="center"/>
                  </w:pPr>
                  <w:r>
                    <w:t xml:space="preserve">4.0 [0.1]</w:t>
                  </w:r>
                </w:p>
              </w:tc>
            </w:tr>
          </w:tbl>
          <w:bookmarkEnd w:id="27"/>
          <w:p/>
        </w:tc>
      </w:tr>
    </w:tbl>
    <w:p>
      <w:pPr>
        <w:pStyle w:val="BodyText"/>
      </w:pPr>
      <w:r>
        <w:t xml:space="preserve">Mean [Monte Carlo standard error]</w:t>
      </w:r>
    </w:p>
    <w:bookmarkEnd w:id="28"/>
    <w:bookmarkStart w:id="50" w:name="health-system-utilization-1"/>
    <w:p>
      <w:pPr>
        <w:pStyle w:val="Heading4"/>
      </w:pPr>
      <w:r>
        <w:t xml:space="preserve">3.2.2 Health system utilization</w:t>
      </w:r>
    </w:p>
    <w:p>
      <w:pPr>
        <w:pStyle w:val="FirstParagraph"/>
      </w:pPr>
      <w:r>
        <w:t xml:space="preserve">Treatment initiation was similar across groups, with the cumulative incidence of antihypertensive treatment of 76% in the overall cohort and across both racial groups (</w:t>
      </w:r>
      <w:hyperlink w:anchor="supptbl-standard-main-results">
        <w:r>
          <w:rPr>
            <w:rStyle w:val="Hyperlink"/>
          </w:rPr>
          <w:t xml:space="preserve">Table S11</w:t>
        </w:r>
      </w:hyperlink>
      <w:r>
        <w:t xml:space="preserve">). The shift towards ACE inhibitors reduced the average duration of antihypertensive treatment among non-Hispanic Black adults from 22.1 years (95% CI: 22.0, 22.2) to 20.4 years (95% CI: 20.3, 20.5). As a result, the treatment duration gap with non-Hispanic white adults widened from 0.6 years to 2.3 years (</w:t>
      </w:r>
      <w:hyperlink w:anchor="fig-main-treated">
        <w:r>
          <w:rPr>
            <w:rStyle w:val="Hyperlink"/>
          </w:rPr>
          <w:t xml:space="preserve">Figure 2 (c)</w:t>
        </w:r>
      </w:hyperlink>
      <w:r>
        <w:t xml:space="preserve">). Hypertension control also worsened. Among non-Hispanic Black adults, years with uncontrolled hypertension increased from 9.0 years (95% CI: 8.9, 9.1) to 9.8 years (95% CI: 9.7, 9.9) (</w:t>
      </w:r>
      <w:hyperlink w:anchor="fig-main-sick-treated">
        <w:r>
          <w:rPr>
            <w:rStyle w:val="Hyperlink"/>
          </w:rPr>
          <w:t xml:space="preserve">Figure 2 (d)</w:t>
        </w:r>
      </w:hyperlink>
      <w:r>
        <w:t xml:space="preserve">). The fraction of treatment time with uncontrolled hypertension rose from</w:t>
      </w:r>
      <w:r>
        <w:t xml:space="preserve"> </w:t>
      </w:r>
      <w:r>
        <w:t xml:space="preserve">41% to 49%, compared with 32% among non-Hispanic white adults.</w:t>
      </w:r>
    </w:p>
    <w:bookmarkStart w:id="49" w:name="fig-standard-main-results-race"/>
    <w:tbl>
      <w:tblPr>
        <w:tblStyle w:val="Table"/>
        <w:tblW w:type="pct" w:w="4900"/>
        <w:tblLayout w:type="fixed"/>
        <w:tblLook w:firstRow="0" w:lastRow="0" w:firstColumn="0" w:lastColumn="0" w:noHBand="0" w:noVBand="0" w:val="0000"/>
      </w:tblPr>
      <w:tblGrid>
        <w:gridCol w:w="1940"/>
        <w:gridCol w:w="1940"/>
        <w:gridCol w:w="1940"/>
        <w:gridCol w:w="1940"/>
      </w:tblGrid>
      <w:tr>
        <w:tc>
          <w:tcPr/>
          <w:tbl>
            <w:tblPr>
              <w:tblStyle w:val="Table"/>
              <w:tblW w:type="pct" w:w="4900"/>
              <w:tblLayout w:type="fixed"/>
              <w:tblLook w:firstRow="0" w:lastRow="0" w:firstColumn="0" w:lastColumn="0" w:noHBand="0" w:noVBand="0" w:val="0000"/>
            </w:tblPr>
            <w:tblGrid>
              <w:gridCol w:w="7761"/>
            </w:tblGrid>
            <w:tr>
              <w:tc>
                <w:tcPr/>
                <w:bookmarkStart w:id="33" w:name="fig-main-sick"/>
                <w:p>
                  <w:pPr>
                    <w:pStyle w:val="Compact"/>
                    <w:jc w:val="center"/>
                    <w:jc w:val="left"/>
                  </w:pPr>
                  <w:bookmarkStart w:id="32" w:name="fig-main-sick"/>
                  <w:r>
                    <w:drawing>
                      <wp:inline>
                        <wp:extent cx="1481328" cy="1032659"/>
                        <wp:effectExtent b="0" l="0" r="0" t="0"/>
                        <wp:docPr descr="" title="" id="30" name="Picture"/>
                        <a:graphic>
                          <a:graphicData uri="http://schemas.openxmlformats.org/drawingml/2006/picture">
                            <pic:pic>
                              <pic:nvPicPr>
                                <pic:cNvPr descr="figures/standard/main_results_by_race_years_sick.png" id="31" name="Picture"/>
                                <pic:cNvPicPr>
                                  <a:picLocks noChangeArrowheads="1" noChangeAspect="1"/>
                                </pic:cNvPicPr>
                              </pic:nvPicPr>
                              <pic:blipFill>
                                <a:blip r:embed="rId29"/>
                                <a:stretch>
                                  <a:fillRect/>
                                </a:stretch>
                              </pic:blipFill>
                              <pic:spPr bwMode="auto">
                                <a:xfrm>
                                  <a:off x="0" y="0"/>
                                  <a:ext cx="1481328" cy="1032659"/>
                                </a:xfrm>
                                <a:prstGeom prst="rect">
                                  <a:avLst/>
                                </a:prstGeom>
                                <a:noFill/>
                                <a:ln w="9525">
                                  <a:noFill/>
                                  <a:headEnd/>
                                  <a:tailEnd/>
                                </a:ln>
                              </pic:spPr>
                            </pic:pic>
                          </a:graphicData>
                        </a:graphic>
                      </wp:inline>
                    </w:drawing>
                  </w:r>
                  <w:bookmarkEnd w:id="32"/>
                </w:p>
                <w:p>
                  <w:pPr>
                    <w:jc w:val="center"/>
                    <w:jc w:val="left"/>
                  </w:pPr>
                  <w:pPr>
                    <w:jc w:val="left"/>
                    <w:spacing w:before="200"/>
                    <w:pStyle w:val="ImageCaption"/>
                  </w:pPr>
                  <w:r>
                    <w:t xml:space="preserve">(a)</w:t>
                  </w:r>
                </w:p>
                <w:bookmarkEnd w:id="33"/>
              </w:tc>
            </w:tr>
          </w:tbl>
          <w:p/>
        </w:tc>
        <w:tc>
          <w:tcPr/>
          <w:p>
            <w:pPr>
              <w:jc w:val="left"/>
            </w:pPr>
            <w:r>
              <w:t xml:space="preserve"> </w:t>
            </w:r>
          </w:p>
        </w:tc>
        <w:tc>
          <w:tcPr/>
          <w:tbl>
            <w:tblPr>
              <w:tblStyle w:val="Table"/>
              <w:tblW w:type="pct" w:w="4900"/>
              <w:tblLayout w:type="fixed"/>
              <w:tblLook w:firstRow="0" w:lastRow="0" w:firstColumn="0" w:lastColumn="0" w:noHBand="0" w:noVBand="0" w:val="0000"/>
            </w:tblPr>
            <w:tblGrid>
              <w:gridCol w:w="7761"/>
            </w:tblGrid>
            <w:tr>
              <w:tc>
                <w:tcPr/>
                <w:bookmarkStart w:id="38" w:name="fig-main-le"/>
                <w:p>
                  <w:pPr>
                    <w:pStyle w:val="Compact"/>
                    <w:jc w:val="center"/>
                    <w:jc w:val="left"/>
                  </w:pPr>
                  <w:bookmarkStart w:id="37" w:name="fig-main-le"/>
                  <w:r>
                    <w:drawing>
                      <wp:inline>
                        <wp:extent cx="1481328" cy="1036433"/>
                        <wp:effectExtent b="0" l="0" r="0" t="0"/>
                        <wp:docPr descr="" title="" id="35" name="Picture"/>
                        <a:graphic>
                          <a:graphicData uri="http://schemas.openxmlformats.org/drawingml/2006/picture">
                            <pic:pic>
                              <pic:nvPicPr>
                                <pic:cNvPr descr="figures/standard/main_results_by_race_years_to_death.png" id="36" name="Picture"/>
                                <pic:cNvPicPr>
                                  <a:picLocks noChangeArrowheads="1" noChangeAspect="1"/>
                                </pic:cNvPicPr>
                              </pic:nvPicPr>
                              <pic:blipFill>
                                <a:blip r:embed="rId34"/>
                                <a:stretch>
                                  <a:fillRect/>
                                </a:stretch>
                              </pic:blipFill>
                              <pic:spPr bwMode="auto">
                                <a:xfrm>
                                  <a:off x="0" y="0"/>
                                  <a:ext cx="1481328" cy="1036433"/>
                                </a:xfrm>
                                <a:prstGeom prst="rect">
                                  <a:avLst/>
                                </a:prstGeom>
                                <a:noFill/>
                                <a:ln w="9525">
                                  <a:noFill/>
                                  <a:headEnd/>
                                  <a:tailEnd/>
                                </a:ln>
                              </pic:spPr>
                            </pic:pic>
                          </a:graphicData>
                        </a:graphic>
                      </wp:inline>
                    </w:drawing>
                  </w:r>
                  <w:bookmarkEnd w:id="37"/>
                </w:p>
                <w:p>
                  <w:pPr>
                    <w:jc w:val="center"/>
                    <w:jc w:val="left"/>
                  </w:pPr>
                  <w:pPr>
                    <w:jc w:val="left"/>
                    <w:spacing w:before="200"/>
                    <w:pStyle w:val="ImageCaption"/>
                  </w:pPr>
                  <w:r>
                    <w:t xml:space="preserve">(b)</w:t>
                  </w:r>
                </w:p>
                <w:bookmarkEnd w:id="38"/>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2587"/>
        <w:gridCol w:w="2587"/>
        <w:gridCol w:w="2587"/>
      </w:tblGrid>
      <w:tr>
        <w:tc>
          <w:tcPr/>
          <w:tbl>
            <w:tblPr>
              <w:tblStyle w:val="Table"/>
              <w:tblW w:type="pct" w:w="4900"/>
              <w:tblLayout w:type="fixed"/>
              <w:tblLook w:firstRow="0" w:lastRow="0" w:firstColumn="0" w:lastColumn="0" w:noHBand="0" w:noVBand="0" w:val="0000"/>
            </w:tblPr>
            <w:tblGrid>
              <w:gridCol w:w="7761"/>
            </w:tblGrid>
            <w:tr>
              <w:tc>
                <w:tcPr/>
                <w:bookmarkStart w:id="43" w:name="fig-main-treated"/>
                <w:p>
                  <w:pPr>
                    <w:pStyle w:val="Compact"/>
                    <w:jc w:val="center"/>
                    <w:jc w:val="left"/>
                  </w:pPr>
                  <w:bookmarkStart w:id="42" w:name="fig-main-treated"/>
                  <w:r>
                    <w:drawing>
                      <wp:inline>
                        <wp:extent cx="1481328" cy="1007523"/>
                        <wp:effectExtent b="0" l="0" r="0" t="0"/>
                        <wp:docPr descr="" title="" id="40" name="Picture"/>
                        <a:graphic>
                          <a:graphicData uri="http://schemas.openxmlformats.org/drawingml/2006/picture">
                            <pic:pic>
                              <pic:nvPicPr>
                                <pic:cNvPr descr="figures/standard/main_results_by_race_years_treated.png" id="41" name="Picture"/>
                                <pic:cNvPicPr>
                                  <a:picLocks noChangeArrowheads="1" noChangeAspect="1"/>
                                </pic:cNvPicPr>
                              </pic:nvPicPr>
                              <pic:blipFill>
                                <a:blip r:embed="rId39"/>
                                <a:stretch>
                                  <a:fillRect/>
                                </a:stretch>
                              </pic:blipFill>
                              <pic:spPr bwMode="auto">
                                <a:xfrm>
                                  <a:off x="0" y="0"/>
                                  <a:ext cx="1481328" cy="1007523"/>
                                </a:xfrm>
                                <a:prstGeom prst="rect">
                                  <a:avLst/>
                                </a:prstGeom>
                                <a:noFill/>
                                <a:ln w="9525">
                                  <a:noFill/>
                                  <a:headEnd/>
                                  <a:tailEnd/>
                                </a:ln>
                              </pic:spPr>
                            </pic:pic>
                          </a:graphicData>
                        </a:graphic>
                      </wp:inline>
                    </w:drawing>
                  </w:r>
                  <w:bookmarkEnd w:id="42"/>
                </w:p>
                <w:p>
                  <w:pPr>
                    <w:jc w:val="center"/>
                    <w:jc w:val="left"/>
                  </w:pPr>
                  <w:pPr>
                    <w:jc w:val="left"/>
                    <w:spacing w:before="200"/>
                    <w:pStyle w:val="ImageCaption"/>
                  </w:pPr>
                  <w:r>
                    <w:t xml:space="preserve">(c)</w:t>
                  </w:r>
                </w:p>
                <w:bookmarkEnd w:id="43"/>
              </w:tc>
            </w:tr>
          </w:tbl>
          <w:p/>
        </w:tc>
        <w:tc>
          <w:tcPr/>
          <w:p>
            <w:pPr>
              <w:jc w:val="left"/>
            </w:pPr>
            <w:r>
              <w:t xml:space="preserve"> </w:t>
            </w:r>
          </w:p>
        </w:tc>
        <w:tc>
          <w:tcPr/>
          <w:tbl>
            <w:tblPr>
              <w:tblStyle w:val="Table"/>
              <w:tblW w:type="pct" w:w="4900"/>
              <w:tblLayout w:type="fixed"/>
              <w:tblLook w:firstRow="0" w:lastRow="0" w:firstColumn="0" w:lastColumn="0" w:noHBand="0" w:noVBand="0" w:val="0000"/>
            </w:tblPr>
            <w:tblGrid>
              <w:gridCol w:w="7761"/>
            </w:tblGrid>
            <w:tr>
              <w:tc>
                <w:tcPr/>
                <w:bookmarkStart w:id="48" w:name="fig-main-sick-treated"/>
                <w:p>
                  <w:pPr>
                    <w:pStyle w:val="Compact"/>
                    <w:jc w:val="center"/>
                    <w:jc w:val="left"/>
                  </w:pPr>
                  <w:bookmarkStart w:id="47" w:name="fig-main-sick-treated"/>
                  <w:r>
                    <w:drawing>
                      <wp:inline>
                        <wp:extent cx="1481328" cy="1014065"/>
                        <wp:effectExtent b="0" l="0" r="0" t="0"/>
                        <wp:docPr descr="" title="" id="45" name="Picture"/>
                        <a:graphic>
                          <a:graphicData uri="http://schemas.openxmlformats.org/drawingml/2006/picture">
                            <pic:pic>
                              <pic:nvPicPr>
                                <pic:cNvPr descr="figures/standard/main_results_by_race_years_sick_treated.png" id="46" name="Picture"/>
                                <pic:cNvPicPr>
                                  <a:picLocks noChangeArrowheads="1" noChangeAspect="1"/>
                                </pic:cNvPicPr>
                              </pic:nvPicPr>
                              <pic:blipFill>
                                <a:blip r:embed="rId44"/>
                                <a:stretch>
                                  <a:fillRect/>
                                </a:stretch>
                              </pic:blipFill>
                              <pic:spPr bwMode="auto">
                                <a:xfrm>
                                  <a:off x="0" y="0"/>
                                  <a:ext cx="1481328" cy="1014065"/>
                                </a:xfrm>
                                <a:prstGeom prst="rect">
                                  <a:avLst/>
                                </a:prstGeom>
                                <a:noFill/>
                                <a:ln w="9525">
                                  <a:noFill/>
                                  <a:headEnd/>
                                  <a:tailEnd/>
                                </a:ln>
                              </pic:spPr>
                            </pic:pic>
                          </a:graphicData>
                        </a:graphic>
                      </wp:inline>
                    </w:drawing>
                  </w:r>
                  <w:bookmarkEnd w:id="47"/>
                </w:p>
                <w:p>
                  <w:pPr>
                    <w:jc w:val="center"/>
                    <w:jc w:val="left"/>
                  </w:pPr>
                  <w:pPr>
                    <w:jc w:val="left"/>
                    <w:spacing w:before="200"/>
                    <w:pStyle w:val="ImageCaption"/>
                  </w:pPr>
                  <w:r>
                    <w:t xml:space="preserve">(d)</w:t>
                  </w:r>
                </w:p>
                <w:bookmarkEnd w:id="48"/>
              </w:tc>
            </w:tr>
          </w:tbl>
          <w:p/>
        </w:tc>
      </w:tr>
    </w:tbl>
    <w:p>
      <w:pPr>
        <w:pStyle w:val="BodyText"/>
      </w:pPr>
      <w:pPr>
        <w:spacing w:before="200"/>
        <w:pStyle w:val="ImageCaption"/>
      </w:pPr>
      <w:r>
        <w:t xml:space="preserve">Figure 2: Comparing antihypertensive treatment guidelines with and without race adjustment for non-Hispanic Black and non-Hispanic white adults. Outcomes: (a) years with stage 1 or 2 hypertension, (b) life expectancy, (c) years on antihypertensive treatment, (d) years with uncontrolled hypertension</w:t>
      </w:r>
    </w:p>
    <w:bookmarkEnd w:id="49"/>
    <w:bookmarkEnd w:id="50"/>
    <w:bookmarkEnd w:id="51"/>
    <w:bookmarkStart w:id="54" w:name="Xc6d98f4813683106be5b0e7aa57301638ee89d1"/>
    <w:p>
      <w:pPr>
        <w:pStyle w:val="Heading3"/>
      </w:pPr>
      <w:r>
        <w:t xml:space="preserve">3.3 No heterogeneity in treatment effectiveness by race</w:t>
      </w:r>
    </w:p>
    <w:p>
      <w:pPr>
        <w:pStyle w:val="FirstParagraph"/>
      </w:pPr>
      <w:r>
        <w:t xml:space="preserve">Under assumptions of no racial heterogeneity, the prescribing shift towards ACE inhibitors still worsened outcomes for non-Hispanic Black adults because ACE inhibitors were less effective at reducing blood pressure than thiazide diuretics overall. However, the magnitude of effects was smaller than in the heterogeneous effects scenario (</w:t>
      </w:r>
      <w:hyperlink w:anchor="fig-standard-main-results-race">
        <w:r>
          <w:rPr>
            <w:rStyle w:val="Hyperlink"/>
          </w:rPr>
          <w:t xml:space="preserve">Figure 2</w:t>
        </w:r>
      </w:hyperlink>
      <w:r>
        <w:t xml:space="preserve">).</w:t>
      </w:r>
    </w:p>
    <w:bookmarkStart w:id="52" w:name="health-outcomes-1"/>
    <w:p>
      <w:pPr>
        <w:pStyle w:val="Heading4"/>
      </w:pPr>
      <w:r>
        <w:t xml:space="preserve">3.3.1 Health outcomes</w:t>
      </w:r>
    </w:p>
    <w:p>
      <w:pPr>
        <w:pStyle w:val="FirstParagraph"/>
      </w:pPr>
      <w:r>
        <w:t xml:space="preserve">Guidelines without race adjustment increased years spent in stage 1 or 2 hypertension for non-Hispanic Black adults from 14.3 years (95% CI: 14.2, 14.4) to 14.8 years (95% CI: 14.7, 14.9), a 0.5-year increase compared to 1.3 years in the first scenario (</w:t>
      </w:r>
      <w:hyperlink w:anchor="tbl-standard-main-results-by-race">
        <w:r>
          <w:rPr>
            <w:rStyle w:val="Hyperlink"/>
          </w:rPr>
          <w:t xml:space="preserve">Table 3</w:t>
        </w:r>
      </w:hyperlink>
      <w:r>
        <w:t xml:space="preserve">,</w:t>
      </w:r>
      <w:r>
        <w:t xml:space="preserve"> </w:t>
      </w:r>
      <w:hyperlink w:anchor="fig-standard-main-results-race">
        <w:r>
          <w:rPr>
            <w:rStyle w:val="Hyperlink"/>
          </w:rPr>
          <w:t xml:space="preserve">Figure 2</w:t>
        </w:r>
      </w:hyperlink>
      <w:r>
        <w:t xml:space="preserve">). The effect on life expectancy among non-Hispanic Black adults was also smaller, decreasing from 36.2 years (95% CI: 36.1, 36.3) to 36.1 years (95% CI: 35.9, 36.2). This 0.1-year widening was less than half that observed in the first scenario (</w:t>
      </w:r>
      <w:hyperlink w:anchor="tbl-standard-main-results-by-race">
        <w:r>
          <w:rPr>
            <w:rStyle w:val="Hyperlink"/>
          </w:rPr>
          <w:t xml:space="preserve">Table 3</w:t>
        </w:r>
      </w:hyperlink>
      <w:r>
        <w:t xml:space="preserve">,</w:t>
      </w:r>
      <w:r>
        <w:t xml:space="preserve"> </w:t>
      </w:r>
      <w:hyperlink w:anchor="fig-standard-main-results-race">
        <w:r>
          <w:rPr>
            <w:rStyle w:val="Hyperlink"/>
          </w:rPr>
          <w:t xml:space="preserve">Figure 2</w:t>
        </w:r>
      </w:hyperlink>
      <w:r>
        <w:t xml:space="preserve">).</w:t>
      </w:r>
    </w:p>
    <w:bookmarkEnd w:id="52"/>
    <w:bookmarkStart w:id="53" w:name="healthcare-utilization"/>
    <w:p>
      <w:pPr>
        <w:pStyle w:val="Heading4"/>
      </w:pPr>
      <w:r>
        <w:t xml:space="preserve">3.3.2 Healthcare utilization</w:t>
      </w:r>
    </w:p>
    <w:p>
      <w:pPr>
        <w:pStyle w:val="FirstParagraph"/>
      </w:pPr>
      <w:r>
        <w:t xml:space="preserve">Healthcare utilization patterns were similar to the first scenario, though changes were smaller in magnitude. Average treatment duration among non-Hispanic Black adults decreased by 1.0 years, from 22.3 years (95% CI: 22.2, 22.5) to 21.4 years (95% CI: 21.2, 21.5), a smaller decline than the 1.7-year decrease in the first scenario (</w:t>
      </w:r>
      <w:hyperlink w:anchor="tbl-standard-main-results-by-race">
        <w:r>
          <w:rPr>
            <w:rStyle w:val="Hyperlink"/>
          </w:rPr>
          <w:t xml:space="preserve">Table 3</w:t>
        </w:r>
      </w:hyperlink>
      <w:r>
        <w:t xml:space="preserve">). Years with uncontrolled hypertension went from 8.0 years (95% CI: 7.9, 8.1) to 8.2 years (95% CI: 8.1, 8.3). As a result, the fraction of treatment time with uncontrolled hypertension rose by 3 percentage points, compared to 8 percentage points in the first scenario.</w:t>
      </w:r>
    </w:p>
    <w:bookmarkEnd w:id="53"/>
    <w:bookmarkEnd w:id="54"/>
    <w:bookmarkStart w:id="57" w:name="secondary-analysis-1"/>
    <w:p>
      <w:pPr>
        <w:pStyle w:val="Heading3"/>
      </w:pPr>
      <w:r>
        <w:t xml:space="preserve">3.4 Secondary analysis</w:t>
      </w:r>
    </w:p>
    <w:p>
      <w:pPr>
        <w:pStyle w:val="FirstParagraph"/>
      </w:pPr>
      <w:r>
        <w:t xml:space="preserve">Insurance coverage was higher among non-Hispanic white 40-year-old adults (86%) than among non-Hispanic Black 40-year-old adults (79%). Mean census tract-level SDI was also higher for non-Hispanic Black adults (18.1) compared to non-Hispanic white adults (14.6), reflecting greater neighborhood disadvantage (</w:t>
      </w:r>
      <w:hyperlink w:anchor="supptbl-sff-cohort">
        <w:r>
          <w:rPr>
            <w:rStyle w:val="Hyperlink"/>
          </w:rPr>
          <w:t xml:space="preserve">Table S12</w:t>
        </w:r>
      </w:hyperlink>
      <w:r>
        <w:t xml:space="preserve">). Incorporating census tract-level SDI and insurance coverage reduced overall treatment access. The overall incidence of treatment dropped from 76% in the main analysis to 69%. While treatment incidence did not differ by race, it differed by insurance status (</w:t>
      </w:r>
      <w:hyperlink w:anchor="supptbl-sff-main-results">
        <w:r>
          <w:rPr>
            <w:rStyle w:val="Hyperlink"/>
          </w:rPr>
          <w:t xml:space="preserve">Table S13</w:t>
        </w:r>
      </w:hyperlink>
      <w:r>
        <w:t xml:space="preserve">). Among those without insurance, 58% and 57% of non-Hispanic Black and non-Hispanic white adults initiated treatment, compared to 71% and 70% of insured non-Hispanic Black and non-Hispanic white adults (</w:t>
      </w:r>
      <w:hyperlink w:anchor="suppfig-sff-cum-incidence-treatment">
        <w:r>
          <w:rPr>
            <w:rStyle w:val="Hyperlink"/>
          </w:rPr>
          <w:t xml:space="preserve">Figure S10</w:t>
        </w:r>
      </w:hyperlink>
      <w:r>
        <w:t xml:space="preserve">).</w:t>
      </w:r>
    </w:p>
    <w:bookmarkStart w:id="55" w:name="X5e43e55be213edc0eb032a38fb7caf1fb78528a"/>
    <w:p>
      <w:pPr>
        <w:pStyle w:val="Heading4"/>
      </w:pPr>
      <w:r>
        <w:t xml:space="preserve">3.4.1 Heterogeneity in treatment effectiveness by race</w:t>
      </w:r>
    </w:p>
    <w:p>
      <w:pPr>
        <w:pStyle w:val="FirstParagraph"/>
      </w:pPr>
      <w:r>
        <w:t xml:space="preserve">Under guidelines without race adjustment, life expectancy among non-Hispanic Black adults decreased by 0.3 years, from 35.5 years (95% CI: 35.3, 35.6) to 35.2 years (95% CI: 35.0, 35.3), although with overlapping confidence intervals. This effect was similar to the 0.4-year effect observed in the main analysis (</w:t>
      </w:r>
      <w:hyperlink w:anchor="supptbl-sff-results-by-race">
        <w:r>
          <w:rPr>
            <w:rStyle w:val="Hyperlink"/>
          </w:rPr>
          <w:t xml:space="preserve">Table S14</w:t>
        </w:r>
      </w:hyperlink>
      <w:r>
        <w:t xml:space="preserve">,</w:t>
      </w:r>
      <w:r>
        <w:t xml:space="preserve"> </w:t>
      </w:r>
      <w:hyperlink w:anchor="suppfig-sff-results-race">
        <w:r>
          <w:rPr>
            <w:rStyle w:val="Hyperlink"/>
          </w:rPr>
          <w:t xml:space="preserve">Figure S11</w:t>
        </w:r>
      </w:hyperlink>
      <w:r>
        <w:t xml:space="preserve">). Because insured non-Hispanic Black adults had greater treatment access, they were more likely to be affected by the prescribing shift towards ACE inhibitors. The average decline in life expectancy was 0.3 years for non-Hispanic Black adults with insurance compared to 0.2 years for those without insurance (</w:t>
      </w:r>
      <w:hyperlink w:anchor="supptbl-main-results-by-race-insurance">
        <w:r>
          <w:rPr>
            <w:rStyle w:val="Hyperlink"/>
          </w:rPr>
          <w:t xml:space="preserve">Table S15</w:t>
        </w:r>
      </w:hyperlink>
      <w:r>
        <w:t xml:space="preserve">). We observed a similar pattern in hypertension control. Years spent with uncontrolled hypertension increased by 0.8 years and 0.2 years among non-Hispanic Black adults with and without insurance, respectively.</w:t>
      </w:r>
    </w:p>
    <w:bookmarkEnd w:id="55"/>
    <w:bookmarkStart w:id="56" w:name="X46303fddc59e898a73e859e3bafc5098cdd40b9"/>
    <w:p>
      <w:pPr>
        <w:pStyle w:val="Heading4"/>
      </w:pPr>
      <w:r>
        <w:t xml:space="preserve">3.4.2 No heterogeneity in treatment effectiveness by race</w:t>
      </w:r>
    </w:p>
    <w:p>
      <w:pPr>
        <w:pStyle w:val="FirstParagraph"/>
      </w:pPr>
      <w:r>
        <w:t xml:space="preserve">As in the main analysis, the effects of guidelines without race adjustment were smaller under the no treatment heterogeneity scenario. The decline in life expectancy for non-Hispanic Black adults was the same as the 0.1-year widening in the main analysis (</w:t>
      </w:r>
      <w:hyperlink w:anchor="supptbl-sff-results-by-race">
        <w:r>
          <w:rPr>
            <w:rStyle w:val="Hyperlink"/>
          </w:rPr>
          <w:t xml:space="preserve">Table S14</w:t>
        </w:r>
      </w:hyperlink>
      <w:r>
        <w:t xml:space="preserve">,</w:t>
      </w:r>
      <w:r>
        <w:t xml:space="preserve"> </w:t>
      </w:r>
      <w:hyperlink w:anchor="suppfig-sff-results-race">
        <w:r>
          <w:rPr>
            <w:rStyle w:val="Hyperlink"/>
          </w:rPr>
          <w:t xml:space="preserve">Figure S11</w:t>
        </w:r>
      </w:hyperlink>
      <w:r>
        <w:t xml:space="preserve">). In this scenario, we observed no differences in life expectancy decreases among non-Hispanic Black adults with insurance (0.1 years) and without insurance (0.1 years) (</w:t>
      </w:r>
      <w:hyperlink w:anchor="supptbl-main-results-by-race-insurance">
        <w:r>
          <w:rPr>
            <w:rStyle w:val="Hyperlink"/>
          </w:rPr>
          <w:t xml:space="preserve">Table S15</w:t>
        </w:r>
      </w:hyperlink>
      <w:r>
        <w:t xml:space="preserve">). Increases in years with uncontrolled hypertension were higher among non-Hispanic Black adults with insurance (0.2 years) compared to those without (0.1 years). However, differences by insurance status were smaller than in the scenario</w:t>
      </w:r>
      <w:r>
        <w:t xml:space="preserve"> </w:t>
      </w:r>
      <w:r>
        <w:t xml:space="preserve">assuming racial heterogeneity in treatment effects.</w:t>
      </w:r>
    </w:p>
    <w:bookmarkEnd w:id="56"/>
    <w:bookmarkEnd w:id="57"/>
    <w:bookmarkEnd w:id="58"/>
    <w:bookmarkStart w:id="59" w:name="discussion"/>
    <w:p>
      <w:pPr>
        <w:pStyle w:val="Heading2"/>
      </w:pPr>
      <w:r>
        <w:t xml:space="preserve">4 Discussion</w:t>
      </w:r>
    </w:p>
    <w:p>
      <w:pPr>
        <w:pStyle w:val="FirstParagraph"/>
      </w:pPr>
      <w:r>
        <w:t xml:space="preserve">Our findings indicate that implementing antihypertensive treatment guidelines that no longer account for race may have adverse consequences for health outcomes and healthcare utilization among non-Hispanic Black adults, widening disparities with non-Hispanic white adults. However, the magnitude of these effects depended on assumptions of treatment heterogeneity by race.</w:t>
      </w:r>
    </w:p>
    <w:p>
      <w:pPr>
        <w:pStyle w:val="BodyText"/>
      </w:pPr>
      <w:r>
        <w:t xml:space="preserve">Under assumptions of racial heterogeneity in treatment effectiveness, guidelines without race adjustment increased utilization of ACE inhibitors among non-Hispanic Black adults, a treatment class associated with smaller blood pressure reductions and higher discontinuation rates in this racial/ethnic group. This prescribing shift resulted in an average 0.4-year decrease in life expectancy and 0.8-year increase in years with uncontrolled hypertension among non-Hispanic Black adults, widening disparities with non-Hispanic white adults.</w:t>
      </w:r>
    </w:p>
    <w:p>
      <w:pPr>
        <w:pStyle w:val="BodyText"/>
      </w:pPr>
      <w:r>
        <w:t xml:space="preserve">When treatment effectiveness was assumed equal across racial/ethnic groups, this same prescribing shift produced more modest effects, as ACE inhibitors were associated with smaller reductions in blood pressure compared to thiazide diuretics. Consequently, life expectancy decreased by 0.1 years, and years with uncontrolled hypertension increased by 0.2 years for non-Hispanic Black adults, less than one-half and one-quarter, respectively, of the effect observed under heterogeneous treatment assumptions. These results suggest that the consequences of guidelines without race adjustment for non-Hispanic Black adults are the most severe if racial heterogeneity in treatment effectiveness exists.</w:t>
      </w:r>
    </w:p>
    <w:p>
      <w:pPr>
        <w:pStyle w:val="BodyText"/>
      </w:pPr>
      <w:r>
        <w:t xml:space="preserve">The existence of antihypertensive treatment heterogeneity by race is unclear. Beyond evidence from ALLHAT, analyses from the Veterans Affairs system, All of Us Research program, and additional clinical trials have demonstrated racial and ethnic differences in hypertension control across antihypertensive medication classes.</w:t>
      </w:r>
      <w:r>
        <w:rPr>
          <w:vertAlign w:val="superscript"/>
        </w:rPr>
        <w:t xml:space="preserve">7,9,36–40</w:t>
      </w:r>
      <w:r>
        <w:t xml:space="preserve"> </w:t>
      </w:r>
      <w:r>
        <w:t xml:space="preserve">However, it has not been established whether these differences are attributable to race, given evidence that race may not be a reliable proxy for genetic variation.</w:t>
      </w:r>
      <w:r>
        <w:rPr>
          <w:vertAlign w:val="superscript"/>
        </w:rPr>
        <w:t xml:space="preserve">12,41</w:t>
      </w:r>
      <w:r>
        <w:t xml:space="preserve"> </w:t>
      </w:r>
      <w:r>
        <w:t xml:space="preserve">Instead, observed treatment heterogeneity may be driven by differences in health insurance coverage, health literacy, medication adherence, or lower trust in the healthcare system.</w:t>
      </w:r>
      <w:r>
        <w:rPr>
          <w:vertAlign w:val="superscript"/>
        </w:rPr>
        <w:t xml:space="preserve">2,42,43</w:t>
      </w:r>
    </w:p>
    <w:p>
      <w:pPr>
        <w:pStyle w:val="BodyText"/>
      </w:pPr>
      <w:r>
        <w:t xml:space="preserve">As a secondary analysis, we examined how incorporating heterogeneity in census tract-level SDI and health insurance coverage modified our findings. While non-Hispanic Black adults had lower rates of insurance coverage and higher census tract-level SDI values, we did not observe meaningful differences in life expectancy or hypertension control by racial groups compared to our main analysis. However, the adverse effects of guidelines that no longer account for race were more modest for non-Hispanic Black adults without insurance who had lower treatment access and thus less exposure to the prescribing shift towards ACE inhibitors. We argue that changes to clinical guidelines cannot be evaluated in isolation from the social context in which they are implemented.</w:t>
      </w:r>
    </w:p>
    <w:p>
      <w:pPr>
        <w:pStyle w:val="BodyText"/>
      </w:pPr>
      <w:r>
        <w:t xml:space="preserve">Previous studies have examined the implications of removing race from clinical decision-making on health equity, most often in the context of race-adjusted clinical algorithms. These studies demonstrate that simply eliminating race from clinical algorithms does not necessarily improve and may, in some cases, exacerbate racial and ethnic disparities across clinical domains, including in chronic kidney disease, lung cancer, and colorectal cancer detection.</w:t>
      </w:r>
      <w:r>
        <w:rPr>
          <w:vertAlign w:val="superscript"/>
        </w:rPr>
        <w:t xml:space="preserve">18,44–46</w:t>
      </w:r>
      <w:r>
        <w:t xml:space="preserve"> </w:t>
      </w:r>
      <w:r>
        <w:t xml:space="preserve">Although several professional organizations have acknowledged the need to remove race from clinical practice guidelines,</w:t>
      </w:r>
      <w:r>
        <w:rPr>
          <w:vertAlign w:val="superscript"/>
        </w:rPr>
        <w:t xml:space="preserve">47–49</w:t>
      </w:r>
      <w:r>
        <w:t xml:space="preserve"> </w:t>
      </w:r>
      <w:r>
        <w:t xml:space="preserve">to our knowledge, no studies have evaluated the resulting implications for clinical decision-making, health outcomes, and racial/ethnic disparities.</w:t>
      </w:r>
    </w:p>
    <w:p>
      <w:pPr>
        <w:pStyle w:val="BodyText"/>
      </w:pPr>
      <w:r>
        <w:t xml:space="preserve">Our analysis has several limitations stemming from the need to simplify some elements of a complex policy problem. First, we focused on antihypertensive monotherapy with either thiazide diuretics or ACE inhibitors. Antihypertensive treatment guidelines are more complex, allowing for additional medication classes such as angiotensin receptor blockers, calcium channel blockers, and beta blockers. Furthermore, patients who do not achieve blood pressure control often initiate combination therapy with multiple therapeutic options. Second, we did not explicitly model the effect of antihypertensive treatment on cardiovascular events, including stroke, congestive heart failure, and coronary heart disease.</w:t>
      </w:r>
      <w:r>
        <w:rPr>
          <w:vertAlign w:val="superscript"/>
        </w:rPr>
        <w:t xml:space="preserve">28</w:t>
      </w:r>
      <w:r>
        <w:t xml:space="preserve"> </w:t>
      </w:r>
      <w:r>
        <w:t xml:space="preserve">Further, we did not model any benefits from ACE inhibitors in slowing kidney disease progression.</w:t>
      </w:r>
      <w:r>
        <w:rPr>
          <w:vertAlign w:val="superscript"/>
        </w:rPr>
        <w:t xml:space="preserve">50,51</w:t>
      </w:r>
      <w:r>
        <w:t xml:space="preserve"> </w:t>
      </w:r>
      <w:r>
        <w:t xml:space="preserve">In our analysis, we assumed that antihypertensive treatment lowered blood pressure, which reduced the risk of all-cause mortality. Third, in our secondary analysis, we focused on incorporating health insurance status and census tract-level SDI. Additional social factors that may influence hypertension incidence and control were not incorporated. Finally, we focused our analysis on a population of non-Hispanic Black and non-Hispanic white adults to examine the implications of removing race-specific treatment recommendations for Black adults. We did not include additional racial and ethnic groups who also face disparities in hypertension, such as Hispanic and non-Hispanic Asian adults.</w:t>
      </w:r>
      <w:r>
        <w:rPr>
          <w:vertAlign w:val="superscript"/>
        </w:rPr>
        <w:t xml:space="preserve">2,5</w:t>
      </w:r>
    </w:p>
    <w:bookmarkEnd w:id="59"/>
    <w:bookmarkStart w:id="60" w:name="conclusion"/>
    <w:p>
      <w:pPr>
        <w:pStyle w:val="Heading2"/>
      </w:pPr>
      <w:r>
        <w:t xml:space="preserve">5 Conclusion</w:t>
      </w:r>
    </w:p>
    <w:p>
      <w:pPr>
        <w:pStyle w:val="FirstParagraph"/>
      </w:pPr>
      <w:r>
        <w:t xml:space="preserve">Our study examined the implications of removing race adjustment from antihypertensive treatment guidelines on health outcomes, healthcare utilization, and disparities. We found that guidelines without race adjustment may result in adverse consequences for non-Hispanic Black adults. The magnitude of these effects depended on assumptions about whether racial heterogeneity in antihypertensive treatment effectiveness exists, which was the basis for previously published race-adjusted guidelines. Resolving the uncertainty around antihypertensive treatment heterogeneity and better understanding its underlying drivers are important when considering modification of clinical practice guidelines that may inadvertently widen racial and ethnic disparities in hypertension.</w:t>
      </w:r>
    </w:p>
    <w:bookmarkEnd w:id="60"/>
    <w:bookmarkStart w:id="61" w:name="acknowledgements"/>
    <w:p>
      <w:pPr>
        <w:pStyle w:val="Heading2"/>
      </w:pPr>
      <w:r>
        <w:t xml:space="preserve">Acknowledgements</w:t>
      </w:r>
    </w:p>
    <w:p>
      <w:pPr>
        <w:pStyle w:val="FirstParagraph"/>
      </w:pPr>
      <w:r>
        <w:t xml:space="preserve">Data for this project were accessed using the Stanford Center for Population Health Sciences Data Core. The PHS Data Core is supported by a National Institutes of Health National Center for Advancing Translational Science Clinical and Translational Science Award (UL1TR003142) and from Internal Stanford funding. The content is solely the responsibility of the authors and does not necessarily represent the official views of the NIH. We wish to acknowledge and thank the ABFM PRIME Registry participating clinicians and the American Board of Family Medicine, without whom the American Family Cohort would not be possible.</w:t>
      </w:r>
    </w:p>
    <w:bookmarkEnd w:id="61"/>
    <w:bookmarkStart w:id="62" w:name="conflicts-of-interest"/>
    <w:p>
      <w:pPr>
        <w:pStyle w:val="Heading2"/>
      </w:pPr>
      <w:r>
        <w:t xml:space="preserve">Conflicts of interest</w:t>
      </w:r>
    </w:p>
    <w:p>
      <w:pPr>
        <w:pStyle w:val="FirstParagraph"/>
      </w:pPr>
      <w:r>
        <w:t xml:space="preserve">The authors declare no potential conflicts of interest with respect to the research, authorship, and/or publication of this article.</w:t>
      </w:r>
    </w:p>
    <w:bookmarkEnd w:id="62"/>
    <w:bookmarkStart w:id="63" w:name="funding-statement"/>
    <w:p>
      <w:pPr>
        <w:pStyle w:val="Heading2"/>
      </w:pPr>
      <w:r>
        <w:t xml:space="preserve">Funding statement</w:t>
      </w:r>
    </w:p>
    <w:p>
      <w:pPr>
        <w:pStyle w:val="FirstParagraph"/>
      </w:pPr>
      <w:r>
        <w:t xml:space="preserve">Financial support for this study was provided by the National Institutes of Health. Marika Cusick, Malcolm Barrett, Fernando Alarid-Escudero, Jeremy D. Goldhaber-Fiebert and Sherri Rose were supported by NIH Director’s Pioneer Award DP1LM014278. The funding agencies had no role in the design of the study, interpretation of results, or writing of the manuscript. The funding agreement ensured the authors’ independence in designing the study, interpreting the data, writing, and publishing the report.</w:t>
      </w:r>
    </w:p>
    <w:bookmarkEnd w:id="63"/>
    <w:bookmarkStart w:id="64" w:name="ethics-statement"/>
    <w:p>
      <w:pPr>
        <w:pStyle w:val="Heading2"/>
      </w:pPr>
      <w:r>
        <w:t xml:space="preserve">Ethics statement</w:t>
      </w:r>
    </w:p>
    <w:p>
      <w:pPr>
        <w:pStyle w:val="FirstParagraph"/>
      </w:pPr>
      <w:r>
        <w:t xml:space="preserve">This study was approved by the Stanford University Institutional Review Board.</w:t>
      </w:r>
    </w:p>
    <w:bookmarkEnd w:id="64"/>
    <w:bookmarkStart w:id="66" w:name="data-availability"/>
    <w:p>
      <w:pPr>
        <w:pStyle w:val="Heading2"/>
      </w:pPr>
      <w:r>
        <w:t xml:space="preserve">Data availability</w:t>
      </w:r>
    </w:p>
    <w:p>
      <w:pPr>
        <w:pStyle w:val="FirstParagraph"/>
      </w:pPr>
      <w:r>
        <w:t xml:space="preserve">The data underlying this article cannot be shared publicly to protect the privacy of the individuals in the American Board of Family Medicine PRIME primary care electronic health record registry. The code to reproduce our results is available at:</w:t>
      </w:r>
      <w:r>
        <w:t xml:space="preserve"> </w:t>
      </w:r>
      <w:hyperlink r:id="rId65">
        <w:r>
          <w:rPr>
            <w:rStyle w:val="Hyperlink"/>
          </w:rPr>
          <w:t xml:space="preserve">https://github.com/StanfordHPDS/hypertension-guideline-microsim</w:t>
        </w:r>
      </w:hyperlink>
      <w:r>
        <w:t xml:space="preserve">.</w:t>
      </w:r>
    </w:p>
    <w:bookmarkEnd w:id="66"/>
    <w:bookmarkStart w:id="67" w:name="author-contributions"/>
    <w:p>
      <w:pPr>
        <w:pStyle w:val="Heading2"/>
      </w:pPr>
      <w:r>
        <w:t xml:space="preserve">Author contributions</w:t>
      </w:r>
    </w:p>
    <w:p>
      <w:pPr>
        <w:pStyle w:val="FirstParagraph"/>
      </w:pPr>
      <w:r>
        <w:t xml:space="preserve">Marika Cusick (Conceptualization, Methodology, Formal analysis, Visualization, Writing – original draft, Writing – review &amp; editing), Malcolm Barrett (Formal analysis, Software, Writing – review &amp; editing), Fernando Alarid-Escudero (Methodology, Writing – review &amp; editing), Jeremy Goldhaber-Fiebert (Conceptualization, Formal analysis, Methodology, Writing – review &amp; editing), Sherri Rose (Conceptualization, Methodology, Supervision, Writing – original draft, Writing – review &amp; editing, Funding acquisition)</w:t>
      </w:r>
    </w:p>
    <w:bookmarkEnd w:id="67"/>
    <w:bookmarkStart w:id="256" w:name="supplement"/>
    <w:p>
      <w:pPr>
        <w:pStyle w:val="Heading2"/>
      </w:pPr>
      <w:r>
        <w:t xml:space="preserve">6 Supplement</w:t>
      </w:r>
    </w:p>
    <w:bookmarkStart w:id="69" w:name="sec-base-case-param"/>
    <w:p>
      <w:pPr>
        <w:pStyle w:val="Heading3"/>
      </w:pPr>
      <w:r>
        <w:t xml:space="preserve">6.1 Microsimulation model parameters</w:t>
      </w:r>
    </w:p>
    <w:tbl>
      <w:tblPr>
        <w:tblStyle w:val="Table"/>
        <w:tblW w:type="pct" w:w="5000"/>
        <w:tblLayout w:type="fixed"/>
        <w:tblLook w:firstRow="0" w:lastRow="0" w:firstColumn="0" w:lastColumn="0" w:noHBand="0" w:noVBand="0" w:val="0000"/>
      </w:tblPr>
      <w:tblGrid>
        <w:gridCol w:w="7920"/>
      </w:tblGrid>
      <w:tr>
        <w:tc>
          <w:tcPr/>
          <w:bookmarkStart w:id="68" w:name="supptbl-base-case"/>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Parameter</w:t>
                  </w:r>
                </w:p>
              </w:tc>
              <w:tc>
                <w:tcPr/>
                <w:p>
                  <w:pPr>
                    <w:pStyle w:val="Compact"/>
                    <w:jc w:val="center"/>
                  </w:pPr>
                  <w:r>
                    <w:t xml:space="preserve">Dependencies</w:t>
                  </w:r>
                </w:p>
              </w:tc>
              <w:tc>
                <w:tcPr/>
                <w:p>
                  <w:pPr>
                    <w:pStyle w:val="Compact"/>
                    <w:jc w:val="center"/>
                  </w:pPr>
                  <w:r>
                    <w:t xml:space="preserve">Data</w:t>
                  </w:r>
                </w:p>
              </w:tc>
            </w:tr>
            <w:tr>
              <w:tc>
                <w:tcPr/>
                <w:p>
                  <w:pPr>
                    <w:pStyle w:val="Compact"/>
                    <w:jc w:val="center"/>
                  </w:pPr>
                  <w:r>
                    <w:t xml:space="preserve">Simulation cohort</w:t>
                  </w:r>
                </w:p>
              </w:tc>
              <w:tc>
                <w:tcPr/>
                <w:p>
                  <w:pPr>
                    <w:pStyle w:val="Compact"/>
                    <w:jc w:val="center"/>
                  </w:pPr>
                  <w:r>
                    <w:t xml:space="preserve">Age, sex, race/ethnicity, systolic and diastolic blood pressure values</w:t>
                  </w:r>
                </w:p>
              </w:tc>
              <w:tc>
                <w:tcPr/>
                <w:p>
                  <w:pPr>
                    <w:pStyle w:val="Compact"/>
                    <w:jc w:val="center"/>
                  </w:pPr>
                  <w:r>
                    <w:t xml:space="preserve">NHANES</w:t>
                  </w:r>
                  <w:r>
                    <w:rPr>
                      <w:vertAlign w:val="superscript"/>
                    </w:rPr>
                    <w:t xml:space="preserve">22</w:t>
                  </w:r>
                </w:p>
              </w:tc>
            </w:tr>
            <w:tr>
              <w:tc>
                <w:tcPr/>
                <w:p>
                  <w:pPr>
                    <w:pStyle w:val="Compact"/>
                    <w:jc w:val="center"/>
                  </w:pPr>
                  <w:r>
                    <w:rPr>
                      <w:i/>
                      <w:iCs/>
                    </w:rPr>
                    <w:t xml:space="preserve">Disease natural history parameters</w:t>
                  </w:r>
                </w:p>
              </w:tc>
              <w:tc>
                <w:tcPr/>
                <w:p>
                  <w:pPr>
                    <w:pStyle w:val="Compact"/>
                  </w:pPr>
                </w:p>
              </w:tc>
              <w:tc>
                <w:tcPr/>
                <w:p>
                  <w:pPr>
                    <w:pStyle w:val="Compact"/>
                  </w:pPr>
                </w:p>
              </w:tc>
            </w:tr>
            <w:tr>
              <w:tc>
                <w:tcPr/>
                <w:p>
                  <w:pPr>
                    <w:pStyle w:val="Compact"/>
                    <w:jc w:val="center"/>
                  </w:pPr>
                  <w:r>
                    <w:t xml:space="preserve">Systolic blood pressure values</w:t>
                  </w:r>
                </w:p>
              </w:tc>
              <w:tc>
                <w:tcPr/>
                <w:p>
                  <w:pPr>
                    <w:pStyle w:val="Compact"/>
                    <w:jc w:val="center"/>
                  </w:pPr>
                  <w:r>
                    <w:t xml:space="preserve">Age, sex</w:t>
                  </w:r>
                </w:p>
              </w:tc>
              <w:tc>
                <w:tcPr/>
                <w:p>
                  <w:pPr>
                    <w:pStyle w:val="Compact"/>
                    <w:jc w:val="center"/>
                  </w:pPr>
                  <w:r>
                    <w:t xml:space="preserve">PRIME</w:t>
                  </w:r>
                  <w:r>
                    <w:rPr>
                      <w:vertAlign w:val="superscript"/>
                    </w:rPr>
                    <w:t xml:space="preserve">23,24</w:t>
                  </w:r>
                </w:p>
              </w:tc>
            </w:tr>
            <w:tr>
              <w:tc>
                <w:tcPr/>
                <w:p>
                  <w:pPr>
                    <w:pStyle w:val="Compact"/>
                    <w:jc w:val="center"/>
                  </w:pPr>
                  <w:r>
                    <w:t xml:space="preserve">Diastolic blood pressure values</w:t>
                  </w:r>
                </w:p>
              </w:tc>
              <w:tc>
                <w:tcPr/>
                <w:p>
                  <w:pPr>
                    <w:pStyle w:val="Compact"/>
                    <w:jc w:val="center"/>
                  </w:pPr>
                  <w:r>
                    <w:t xml:space="preserve">Age, sex</w:t>
                  </w:r>
                </w:p>
              </w:tc>
              <w:tc>
                <w:tcPr/>
                <w:p>
                  <w:pPr>
                    <w:pStyle w:val="Compact"/>
                    <w:jc w:val="center"/>
                  </w:pPr>
                  <w:r>
                    <w:t xml:space="preserve">PRIME</w:t>
                  </w:r>
                  <w:r>
                    <w:rPr>
                      <w:vertAlign w:val="superscript"/>
                    </w:rPr>
                    <w:t xml:space="preserve">23,24</w:t>
                  </w:r>
                </w:p>
              </w:tc>
            </w:tr>
            <w:tr>
              <w:tc>
                <w:tcPr/>
                <w:p>
                  <w:pPr>
                    <w:pStyle w:val="Compact"/>
                    <w:jc w:val="center"/>
                  </w:pPr>
                  <w:r>
                    <w:t xml:space="preserve">Hypertension mortality risk (hazard ratio)</w:t>
                  </w:r>
                </w:p>
              </w:tc>
              <w:tc>
                <w:tcPr/>
                <w:p>
                  <w:pPr>
                    <w:pStyle w:val="Compact"/>
                    <w:jc w:val="center"/>
                  </w:pPr>
                  <w:r>
                    <w:t xml:space="preserve">Systolic and diastolic blood pressure values</w:t>
                  </w:r>
                </w:p>
              </w:tc>
              <w:tc>
                <w:tcPr/>
                <w:p>
                  <w:pPr>
                    <w:pStyle w:val="Compact"/>
                    <w:jc w:val="center"/>
                  </w:pPr>
                  <w:r>
                    <w:t xml:space="preserve">Hansen et al.</w:t>
                  </w:r>
                  <w:r>
                    <w:rPr>
                      <w:vertAlign w:val="superscript"/>
                    </w:rPr>
                    <w:t xml:space="preserve">27</w:t>
                  </w:r>
                </w:p>
              </w:tc>
            </w:tr>
            <w:tr>
              <w:tc>
                <w:tcPr/>
                <w:p>
                  <w:pPr>
                    <w:pStyle w:val="Compact"/>
                    <w:jc w:val="center"/>
                  </w:pPr>
                  <w:r>
                    <w:t xml:space="preserve">Baseline mortality rates</w:t>
                  </w:r>
                </w:p>
              </w:tc>
              <w:tc>
                <w:tcPr/>
                <w:p>
                  <w:pPr>
                    <w:pStyle w:val="Compact"/>
                    <w:jc w:val="center"/>
                  </w:pPr>
                  <w:r>
                    <w:t xml:space="preserve">Age, sex, race/ethnicity</w:t>
                  </w:r>
                </w:p>
              </w:tc>
              <w:tc>
                <w:tcPr/>
                <w:p>
                  <w:pPr>
                    <w:pStyle w:val="Compact"/>
                    <w:jc w:val="center"/>
                  </w:pPr>
                  <w:r>
                    <w:t xml:space="preserve">2021 U.S. life tables</w:t>
                  </w:r>
                  <w:r>
                    <w:rPr>
                      <w:vertAlign w:val="superscript"/>
                    </w:rPr>
                    <w:t xml:space="preserve">25</w:t>
                  </w:r>
                </w:p>
              </w:tc>
            </w:tr>
            <w:tr>
              <w:tc>
                <w:tcPr/>
                <w:p>
                  <w:pPr>
                    <w:pStyle w:val="Compact"/>
                    <w:jc w:val="center"/>
                  </w:pPr>
                  <w:r>
                    <w:rPr>
                      <w:i/>
                      <w:iCs/>
                    </w:rPr>
                    <w:t xml:space="preserve">Health system utilization parameters</w:t>
                  </w:r>
                </w:p>
              </w:tc>
              <w:tc>
                <w:tcPr/>
                <w:p>
                  <w:pPr>
                    <w:pStyle w:val="Compact"/>
                  </w:pPr>
                </w:p>
              </w:tc>
              <w:tc>
                <w:tcPr/>
                <w:p>
                  <w:pPr>
                    <w:pStyle w:val="Compact"/>
                  </w:pPr>
                </w:p>
              </w:tc>
            </w:tr>
            <w:tr>
              <w:tc>
                <w:tcPr/>
                <w:p>
                  <w:pPr>
                    <w:pStyle w:val="Compact"/>
                    <w:jc w:val="center"/>
                  </w:pPr>
                  <w:r>
                    <w:t xml:space="preserve">Transition to detected/treated</w:t>
                  </w:r>
                </w:p>
              </w:tc>
              <w:tc>
                <w:tcPr/>
                <w:p>
                  <w:pPr>
                    <w:pStyle w:val="Compact"/>
                    <w:jc w:val="center"/>
                  </w:pPr>
                  <w:r>
                    <w:t xml:space="preserve">Age, sex, systolic and diastolic blood pressure values</w:t>
                  </w:r>
                </w:p>
              </w:tc>
              <w:tc>
                <w:tcPr/>
                <w:p>
                  <w:pPr>
                    <w:pStyle w:val="Compact"/>
                    <w:jc w:val="center"/>
                  </w:pPr>
                  <w:r>
                    <w:t xml:space="preserve">PRIME</w:t>
                  </w:r>
                  <w:r>
                    <w:rPr>
                      <w:vertAlign w:val="superscript"/>
                    </w:rPr>
                    <w:t xml:space="preserve">23,24</w:t>
                  </w:r>
                </w:p>
              </w:tc>
            </w:tr>
            <w:tr>
              <w:tc>
                <w:tcPr/>
                <w:p>
                  <w:pPr>
                    <w:pStyle w:val="Compact"/>
                    <w:jc w:val="center"/>
                  </w:pPr>
                  <w:r>
                    <w:t xml:space="preserve">Transition to discontinued treatment</w:t>
                  </w:r>
                </w:p>
              </w:tc>
              <w:tc>
                <w:tcPr/>
                <w:p>
                  <w:pPr>
                    <w:pStyle w:val="Compact"/>
                    <w:jc w:val="center"/>
                  </w:pPr>
                  <w:r>
                    <w:t xml:space="preserve">Type of antihypertensive therapy</w:t>
                  </w:r>
                </w:p>
              </w:tc>
              <w:tc>
                <w:tcPr/>
                <w:p>
                  <w:pPr>
                    <w:pStyle w:val="Compact"/>
                    <w:jc w:val="center"/>
                  </w:pPr>
                  <w:r>
                    <w:t xml:space="preserve">ALLHAT</w:t>
                  </w:r>
                  <w:r>
                    <w:rPr>
                      <w:vertAlign w:val="superscript"/>
                    </w:rPr>
                    <w:t xml:space="preserve">28</w:t>
                  </w:r>
                </w:p>
              </w:tc>
            </w:tr>
            <w:tr>
              <w:tc>
                <w:tcPr/>
                <w:p>
                  <w:pPr>
                    <w:pStyle w:val="Compact"/>
                    <w:jc w:val="center"/>
                  </w:pPr>
                  <w:r>
                    <w:rPr>
                      <w:i/>
                      <w:iCs/>
                    </w:rPr>
                    <w:t xml:space="preserve">Antihypertensive treatment parameters</w:t>
                  </w:r>
                </w:p>
              </w:tc>
              <w:tc>
                <w:tcPr/>
                <w:p>
                  <w:pPr>
                    <w:pStyle w:val="Compact"/>
                  </w:pPr>
                </w:p>
              </w:tc>
              <w:tc>
                <w:tcPr/>
                <w:p>
                  <w:pPr>
                    <w:pStyle w:val="Compact"/>
                  </w:pPr>
                </w:p>
              </w:tc>
            </w:tr>
            <w:tr>
              <w:tc>
                <w:tcPr/>
                <w:p>
                  <w:pPr>
                    <w:pStyle w:val="Compact"/>
                    <w:jc w:val="center"/>
                  </w:pPr>
                  <w:r>
                    <w:t xml:space="preserve">Antihypertensive monotherapy utilization</w:t>
                  </w:r>
                </w:p>
              </w:tc>
              <w:tc>
                <w:tcPr/>
                <w:p>
                  <w:pPr>
                    <w:pStyle w:val="Compact"/>
                    <w:jc w:val="center"/>
                  </w:pPr>
                  <w:r>
                    <w:t xml:space="preserve">Race/ethnicity (when using treatment guidelines that vary by race/ethnicity)</w:t>
                  </w:r>
                </w:p>
              </w:tc>
              <w:tc>
                <w:tcPr/>
                <w:p>
                  <w:pPr>
                    <w:pStyle w:val="Compact"/>
                    <w:jc w:val="center"/>
                  </w:pPr>
                  <w:r>
                    <w:t xml:space="preserve">Holt et al.</w:t>
                  </w:r>
                  <w:r>
                    <w:rPr>
                      <w:vertAlign w:val="superscript"/>
                    </w:rPr>
                    <w:t xml:space="preserve">29</w:t>
                  </w:r>
                </w:p>
              </w:tc>
            </w:tr>
            <w:tr>
              <w:tc>
                <w:tcPr/>
                <w:p>
                  <w:pPr>
                    <w:pStyle w:val="Compact"/>
                    <w:jc w:val="center"/>
                  </w:pPr>
                  <w:r>
                    <w:t xml:space="preserve">Antihypertensive treatment blood pressure reductions</w:t>
                  </w:r>
                </w:p>
              </w:tc>
              <w:tc>
                <w:tcPr/>
                <w:p>
                  <w:pPr>
                    <w:pStyle w:val="Compact"/>
                    <w:jc w:val="center"/>
                  </w:pPr>
                  <w:r>
                    <w:t xml:space="preserve">Race/ethnicity (if heterogeneous effects are assumed), type of antihypertensive treatment</w:t>
                  </w:r>
                </w:p>
              </w:tc>
              <w:tc>
                <w:tcPr/>
                <w:p>
                  <w:pPr>
                    <w:pStyle w:val="Compact"/>
                    <w:jc w:val="center"/>
                  </w:pPr>
                  <w:r>
                    <w:t xml:space="preserve">ALLHAT</w:t>
                  </w:r>
                  <w:r>
                    <w:rPr>
                      <w:vertAlign w:val="superscript"/>
                    </w:rPr>
                    <w:t xml:space="preserve">28</w:t>
                  </w:r>
                </w:p>
              </w:tc>
            </w:tr>
          </w:tbl>
          <w:p>
            <w:pPr>
              <w:jc w:val="center"/>
            </w:pPr>
            <w:pPr>
              <w:jc w:val="left"/>
              <w:spacing w:before="200"/>
              <w:pStyle w:val="ImageCaption"/>
            </w:pPr>
            <w:r>
              <w:t xml:space="preserve">Table S1: Model parameter dependencies and data sources</w:t>
            </w:r>
          </w:p>
          <w:bookmarkEnd w:id="68"/>
        </w:tc>
      </w:tr>
    </w:tbl>
    <w:bookmarkEnd w:id="69"/>
    <w:bookmarkStart w:id="73" w:name="sec-multi-copula"/>
    <w:p>
      <w:pPr>
        <w:pStyle w:val="Heading3"/>
      </w:pPr>
      <w:r>
        <w:t xml:space="preserve">6.2 Multivariate copula</w:t>
      </w:r>
    </w:p>
    <w:p>
      <w:pPr>
        <w:pStyle w:val="FirstParagraph"/>
      </w:pPr>
      <w:r>
        <w:t xml:space="preserve">To define our simulation cohort of interest, we used NHANES data from the 2013-2014, 2015-2016, and 2017-2018 years to fit a Gaussian multivariate copula. We selected a cohort of NHANES participants who were 18 years or older, self-identified as Non-Hispanic Black or non-Hispanic white, and self-reported not currently being on antihypertensive medication (n=6,939 survey participants). Continuous demographic and clinical variables of interest included age, family income to poverty ratio, number of healthcare visits in the past year, and systolic and diastolic blood pressure values. Binary variables of interest included sex (male or female), race/ethnicity (non-Hispanic Black or non-Hispanic white), and indicators for having a routine place for healthcare, having health insurance coverage, living below the poverty threshold, having less than 12 years of education, residing in a rented housing unit, being employed, living in a crowded housing unit, and being a single parent. We sampled one million synthetic individuals from the fitted multivariate copula and compared</w:t>
      </w:r>
      <w:r>
        <w:t xml:space="preserve"> </w:t>
      </w:r>
      <w:r>
        <w:t xml:space="preserve">marginal distributions and correlation matrices between NHANES and the synthetic cohort (</w:t>
      </w:r>
      <w:hyperlink w:anchor="Xea698d028af36e21d327c09eed5ac4b6e72bc6d">
        <w:r>
          <w:rPr>
            <w:rStyle w:val="Hyperlink"/>
          </w:rPr>
          <w:t xml:space="preserve">Table S2</w:t>
        </w:r>
      </w:hyperlink>
      <w:r>
        <w:t xml:space="preserve">,</w:t>
      </w:r>
      <w:r>
        <w:t xml:space="preserve"> </w:t>
      </w:r>
      <w:hyperlink w:anchor="supptbl-multivariate-copula-correlations">
        <w:r>
          <w:rPr>
            <w:rStyle w:val="Hyperlink"/>
          </w:rPr>
          <w:t xml:space="preserve">Table S3</w:t>
        </w:r>
      </w:hyperlink>
      <w:r>
        <w:t xml:space="preserve">). A Mantel test was conducted with a resulting p-value of &lt;0.01 for the association between NHANES and synthetic cohort variable correlation matrices. This supports the preservation of NHANES correlation in our synthetic cohort. The final simulation cohort consisted of 50,000 non-Hispanic Black and 50,000 non-Hispanic white individuals aged 35 to 45 years, sampled at random from the synthetic copula cohort. Demographic and clinical characteristics by race/ethnicity are provided in</w:t>
      </w:r>
      <w:r>
        <w:t xml:space="preserve"> </w:t>
      </w:r>
      <w:hyperlink w:anchor="supptbl-cohort-characteristics">
        <w:r>
          <w:rPr>
            <w:rStyle w:val="Hyperlink"/>
          </w:rPr>
          <w:t xml:space="preserve">Table S4</w:t>
        </w:r>
      </w:hyperlink>
      <w:r>
        <w:t xml:space="preserve">. Individuals aged 35 to 45 years were sampled to increase the number of eligible synthetic individuals near the model starting age. All individuals were initialized at age 40 for the simulation. For comparability between the main and secondary analyses, we relied on the same simulation cohort.</w:t>
      </w:r>
    </w:p>
    <w:tbl>
      <w:tblPr>
        <w:tblStyle w:val="Table"/>
        <w:tblW w:type="pct" w:w="5000"/>
        <w:tblLayout w:type="fixed"/>
        <w:tblLook w:firstRow="0" w:lastRow="0" w:firstColumn="0" w:lastColumn="0" w:noHBand="0" w:noVBand="0" w:val="0000"/>
      </w:tblPr>
      <w:tblGrid>
        <w:gridCol w:w="7920"/>
      </w:tblGrid>
      <w:tr>
        <w:tc>
          <w:tcPr/>
          <w:bookmarkStart w:id="70" w:name="Xea698d028af36e21d327c09eed5ac4b6e72bc6d"/>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Variable</w:t>
                  </w:r>
                </w:p>
              </w:tc>
              <w:tc>
                <w:tcPr/>
                <w:p>
                  <w:pPr>
                    <w:pStyle w:val="Compact"/>
                    <w:jc w:val="center"/>
                  </w:pPr>
                  <w:r>
                    <w:t xml:space="preserve">Distribution</w:t>
                  </w:r>
                </w:p>
              </w:tc>
              <w:tc>
                <w:tcPr/>
                <w:p>
                  <w:pPr>
                    <w:pStyle w:val="Compact"/>
                    <w:jc w:val="center"/>
                  </w:pPr>
                  <w:r>
                    <w:t xml:space="preserve">NHANES (%)</w:t>
                  </w:r>
                </w:p>
              </w:tc>
              <w:tc>
                <w:tcPr/>
                <w:p>
                  <w:pPr>
                    <w:pStyle w:val="Compact"/>
                    <w:jc w:val="center"/>
                  </w:pPr>
                  <w:r>
                    <w:t xml:space="preserve">Synthetic Cohort (%)</w:t>
                  </w:r>
                </w:p>
              </w:tc>
            </w:tr>
            <w:tr>
              <w:tc>
                <w:tcPr/>
                <w:p>
                  <w:pPr>
                    <w:pStyle w:val="Compact"/>
                    <w:jc w:val="center"/>
                  </w:pPr>
                  <w:r>
                    <w:t xml:space="preserve">Female</w:t>
                  </w:r>
                </w:p>
              </w:tc>
              <w:tc>
                <w:tcPr/>
                <w:p>
                  <w:pPr>
                    <w:pStyle w:val="Compact"/>
                    <w:jc w:val="center"/>
                  </w:pPr>
                  <w:r>
                    <w:t xml:space="preserve">Bernoulli (p = 0.51)</w:t>
                  </w:r>
                </w:p>
              </w:tc>
              <w:tc>
                <w:tcPr/>
                <w:p>
                  <w:pPr>
                    <w:pStyle w:val="Compact"/>
                    <w:jc w:val="center"/>
                  </w:pPr>
                  <w:r>
                    <w:t xml:space="preserve">51%</w:t>
                  </w:r>
                </w:p>
              </w:tc>
              <w:tc>
                <w:tcPr/>
                <w:p>
                  <w:pPr>
                    <w:pStyle w:val="Compact"/>
                    <w:jc w:val="center"/>
                  </w:pPr>
                  <w:r>
                    <w:t xml:space="preserve">51%</w:t>
                  </w:r>
                </w:p>
              </w:tc>
            </w:tr>
            <w:tr>
              <w:tc>
                <w:tcPr/>
                <w:p>
                  <w:pPr>
                    <w:pStyle w:val="Compact"/>
                    <w:jc w:val="center"/>
                  </w:pPr>
                  <w:r>
                    <w:t xml:space="preserve">Non-Hispanic Black</w:t>
                  </w:r>
                </w:p>
              </w:tc>
              <w:tc>
                <w:tcPr/>
                <w:p>
                  <w:pPr>
                    <w:pStyle w:val="Compact"/>
                    <w:jc w:val="center"/>
                  </w:pPr>
                  <w:r>
                    <w:t xml:space="preserve">Bernoulli (p = 0.14)</w:t>
                  </w:r>
                </w:p>
              </w:tc>
              <w:tc>
                <w:tcPr/>
                <w:p>
                  <w:pPr>
                    <w:pStyle w:val="Compact"/>
                    <w:jc w:val="center"/>
                  </w:pPr>
                  <w:r>
                    <w:t xml:space="preserve">14%</w:t>
                  </w:r>
                </w:p>
              </w:tc>
              <w:tc>
                <w:tcPr/>
                <w:p>
                  <w:pPr>
                    <w:pStyle w:val="Compact"/>
                    <w:jc w:val="center"/>
                  </w:pPr>
                  <w:r>
                    <w:t xml:space="preserve">14%</w:t>
                  </w:r>
                </w:p>
              </w:tc>
            </w:tr>
            <w:tr>
              <w:tc>
                <w:tcPr/>
                <w:p>
                  <w:pPr>
                    <w:pStyle w:val="Compact"/>
                    <w:jc w:val="center"/>
                  </w:pPr>
                  <w:r>
                    <w:t xml:space="preserve">Has place for routine healthcare</w:t>
                  </w:r>
                </w:p>
              </w:tc>
              <w:tc>
                <w:tcPr/>
                <w:p>
                  <w:pPr>
                    <w:pStyle w:val="Compact"/>
                    <w:jc w:val="center"/>
                  </w:pPr>
                  <w:r>
                    <w:t xml:space="preserve">Bernoulli (p = 0.82)</w:t>
                  </w:r>
                </w:p>
              </w:tc>
              <w:tc>
                <w:tcPr/>
                <w:p>
                  <w:pPr>
                    <w:pStyle w:val="Compact"/>
                    <w:jc w:val="center"/>
                  </w:pPr>
                  <w:r>
                    <w:t xml:space="preserve">82%</w:t>
                  </w:r>
                </w:p>
              </w:tc>
              <w:tc>
                <w:tcPr/>
                <w:p>
                  <w:pPr>
                    <w:pStyle w:val="Compact"/>
                    <w:jc w:val="center"/>
                  </w:pPr>
                  <w:r>
                    <w:t xml:space="preserve">82%</w:t>
                  </w:r>
                </w:p>
              </w:tc>
            </w:tr>
            <w:tr>
              <w:tc>
                <w:tcPr/>
                <w:p>
                  <w:pPr>
                    <w:pStyle w:val="Compact"/>
                    <w:jc w:val="center"/>
                  </w:pPr>
                  <w:r>
                    <w:t xml:space="preserve">Has health insurance</w:t>
                  </w:r>
                </w:p>
              </w:tc>
              <w:tc>
                <w:tcPr/>
                <w:p>
                  <w:pPr>
                    <w:pStyle w:val="Compact"/>
                    <w:jc w:val="center"/>
                  </w:pPr>
                  <w:r>
                    <w:t xml:space="preserve">Bernoulli (p = 0.86)</w:t>
                  </w:r>
                </w:p>
              </w:tc>
              <w:tc>
                <w:tcPr/>
                <w:p>
                  <w:pPr>
                    <w:pStyle w:val="Compact"/>
                    <w:jc w:val="center"/>
                  </w:pPr>
                  <w:r>
                    <w:t xml:space="preserve">86%</w:t>
                  </w:r>
                </w:p>
              </w:tc>
              <w:tc>
                <w:tcPr/>
                <w:p>
                  <w:pPr>
                    <w:pStyle w:val="Compact"/>
                    <w:jc w:val="center"/>
                  </w:pPr>
                  <w:r>
                    <w:t xml:space="preserve">86%</w:t>
                  </w:r>
                </w:p>
              </w:tc>
            </w:tr>
            <w:tr>
              <w:tc>
                <w:tcPr/>
                <w:p>
                  <w:pPr>
                    <w:pStyle w:val="Compact"/>
                    <w:jc w:val="center"/>
                  </w:pPr>
                  <w:r>
                    <w:t xml:space="preserve">Below poverty threshold</w:t>
                  </w:r>
                </w:p>
              </w:tc>
              <w:tc>
                <w:tcPr/>
                <w:p>
                  <w:pPr>
                    <w:pStyle w:val="Compact"/>
                    <w:jc w:val="center"/>
                  </w:pPr>
                  <w:r>
                    <w:t xml:space="preserve">Bernoulli (p = 0.12)</w:t>
                  </w:r>
                </w:p>
              </w:tc>
              <w:tc>
                <w:tcPr/>
                <w:p>
                  <w:pPr>
                    <w:pStyle w:val="Compact"/>
                    <w:jc w:val="center"/>
                  </w:pPr>
                  <w:r>
                    <w:t xml:space="preserve">12%</w:t>
                  </w:r>
                </w:p>
              </w:tc>
              <w:tc>
                <w:tcPr/>
                <w:p>
                  <w:pPr>
                    <w:pStyle w:val="Compact"/>
                    <w:jc w:val="center"/>
                  </w:pPr>
                  <w:r>
                    <w:t xml:space="preserve">12%</w:t>
                  </w:r>
                </w:p>
              </w:tc>
            </w:tr>
            <w:tr>
              <w:tc>
                <w:tcPr/>
                <w:p>
                  <w:pPr>
                    <w:pStyle w:val="Compact"/>
                    <w:jc w:val="center"/>
                  </w:pPr>
                  <w:r>
                    <w:t xml:space="preserve">Less than 12 years of education</w:t>
                  </w:r>
                </w:p>
              </w:tc>
              <w:tc>
                <w:tcPr/>
                <w:p>
                  <w:pPr>
                    <w:pStyle w:val="Compact"/>
                    <w:jc w:val="center"/>
                  </w:pPr>
                  <w:r>
                    <w:t xml:space="preserve">Bernoulli (p = 0.08)</w:t>
                  </w:r>
                </w:p>
              </w:tc>
              <w:tc>
                <w:tcPr/>
                <w:p>
                  <w:pPr>
                    <w:pStyle w:val="Compact"/>
                    <w:jc w:val="center"/>
                  </w:pPr>
                  <w:r>
                    <w:t xml:space="preserve">8%</w:t>
                  </w:r>
                </w:p>
              </w:tc>
              <w:tc>
                <w:tcPr/>
                <w:p>
                  <w:pPr>
                    <w:pStyle w:val="Compact"/>
                    <w:jc w:val="center"/>
                  </w:pPr>
                  <w:r>
                    <w:t xml:space="preserve">8%</w:t>
                  </w:r>
                </w:p>
              </w:tc>
            </w:tr>
            <w:tr>
              <w:tc>
                <w:tcPr/>
                <w:p>
                  <w:pPr>
                    <w:pStyle w:val="Compact"/>
                    <w:jc w:val="center"/>
                  </w:pPr>
                  <w:r>
                    <w:t xml:space="preserve">Rented housing unit</w:t>
                  </w:r>
                </w:p>
              </w:tc>
              <w:tc>
                <w:tcPr/>
                <w:p>
                  <w:pPr>
                    <w:pStyle w:val="Compact"/>
                    <w:jc w:val="center"/>
                  </w:pPr>
                  <w:r>
                    <w:t xml:space="preserve">Bernoulli (p = 0.31)</w:t>
                  </w:r>
                </w:p>
              </w:tc>
              <w:tc>
                <w:tcPr/>
                <w:p>
                  <w:pPr>
                    <w:pStyle w:val="Compact"/>
                    <w:jc w:val="center"/>
                  </w:pPr>
                  <w:r>
                    <w:t xml:space="preserve">31%</w:t>
                  </w:r>
                </w:p>
              </w:tc>
              <w:tc>
                <w:tcPr/>
                <w:p>
                  <w:pPr>
                    <w:pStyle w:val="Compact"/>
                    <w:jc w:val="center"/>
                  </w:pPr>
                  <w:r>
                    <w:t xml:space="preserve">31%</w:t>
                  </w:r>
                </w:p>
              </w:tc>
            </w:tr>
            <w:tr>
              <w:tc>
                <w:tcPr/>
                <w:p>
                  <w:pPr>
                    <w:pStyle w:val="Compact"/>
                    <w:jc w:val="center"/>
                  </w:pPr>
                  <w:r>
                    <w:t xml:space="preserve">Unemployed</w:t>
                  </w:r>
                </w:p>
              </w:tc>
              <w:tc>
                <w:tcPr/>
                <w:p>
                  <w:pPr>
                    <w:pStyle w:val="Compact"/>
                    <w:jc w:val="center"/>
                  </w:pPr>
                  <w:r>
                    <w:t xml:space="preserve">Bernoulli (p = 0.06)</w:t>
                  </w:r>
                </w:p>
              </w:tc>
              <w:tc>
                <w:tcPr/>
                <w:p>
                  <w:pPr>
                    <w:pStyle w:val="Compact"/>
                    <w:jc w:val="center"/>
                  </w:pPr>
                  <w:r>
                    <w:t xml:space="preserve">6%</w:t>
                  </w:r>
                </w:p>
              </w:tc>
              <w:tc>
                <w:tcPr/>
                <w:p>
                  <w:pPr>
                    <w:pStyle w:val="Compact"/>
                    <w:jc w:val="center"/>
                  </w:pPr>
                  <w:r>
                    <w:t xml:space="preserve">6%</w:t>
                  </w:r>
                </w:p>
              </w:tc>
            </w:tr>
            <w:tr>
              <w:tc>
                <w:tcPr/>
                <w:p>
                  <w:pPr>
                    <w:pStyle w:val="Compact"/>
                    <w:jc w:val="center"/>
                  </w:pPr>
                  <w:r>
                    <w:t xml:space="preserve">Living in a crowded housing unit</w:t>
                  </w:r>
                </w:p>
              </w:tc>
              <w:tc>
                <w:tcPr/>
                <w:p>
                  <w:pPr>
                    <w:pStyle w:val="Compact"/>
                    <w:jc w:val="center"/>
                  </w:pPr>
                  <w:r>
                    <w:t xml:space="preserve">Bernoulli (p = 0.04)</w:t>
                  </w:r>
                </w:p>
              </w:tc>
              <w:tc>
                <w:tcPr/>
                <w:p>
                  <w:pPr>
                    <w:pStyle w:val="Compact"/>
                    <w:jc w:val="center"/>
                  </w:pPr>
                  <w:r>
                    <w:t xml:space="preserve">4%</w:t>
                  </w:r>
                </w:p>
              </w:tc>
              <w:tc>
                <w:tcPr/>
                <w:p>
                  <w:pPr>
                    <w:pStyle w:val="Compact"/>
                    <w:jc w:val="center"/>
                  </w:pPr>
                  <w:r>
                    <w:t xml:space="preserve">4%</w:t>
                  </w:r>
                </w:p>
              </w:tc>
            </w:tr>
            <w:tr>
              <w:tc>
                <w:tcPr/>
                <w:p>
                  <w:pPr>
                    <w:pStyle w:val="Compact"/>
                    <w:jc w:val="center"/>
                  </w:pPr>
                  <w:r>
                    <w:t xml:space="preserve">Single parent</w:t>
                  </w:r>
                </w:p>
              </w:tc>
              <w:tc>
                <w:tcPr/>
                <w:p>
                  <w:pPr>
                    <w:pStyle w:val="Compact"/>
                    <w:jc w:val="center"/>
                  </w:pPr>
                  <w:r>
                    <w:t xml:space="preserve">Bernoulli (p = 0.10)</w:t>
                  </w:r>
                </w:p>
              </w:tc>
              <w:tc>
                <w:tcPr/>
                <w:p>
                  <w:pPr>
                    <w:pStyle w:val="Compact"/>
                    <w:jc w:val="center"/>
                  </w:pPr>
                  <w:r>
                    <w:t xml:space="preserve">10%</w:t>
                  </w:r>
                </w:p>
              </w:tc>
              <w:tc>
                <w:tcPr/>
                <w:p>
                  <w:pPr>
                    <w:pStyle w:val="Compact"/>
                    <w:jc w:val="center"/>
                  </w:pPr>
                  <w:r>
                    <w:t xml:space="preserve">10%</w:t>
                  </w:r>
                </w:p>
              </w:tc>
            </w:tr>
            <w:tr>
              <w:tc>
                <w:tcPr/>
                <w:p>
                  <w:pPr>
                    <w:pStyle w:val="Compact"/>
                    <w:jc w:val="center"/>
                  </w:pPr>
                  <w:r>
                    <w:t xml:space="preserve">Variable</w:t>
                  </w:r>
                </w:p>
              </w:tc>
              <w:tc>
                <w:tcPr/>
                <w:p>
                  <w:pPr>
                    <w:pStyle w:val="Compact"/>
                    <w:jc w:val="center"/>
                  </w:pPr>
                  <w:r>
                    <w:t xml:space="preserve">Distribution</w:t>
                  </w:r>
                </w:p>
              </w:tc>
              <w:tc>
                <w:tcPr/>
                <w:p>
                  <w:pPr>
                    <w:pStyle w:val="Compact"/>
                    <w:jc w:val="center"/>
                  </w:pPr>
                  <w:r>
                    <w:t xml:space="preserve">NHANES (Mean [SD])</w:t>
                  </w:r>
                </w:p>
              </w:tc>
              <w:tc>
                <w:tcPr/>
                <w:p>
                  <w:pPr>
                    <w:pStyle w:val="Compact"/>
                    <w:jc w:val="center"/>
                  </w:pPr>
                  <w:r>
                    <w:t xml:space="preserve">Synthetic Cohort (Mean [SD])</w:t>
                  </w:r>
                </w:p>
              </w:tc>
            </w:tr>
            <w:tr>
              <w:tc>
                <w:tcPr/>
                <w:p>
                  <w:pPr>
                    <w:pStyle w:val="Compact"/>
                    <w:jc w:val="center"/>
                  </w:pPr>
                  <w:r>
                    <w:t xml:space="preserve">Age</w:t>
                  </w:r>
                </w:p>
              </w:tc>
              <w:tc>
                <w:tcPr/>
                <w:p>
                  <w:pPr>
                    <w:pStyle w:val="Compact"/>
                    <w:jc w:val="center"/>
                  </w:pPr>
                  <w:r>
                    <w:t xml:space="preserve">Uniform (min =19, max =80)</w:t>
                  </w:r>
                </w:p>
              </w:tc>
              <w:tc>
                <w:tcPr/>
                <w:p>
                  <w:pPr>
                    <w:pStyle w:val="Compact"/>
                    <w:jc w:val="center"/>
                  </w:pPr>
                  <w:r>
                    <w:t xml:space="preserve">44.4 [16.6]</w:t>
                  </w:r>
                </w:p>
              </w:tc>
              <w:tc>
                <w:tcPr/>
                <w:p>
                  <w:pPr>
                    <w:pStyle w:val="Compact"/>
                    <w:jc w:val="center"/>
                  </w:pPr>
                  <w:r>
                    <w:t xml:space="preserve">49.5 [17.6]</w:t>
                  </w:r>
                </w:p>
              </w:tc>
            </w:tr>
            <w:tr>
              <w:tc>
                <w:tcPr/>
                <w:p>
                  <w:pPr>
                    <w:pStyle w:val="Compact"/>
                    <w:jc w:val="center"/>
                  </w:pPr>
                  <w:r>
                    <w:t xml:space="preserve">Ratio of family income to poverty</w:t>
                  </w:r>
                </w:p>
              </w:tc>
              <w:tc>
                <w:tcPr/>
                <w:p>
                  <w:pPr>
                    <w:pStyle w:val="Compact"/>
                    <w:jc w:val="center"/>
                  </w:pPr>
                  <w:r>
                    <w:t xml:space="preserve">Gamma (shape = 3, rate = 0.75)</w:t>
                  </w:r>
                </w:p>
              </w:tc>
              <w:tc>
                <w:tcPr/>
                <w:p>
                  <w:pPr>
                    <w:pStyle w:val="Compact"/>
                    <w:jc w:val="center"/>
                  </w:pPr>
                  <w:r>
                    <w:t xml:space="preserve">3.2 [1.6]</w:t>
                  </w:r>
                </w:p>
              </w:tc>
              <w:tc>
                <w:tcPr/>
                <w:p>
                  <w:pPr>
                    <w:pStyle w:val="Compact"/>
                    <w:jc w:val="center"/>
                  </w:pPr>
                  <w:r>
                    <w:t xml:space="preserve">3.5 [1.4]</w:t>
                  </w:r>
                </w:p>
              </w:tc>
            </w:tr>
            <w:tr>
              <w:tc>
                <w:tcPr/>
                <w:p>
                  <w:pPr>
                    <w:pStyle w:val="Compact"/>
                    <w:jc w:val="center"/>
                  </w:pPr>
                  <w:r>
                    <w:t xml:space="preserve">Times receiving healthcare in the past year</w:t>
                  </w:r>
                </w:p>
              </w:tc>
              <w:tc>
                <w:tcPr/>
                <w:p>
                  <w:pPr>
                    <w:pStyle w:val="Compact"/>
                    <w:jc w:val="center"/>
                  </w:pPr>
                  <w:r>
                    <w:t xml:space="preserve">Negative binomial (</w:t>
                  </w:r>
                  <m:oMath>
                    <m:r>
                      <m:t>μ</m:t>
                    </m:r>
                  </m:oMath>
                  <w:r>
                    <w:t xml:space="preserve"> </w:t>
                  </w:r>
                  <w:r>
                    <w:t xml:space="preserve">=3.65, shape=5)</w:t>
                  </w:r>
                </w:p>
              </w:tc>
              <w:tc>
                <w:tcPr/>
                <w:p>
                  <w:pPr>
                    <w:pStyle w:val="Compact"/>
                    <w:jc w:val="center"/>
                  </w:pPr>
                  <w:r>
                    <w:t xml:space="preserve">3.7 [4.2]</w:t>
                  </w:r>
                </w:p>
              </w:tc>
              <w:tc>
                <w:tcPr/>
                <w:p>
                  <w:pPr>
                    <w:pStyle w:val="Compact"/>
                    <w:jc w:val="center"/>
                  </w:pPr>
                  <w:r>
                    <w:t xml:space="preserve">3.7 [2.5]</w:t>
                  </w:r>
                </w:p>
              </w:tc>
            </w:tr>
            <w:tr>
              <w:tc>
                <w:tcPr/>
                <w:p>
                  <w:pPr>
                    <w:pStyle w:val="Compact"/>
                    <w:jc w:val="center"/>
                  </w:pPr>
                  <w:r>
                    <w:t xml:space="preserve">Systolic blood pressure</w:t>
                  </w:r>
                </w:p>
              </w:tc>
              <w:tc>
                <w:tcPr/>
                <w:p>
                  <w:pPr>
                    <w:pStyle w:val="Compact"/>
                    <w:jc w:val="center"/>
                  </w:pPr>
                  <w:r>
                    <w:t xml:space="preserve">Normal (mean = 120, sd= 16)</w:t>
                  </w:r>
                </w:p>
              </w:tc>
              <w:tc>
                <w:tcPr/>
                <w:p>
                  <w:pPr>
                    <w:pStyle w:val="Compact"/>
                    <w:jc w:val="center"/>
                  </w:pPr>
                  <w:r>
                    <w:t xml:space="preserve">120.1 [15.5]</w:t>
                  </w:r>
                </w:p>
              </w:tc>
              <w:tc>
                <w:tcPr/>
                <w:p>
                  <w:pPr>
                    <w:pStyle w:val="Compact"/>
                    <w:jc w:val="center"/>
                  </w:pPr>
                  <w:r>
                    <w:t xml:space="preserve">120.1 [15.5]</w:t>
                  </w:r>
                </w:p>
              </w:tc>
            </w:tr>
            <w:tr>
              <w:tc>
                <w:tcPr/>
                <w:p>
                  <w:pPr>
                    <w:pStyle w:val="Compact"/>
                    <w:jc w:val="center"/>
                  </w:pPr>
                  <w:r>
                    <w:t xml:space="preserve">Diastolic blood pressure</w:t>
                  </w:r>
                </w:p>
              </w:tc>
              <w:tc>
                <w:tcPr/>
                <w:p>
                  <w:pPr>
                    <w:pStyle w:val="Compact"/>
                    <w:jc w:val="center"/>
                  </w:pPr>
                  <w:r>
                    <w:t xml:space="preserve">Normal (mean = 71, sd = 11)</w:t>
                  </w:r>
                </w:p>
              </w:tc>
              <w:tc>
                <w:tcPr/>
                <w:p>
                  <w:pPr>
                    <w:pStyle w:val="Compact"/>
                    <w:jc w:val="center"/>
                  </w:pPr>
                  <w:r>
                    <w:t xml:space="preserve">70.9 [10.9]</w:t>
                  </w:r>
                </w:p>
              </w:tc>
              <w:tc>
                <w:tcPr/>
                <w:p>
                  <w:pPr>
                    <w:pStyle w:val="Compact"/>
                    <w:jc w:val="center"/>
                  </w:pPr>
                  <w:r>
                    <w:t xml:space="preserve">70.9 [10.9]</w:t>
                  </w:r>
                </w:p>
              </w:tc>
            </w:tr>
          </w:tbl>
          <w:p>
            <w:pPr>
              <w:jc w:val="center"/>
            </w:pPr>
            <w:pPr>
              <w:jc w:val="left"/>
              <w:spacing w:before="200"/>
              <w:pStyle w:val="ImageCaption"/>
            </w:pPr>
            <w:r>
              <w:t xml:space="preserve">Table S2: Demographic and clinical characteristics of NHANES and multivariate copula synthetic cohort (NHANES: National Health and Nutrition Examination Survey; SD: standard deviation)</w:t>
            </w:r>
          </w:p>
          <w:bookmarkEnd w:id="7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1" w:name="supptbl-multivariate-copula-correlations"/>
          <w:tbl>
            <w:tblPr>
              <w:tblStyle w:val="Table"/>
              <w:tblW w:type="pct" w:w="5000"/>
              <w:tblLayout w:type="fixed"/>
              <w:tblLook w:firstRow="1" w:lastRow="0" w:firstColumn="0" w:lastColumn="0" w:noHBand="0" w:noVBand="0" w:val="0020"/>
            </w:tblPr>
            <w:tblGrid>
              <w:gridCol w:w="2935"/>
              <w:gridCol w:w="2935"/>
              <w:gridCol w:w="682"/>
              <w:gridCol w:w="1365"/>
            </w:tblGrid>
            <w:tr>
              <w:trPr>
                <w:tblHeader w:val="on"/>
              </w:trPr>
              <w:tc>
                <w:tcPr/>
                <w:p>
                  <w:pPr>
                    <w:pStyle w:val="Compact"/>
                    <w:jc w:val="left"/>
                    <w:jc w:val="center"/>
                  </w:pPr>
                  <w:r>
                    <w:t xml:space="preserve">Variable 1</w:t>
                  </w:r>
                </w:p>
              </w:tc>
              <w:tc>
                <w:tcPr/>
                <w:p>
                  <w:pPr>
                    <w:pStyle w:val="Compact"/>
                    <w:jc w:val="left"/>
                    <w:jc w:val="center"/>
                  </w:pPr>
                  <w:r>
                    <w:t xml:space="preserve">Variable 2</w:t>
                  </w:r>
                </w:p>
              </w:tc>
              <w:tc>
                <w:tcPr/>
                <w:p>
                  <w:pPr>
                    <w:pStyle w:val="Compact"/>
                    <w:jc w:val="right"/>
                    <w:jc w:val="center"/>
                  </w:pPr>
                  <w:r>
                    <w:t xml:space="preserve">NHANES</w:t>
                  </w:r>
                </w:p>
              </w:tc>
              <w:tc>
                <w:tcPr/>
                <w:p>
                  <w:pPr>
                    <w:pStyle w:val="Compact"/>
                    <w:jc w:val="right"/>
                    <w:jc w:val="center"/>
                  </w:pPr>
                  <w:r>
                    <w:t xml:space="preserve">Synthetic Cohort</w:t>
                  </w:r>
                </w:p>
              </w:tc>
            </w:tr>
            <w:tr>
              <w:tc>
                <w:tcPr/>
                <w:p>
                  <w:pPr>
                    <w:pStyle w:val="Compact"/>
                    <w:jc w:val="left"/>
                    <w:jc w:val="center"/>
                  </w:pPr>
                  <w:r>
                    <w:t xml:space="preserve">Age</w:t>
                  </w:r>
                </w:p>
              </w:tc>
              <w:tc>
                <w:tcPr/>
                <w:p>
                  <w:pPr>
                    <w:pStyle w:val="Compact"/>
                    <w:jc w:val="left"/>
                    <w:jc w:val="center"/>
                  </w:pPr>
                  <w:r>
                    <w:t xml:space="preserve">Female</w:t>
                  </w:r>
                </w:p>
              </w:tc>
              <w:tc>
                <w:tcPr/>
                <w:p>
                  <w:pPr>
                    <w:pStyle w:val="Compact"/>
                    <w:jc w:val="right"/>
                    <w:jc w:val="center"/>
                  </w:pPr>
                  <w:r>
                    <w:t xml:space="preserve">0.01</w:t>
                  </w:r>
                </w:p>
              </w:tc>
              <w:tc>
                <w:tcPr/>
                <w:p>
                  <w:pPr>
                    <w:pStyle w:val="Compact"/>
                    <w:jc w:val="right"/>
                    <w:jc w:val="center"/>
                  </w:pPr>
                  <w:r>
                    <w:t xml:space="preserve">0.01</w:t>
                  </w:r>
                </w:p>
              </w:tc>
            </w:tr>
            <w:tr>
              <w:tc>
                <w:tcPr/>
                <w:p>
                  <w:pPr>
                    <w:pStyle w:val="Compact"/>
                    <w:jc w:val="left"/>
                    <w:jc w:val="center"/>
                  </w:pPr>
                  <w:r>
                    <w:t xml:space="preserve">Age</w:t>
                  </w:r>
                </w:p>
              </w:tc>
              <w:tc>
                <w:tcPr/>
                <w:p>
                  <w:pPr>
                    <w:pStyle w:val="Compact"/>
                    <w:jc w:val="left"/>
                    <w:jc w:val="center"/>
                  </w:pPr>
                  <w:r>
                    <w:t xml:space="preserve">Times receiving healthcare over past year</w:t>
                  </w:r>
                </w:p>
              </w:tc>
              <w:tc>
                <w:tcPr/>
                <w:p>
                  <w:pPr>
                    <w:pStyle w:val="Compact"/>
                    <w:jc w:val="right"/>
                    <w:jc w:val="center"/>
                  </w:pPr>
                  <w:r>
                    <w:t xml:space="preserve">0.11</w:t>
                  </w:r>
                </w:p>
              </w:tc>
              <w:tc>
                <w:tcPr/>
                <w:p>
                  <w:pPr>
                    <w:pStyle w:val="Compact"/>
                    <w:jc w:val="right"/>
                    <w:jc w:val="center"/>
                  </w:pPr>
                  <w:r>
                    <w:t xml:space="preserve">0.10</w:t>
                  </w:r>
                </w:p>
              </w:tc>
            </w:tr>
            <w:tr>
              <w:tc>
                <w:tcPr/>
                <w:p>
                  <w:pPr>
                    <w:pStyle w:val="Compact"/>
                    <w:jc w:val="left"/>
                    <w:jc w:val="center"/>
                  </w:pPr>
                  <w:r>
                    <w:t xml:space="preserve">Age</w:t>
                  </w:r>
                </w:p>
              </w:tc>
              <w:tc>
                <w:tcPr/>
                <w:p>
                  <w:pPr>
                    <w:pStyle w:val="Compact"/>
                    <w:jc w:val="left"/>
                    <w:jc w:val="center"/>
                  </w:pPr>
                  <w:r>
                    <w:t xml:space="preserve">Single parent</w:t>
                  </w:r>
                </w:p>
              </w:tc>
              <w:tc>
                <w:tcPr/>
                <w:p>
                  <w:pPr>
                    <w:pStyle w:val="Compact"/>
                    <w:jc w:val="right"/>
                    <w:jc w:val="center"/>
                  </w:pPr>
                  <w:r>
                    <w:t xml:space="preserve">-0.19</w:t>
                  </w:r>
                </w:p>
              </w:tc>
              <w:tc>
                <w:tcPr/>
                <w:p>
                  <w:pPr>
                    <w:pStyle w:val="Compact"/>
                    <w:jc w:val="right"/>
                    <w:jc w:val="center"/>
                  </w:pPr>
                  <w:r>
                    <w:t xml:space="preserve">-0.16</w:t>
                  </w:r>
                </w:p>
              </w:tc>
            </w:tr>
            <w:tr>
              <w:tc>
                <w:tcPr/>
                <w:p>
                  <w:pPr>
                    <w:pStyle w:val="Compact"/>
                    <w:jc w:val="left"/>
                    <w:jc w:val="center"/>
                  </w:pPr>
                  <w:r>
                    <w:t xml:space="preserve">Age</w:t>
                  </w:r>
                </w:p>
              </w:tc>
              <w:tc>
                <w:tcPr/>
                <w:p>
                  <w:pPr>
                    <w:pStyle w:val="Compact"/>
                    <w:jc w:val="left"/>
                    <w:jc w:val="center"/>
                  </w:pPr>
                  <w:r>
                    <w:t xml:space="preserve">Unemployed</w:t>
                  </w:r>
                </w:p>
              </w:tc>
              <w:tc>
                <w:tcPr/>
                <w:p>
                  <w:pPr>
                    <w:pStyle w:val="Compact"/>
                    <w:jc w:val="right"/>
                    <w:jc w:val="center"/>
                  </w:pPr>
                  <w:r>
                    <w:t xml:space="preserve">0.04</w:t>
                  </w:r>
                </w:p>
              </w:tc>
              <w:tc>
                <w:tcPr/>
                <w:p>
                  <w:pPr>
                    <w:pStyle w:val="Compact"/>
                    <w:jc w:val="right"/>
                    <w:jc w:val="center"/>
                  </w:pPr>
                  <w:r>
                    <w:t xml:space="preserve">0.02</w:t>
                  </w:r>
                </w:p>
              </w:tc>
            </w:tr>
            <w:tr>
              <w:tc>
                <w:tcPr/>
                <w:p>
                  <w:pPr>
                    <w:pStyle w:val="Compact"/>
                    <w:jc w:val="left"/>
                    <w:jc w:val="center"/>
                  </w:pPr>
                  <w:r>
                    <w:t xml:space="preserve">Age</w:t>
                  </w:r>
                </w:p>
              </w:tc>
              <w:tc>
                <w:tcPr/>
                <w:p>
                  <w:pPr>
                    <w:pStyle w:val="Compact"/>
                    <w:jc w:val="left"/>
                    <w:jc w:val="center"/>
                  </w:pPr>
                  <w:r>
                    <w:t xml:space="preserve">Living in rented housing unit</w:t>
                  </w:r>
                </w:p>
              </w:tc>
              <w:tc>
                <w:tcPr/>
                <w:p>
                  <w:pPr>
                    <w:pStyle w:val="Compact"/>
                    <w:jc w:val="right"/>
                    <w:jc w:val="center"/>
                  </w:pPr>
                  <w:r>
                    <w:t xml:space="preserve">-0.31</w:t>
                  </w:r>
                </w:p>
              </w:tc>
              <w:tc>
                <w:tcPr/>
                <w:p>
                  <w:pPr>
                    <w:pStyle w:val="Compact"/>
                    <w:jc w:val="right"/>
                    <w:jc w:val="center"/>
                  </w:pPr>
                  <w:r>
                    <w:t xml:space="preserve">-0.27</w:t>
                  </w:r>
                </w:p>
              </w:tc>
            </w:tr>
            <w:tr>
              <w:tc>
                <w:tcPr/>
                <w:p>
                  <w:pPr>
                    <w:pStyle w:val="Compact"/>
                    <w:jc w:val="left"/>
                    <w:jc w:val="center"/>
                  </w:pPr>
                  <w:r>
                    <w:t xml:space="preserve">Age</w:t>
                  </w:r>
                </w:p>
              </w:tc>
              <w:tc>
                <w:tcPr/>
                <w:p>
                  <w:pPr>
                    <w:pStyle w:val="Compact"/>
                    <w:jc w:val="left"/>
                    <w:jc w:val="center"/>
                  </w:pPr>
                  <w:r>
                    <w:t xml:space="preserve">Has less than 12 years of education</w:t>
                  </w:r>
                </w:p>
              </w:tc>
              <w:tc>
                <w:tcPr/>
                <w:p>
                  <w:pPr>
                    <w:pStyle w:val="Compact"/>
                    <w:jc w:val="right"/>
                    <w:jc w:val="center"/>
                  </w:pPr>
                  <w:r>
                    <w:t xml:space="preserve">0.00</w:t>
                  </w:r>
                </w:p>
              </w:tc>
              <w:tc>
                <w:tcPr/>
                <w:p>
                  <w:pPr>
                    <w:pStyle w:val="Compact"/>
                    <w:jc w:val="right"/>
                    <w:jc w:val="center"/>
                  </w:pPr>
                  <w:r>
                    <w:t xml:space="preserve">0.00</w:t>
                  </w:r>
                </w:p>
              </w:tc>
            </w:tr>
            <w:tr>
              <w:tc>
                <w:tcPr/>
                <w:p>
                  <w:pPr>
                    <w:pStyle w:val="Compact"/>
                    <w:jc w:val="left"/>
                    <w:jc w:val="center"/>
                  </w:pPr>
                  <w:r>
                    <w:t xml:space="preserve">Age</w:t>
                  </w:r>
                </w:p>
              </w:tc>
              <w:tc>
                <w:tcPr/>
                <w:p>
                  <w:pPr>
                    <w:pStyle w:val="Compact"/>
                    <w:jc w:val="left"/>
                    <w:jc w:val="center"/>
                  </w:pPr>
                  <w:r>
                    <w:t xml:space="preserve">Below poverty threshold</w:t>
                  </w:r>
                </w:p>
              </w:tc>
              <w:tc>
                <w:tcPr/>
                <w:p>
                  <w:pPr>
                    <w:pStyle w:val="Compact"/>
                    <w:jc w:val="right"/>
                    <w:jc w:val="center"/>
                  </w:pPr>
                  <w:r>
                    <w:t xml:space="preserve">-0.12</w:t>
                  </w:r>
                </w:p>
              </w:tc>
              <w:tc>
                <w:tcPr/>
                <w:p>
                  <w:pPr>
                    <w:pStyle w:val="Compact"/>
                    <w:jc w:val="right"/>
                    <w:jc w:val="center"/>
                  </w:pPr>
                  <w:r>
                    <w:t xml:space="preserve">-0.11</w:t>
                  </w:r>
                </w:p>
              </w:tc>
            </w:tr>
            <w:tr>
              <w:tc>
                <w:tcPr/>
                <w:p>
                  <w:pPr>
                    <w:pStyle w:val="Compact"/>
                    <w:jc w:val="left"/>
                    <w:jc w:val="center"/>
                  </w:pPr>
                  <w:r>
                    <w:t xml:space="preserve">Age</w:t>
                  </w:r>
                </w:p>
              </w:tc>
              <w:tc>
                <w:tcPr/>
                <w:p>
                  <w:pPr>
                    <w:pStyle w:val="Compact"/>
                    <w:jc w:val="left"/>
                    <w:jc w:val="center"/>
                  </w:pPr>
                  <w:r>
                    <w:t xml:space="preserve">Living in a crowded housing unit</w:t>
                  </w:r>
                </w:p>
              </w:tc>
              <w:tc>
                <w:tcPr/>
                <w:p>
                  <w:pPr>
                    <w:pStyle w:val="Compact"/>
                    <w:jc w:val="right"/>
                    <w:jc w:val="center"/>
                  </w:pPr>
                  <w:r>
                    <w:t xml:space="preserve">-0.12</w:t>
                  </w:r>
                </w:p>
              </w:tc>
              <w:tc>
                <w:tcPr/>
                <w:p>
                  <w:pPr>
                    <w:pStyle w:val="Compact"/>
                    <w:jc w:val="right"/>
                    <w:jc w:val="center"/>
                  </w:pPr>
                  <w:r>
                    <w:t xml:space="preserve">-0.09</w:t>
                  </w:r>
                </w:p>
              </w:tc>
            </w:tr>
            <w:tr>
              <w:tc>
                <w:tcPr/>
                <w:p>
                  <w:pPr>
                    <w:pStyle w:val="Compact"/>
                    <w:jc w:val="left"/>
                    <w:jc w:val="center"/>
                  </w:pPr>
                  <w:r>
                    <w:t xml:space="preserve">Age</w:t>
                  </w:r>
                </w:p>
              </w:tc>
              <w:tc>
                <w:tcPr/>
                <w:p>
                  <w:pPr>
                    <w:pStyle w:val="Compact"/>
                    <w:jc w:val="left"/>
                    <w:jc w:val="center"/>
                  </w:pPr>
                  <w:r>
                    <w:t xml:space="preserve">Systolic blood pressure</w:t>
                  </w:r>
                </w:p>
              </w:tc>
              <w:tc>
                <w:tcPr/>
                <w:p>
                  <w:pPr>
                    <w:pStyle w:val="Compact"/>
                    <w:jc w:val="right"/>
                    <w:jc w:val="center"/>
                  </w:pPr>
                  <w:r>
                    <w:t xml:space="preserve">0.36</w:t>
                  </w:r>
                </w:p>
              </w:tc>
              <w:tc>
                <w:tcPr/>
                <w:p>
                  <w:pPr>
                    <w:pStyle w:val="Compact"/>
                    <w:jc w:val="right"/>
                    <w:jc w:val="center"/>
                  </w:pPr>
                  <w:r>
                    <w:t xml:space="preserve">0.35</w:t>
                  </w:r>
                </w:p>
              </w:tc>
            </w:tr>
            <w:tr>
              <w:tc>
                <w:tcPr/>
                <w:p>
                  <w:pPr>
                    <w:pStyle w:val="Compact"/>
                    <w:jc w:val="left"/>
                    <w:jc w:val="center"/>
                  </w:pPr>
                  <w:r>
                    <w:t xml:space="preserve">Age</w:t>
                  </w:r>
                </w:p>
              </w:tc>
              <w:tc>
                <w:tcPr/>
                <w:p>
                  <w:pPr>
                    <w:pStyle w:val="Compact"/>
                    <w:jc w:val="left"/>
                    <w:jc w:val="center"/>
                  </w:pPr>
                  <w:r>
                    <w:t xml:space="preserve">Ratio of family income to poverty</w:t>
                  </w:r>
                </w:p>
              </w:tc>
              <w:tc>
                <w:tcPr/>
                <w:p>
                  <w:pPr>
                    <w:pStyle w:val="Compact"/>
                    <w:jc w:val="right"/>
                    <w:jc w:val="center"/>
                  </w:pPr>
                  <w:r>
                    <w:t xml:space="preserve">0.18</w:t>
                  </w:r>
                </w:p>
              </w:tc>
              <w:tc>
                <w:tcPr/>
                <w:p>
                  <w:pPr>
                    <w:pStyle w:val="Compact"/>
                    <w:jc w:val="right"/>
                    <w:jc w:val="center"/>
                  </w:pPr>
                  <w:r>
                    <w:t xml:space="preserve">0.17</w:t>
                  </w:r>
                </w:p>
              </w:tc>
            </w:tr>
            <w:tr>
              <w:tc>
                <w:tcPr/>
                <w:p>
                  <w:pPr>
                    <w:pStyle w:val="Compact"/>
                    <w:jc w:val="left"/>
                    <w:jc w:val="center"/>
                  </w:pPr>
                  <w:r>
                    <w:t xml:space="preserve">Age</w:t>
                  </w:r>
                </w:p>
              </w:tc>
              <w:tc>
                <w:tcPr/>
                <w:p>
                  <w:pPr>
                    <w:pStyle w:val="Compact"/>
                    <w:jc w:val="left"/>
                    <w:jc w:val="center"/>
                  </w:pPr>
                  <w:r>
                    <w:t xml:space="preserve">Has health insurance</w:t>
                  </w:r>
                </w:p>
              </w:tc>
              <w:tc>
                <w:tcPr/>
                <w:p>
                  <w:pPr>
                    <w:pStyle w:val="Compact"/>
                    <w:jc w:val="right"/>
                    <w:jc w:val="center"/>
                  </w:pPr>
                  <w:r>
                    <w:t xml:space="preserve">0.14</w:t>
                  </w:r>
                </w:p>
              </w:tc>
              <w:tc>
                <w:tcPr/>
                <w:p>
                  <w:pPr>
                    <w:pStyle w:val="Compact"/>
                    <w:jc w:val="right"/>
                    <w:jc w:val="center"/>
                  </w:pPr>
                  <w:r>
                    <w:t xml:space="preserve">0.15</w:t>
                  </w:r>
                </w:p>
              </w:tc>
            </w:tr>
            <w:tr>
              <w:tc>
                <w:tcPr/>
                <w:p>
                  <w:pPr>
                    <w:pStyle w:val="Compact"/>
                    <w:jc w:val="left"/>
                    <w:jc w:val="center"/>
                  </w:pPr>
                  <w:r>
                    <w:t xml:space="preserve">Age</w:t>
                  </w:r>
                </w:p>
              </w:tc>
              <w:tc>
                <w:tcPr/>
                <w:p>
                  <w:pPr>
                    <w:pStyle w:val="Compact"/>
                    <w:jc w:val="left"/>
                    <w:jc w:val="center"/>
                  </w:pPr>
                  <w:r>
                    <w:t xml:space="preserve">Has place for routine healthcare</w:t>
                  </w:r>
                </w:p>
              </w:tc>
              <w:tc>
                <w:tcPr/>
                <w:p>
                  <w:pPr>
                    <w:pStyle w:val="Compact"/>
                    <w:jc w:val="right"/>
                    <w:jc w:val="center"/>
                  </w:pPr>
                  <w:r>
                    <w:t xml:space="preserve">0.22</w:t>
                  </w:r>
                </w:p>
              </w:tc>
              <w:tc>
                <w:tcPr/>
                <w:p>
                  <w:pPr>
                    <w:pStyle w:val="Compact"/>
                    <w:jc w:val="right"/>
                    <w:jc w:val="center"/>
                  </w:pPr>
                  <w:r>
                    <w:t xml:space="preserve">0.23</w:t>
                  </w:r>
                </w:p>
              </w:tc>
            </w:tr>
            <w:tr>
              <w:tc>
                <w:tcPr/>
                <w:p>
                  <w:pPr>
                    <w:pStyle w:val="Compact"/>
                    <w:jc w:val="left"/>
                    <w:jc w:val="center"/>
                  </w:pPr>
                  <w:r>
                    <w:t xml:space="preserve">Age</w:t>
                  </w:r>
                </w:p>
              </w:tc>
              <w:tc>
                <w:tcPr/>
                <w:p>
                  <w:pPr>
                    <w:pStyle w:val="Compact"/>
                    <w:jc w:val="left"/>
                    <w:jc w:val="center"/>
                  </w:pPr>
                  <w:r>
                    <w:t xml:space="preserve">Non-Hispanic Black</w:t>
                  </w:r>
                </w:p>
              </w:tc>
              <w:tc>
                <w:tcPr/>
                <w:p>
                  <w:pPr>
                    <w:pStyle w:val="Compact"/>
                    <w:jc w:val="right"/>
                    <w:jc w:val="center"/>
                  </w:pPr>
                  <w:r>
                    <w:t xml:space="preserve">-0.13</w:t>
                  </w:r>
                </w:p>
              </w:tc>
              <w:tc>
                <w:tcPr/>
                <w:p>
                  <w:pPr>
                    <w:pStyle w:val="Compact"/>
                    <w:jc w:val="right"/>
                    <w:jc w:val="center"/>
                  </w:pPr>
                  <w:r>
                    <w:t xml:space="preserve">-0.11</w:t>
                  </w:r>
                </w:p>
              </w:tc>
            </w:tr>
            <w:tr>
              <w:tc>
                <w:tcPr/>
                <w:p>
                  <w:pPr>
                    <w:pStyle w:val="Compact"/>
                    <w:jc w:val="left"/>
                    <w:jc w:val="center"/>
                  </w:pPr>
                  <w:r>
                    <w:t xml:space="preserve">Age</w:t>
                  </w:r>
                </w:p>
              </w:tc>
              <w:tc>
                <w:tcPr/>
                <w:p>
                  <w:pPr>
                    <w:pStyle w:val="Compact"/>
                    <w:jc w:val="left"/>
                    <w:jc w:val="center"/>
                  </w:pPr>
                  <w:r>
                    <w:t xml:space="preserve">Diastolic blood pressure</w:t>
                  </w:r>
                </w:p>
              </w:tc>
              <w:tc>
                <w:tcPr/>
                <w:p>
                  <w:pPr>
                    <w:pStyle w:val="Compact"/>
                    <w:jc w:val="right"/>
                    <w:jc w:val="center"/>
                  </w:pPr>
                  <w:r>
                    <w:t xml:space="preserve">0.10</w:t>
                  </w:r>
                </w:p>
              </w:tc>
              <w:tc>
                <w:tcPr/>
                <w:p>
                  <w:pPr>
                    <w:pStyle w:val="Compact"/>
                    <w:jc w:val="right"/>
                    <w:jc w:val="center"/>
                  </w:pPr>
                  <w:r>
                    <w:t xml:space="preserve">0.10</w:t>
                  </w:r>
                </w:p>
              </w:tc>
            </w:tr>
            <w:tr>
              <w:tc>
                <w:tcPr/>
                <w:p>
                  <w:pPr>
                    <w:pStyle w:val="Compact"/>
                    <w:jc w:val="left"/>
                    <w:jc w:val="center"/>
                  </w:pPr>
                  <w:r>
                    <w:t xml:space="preserve">Below poverty threshold</w:t>
                  </w:r>
                </w:p>
              </w:tc>
              <w:tc>
                <w:tcPr/>
                <w:p>
                  <w:pPr>
                    <w:pStyle w:val="Compact"/>
                    <w:jc w:val="left"/>
                    <w:jc w:val="center"/>
                  </w:pPr>
                  <w:r>
                    <w:t xml:space="preserve">Single parent</w:t>
                  </w:r>
                </w:p>
              </w:tc>
              <w:tc>
                <w:tcPr/>
                <w:p>
                  <w:pPr>
                    <w:pStyle w:val="Compact"/>
                    <w:jc w:val="right"/>
                    <w:jc w:val="center"/>
                  </w:pPr>
                  <w:r>
                    <w:t xml:space="preserve">0.16</w:t>
                  </w:r>
                </w:p>
              </w:tc>
              <w:tc>
                <w:tcPr/>
                <w:p>
                  <w:pPr>
                    <w:pStyle w:val="Compact"/>
                    <w:jc w:val="right"/>
                    <w:jc w:val="center"/>
                  </w:pPr>
                  <w:r>
                    <w:t xml:space="preserve">0.11</w:t>
                  </w:r>
                </w:p>
              </w:tc>
            </w:tr>
            <w:tr>
              <w:tc>
                <w:tcPr/>
                <w:p>
                  <w:pPr>
                    <w:pStyle w:val="Compact"/>
                    <w:jc w:val="left"/>
                    <w:jc w:val="center"/>
                  </w:pPr>
                  <w:r>
                    <w:t xml:space="preserve">Below poverty threshold</w:t>
                  </w:r>
                </w:p>
              </w:tc>
              <w:tc>
                <w:tcPr/>
                <w:p>
                  <w:pPr>
                    <w:pStyle w:val="Compact"/>
                    <w:jc w:val="left"/>
                    <w:jc w:val="center"/>
                  </w:pPr>
                  <w:r>
                    <w:t xml:space="preserve">Age</w:t>
                  </w:r>
                </w:p>
              </w:tc>
              <w:tc>
                <w:tcPr/>
                <w:p>
                  <w:pPr>
                    <w:pStyle w:val="Compact"/>
                    <w:jc w:val="right"/>
                    <w:jc w:val="center"/>
                  </w:pPr>
                  <w:r>
                    <w:t xml:space="preserve">-0.12</w:t>
                  </w:r>
                </w:p>
              </w:tc>
              <w:tc>
                <w:tcPr/>
                <w:p>
                  <w:pPr>
                    <w:pStyle w:val="Compact"/>
                    <w:jc w:val="right"/>
                    <w:jc w:val="center"/>
                  </w:pPr>
                  <w:r>
                    <w:t xml:space="preserve">-0.11</w:t>
                  </w:r>
                </w:p>
              </w:tc>
            </w:tr>
            <w:tr>
              <w:tc>
                <w:tcPr/>
                <w:p>
                  <w:pPr>
                    <w:pStyle w:val="Compact"/>
                    <w:jc w:val="left"/>
                    <w:jc w:val="center"/>
                  </w:pPr>
                  <w:r>
                    <w:t xml:space="preserve">Below poverty threshold</w:t>
                  </w:r>
                </w:p>
              </w:tc>
              <w:tc>
                <w:tcPr/>
                <w:p>
                  <w:pPr>
                    <w:pStyle w:val="Compact"/>
                    <w:jc w:val="left"/>
                    <w:jc w:val="center"/>
                  </w:pPr>
                  <w:r>
                    <w:t xml:space="preserve">Has place for routine healthcare</w:t>
                  </w:r>
                </w:p>
              </w:tc>
              <w:tc>
                <w:tcPr/>
                <w:p>
                  <w:pPr>
                    <w:pStyle w:val="Compact"/>
                    <w:jc w:val="right"/>
                    <w:jc w:val="center"/>
                  </w:pPr>
                  <w:r>
                    <w:t xml:space="preserve">-0.07</w:t>
                  </w:r>
                </w:p>
              </w:tc>
              <w:tc>
                <w:tcPr/>
                <w:p>
                  <w:pPr>
                    <w:pStyle w:val="Compact"/>
                    <w:jc w:val="right"/>
                    <w:jc w:val="center"/>
                  </w:pPr>
                  <w:r>
                    <w:t xml:space="preserve">-0.03</w:t>
                  </w:r>
                </w:p>
              </w:tc>
            </w:tr>
            <w:tr>
              <w:tc>
                <w:tcPr/>
                <w:p>
                  <w:pPr>
                    <w:pStyle w:val="Compact"/>
                    <w:jc w:val="left"/>
                    <w:jc w:val="center"/>
                  </w:pPr>
                  <w:r>
                    <w:t xml:space="preserve">Below poverty threshold</w:t>
                  </w:r>
                </w:p>
              </w:tc>
              <w:tc>
                <w:tcPr/>
                <w:p>
                  <w:pPr>
                    <w:pStyle w:val="Compact"/>
                    <w:jc w:val="left"/>
                    <w:jc w:val="center"/>
                  </w:pPr>
                  <w:r>
                    <w:t xml:space="preserve">Ratio of family income to poverty</w:t>
                  </w:r>
                </w:p>
              </w:tc>
              <w:tc>
                <w:tcPr/>
                <w:p>
                  <w:pPr>
                    <w:pStyle w:val="Compact"/>
                    <w:jc w:val="right"/>
                    <w:jc w:val="center"/>
                  </w:pPr>
                  <w:r>
                    <w:t xml:space="preserve">-0.58</w:t>
                  </w:r>
                </w:p>
              </w:tc>
              <w:tc>
                <w:tcPr/>
                <w:p>
                  <w:pPr>
                    <w:pStyle w:val="Compact"/>
                    <w:jc w:val="right"/>
                    <w:jc w:val="center"/>
                  </w:pPr>
                  <w:r>
                    <w:t xml:space="preserve">-0.42</w:t>
                  </w:r>
                </w:p>
              </w:tc>
            </w:tr>
            <w:tr>
              <w:tc>
                <w:tcPr/>
                <w:p>
                  <w:pPr>
                    <w:pStyle w:val="Compact"/>
                    <w:jc w:val="left"/>
                    <w:jc w:val="center"/>
                  </w:pPr>
                  <w:r>
                    <w:t xml:space="preserve">Below poverty threshold</w:t>
                  </w:r>
                </w:p>
              </w:tc>
              <w:tc>
                <w:tcPr/>
                <w:p>
                  <w:pPr>
                    <w:pStyle w:val="Compact"/>
                    <w:jc w:val="left"/>
                    <w:jc w:val="center"/>
                  </w:pPr>
                  <w:r>
                    <w:t xml:space="preserve">Systolic blood pressure</w:t>
                  </w:r>
                </w:p>
              </w:tc>
              <w:tc>
                <w:tcPr/>
                <w:p>
                  <w:pPr>
                    <w:pStyle w:val="Compact"/>
                    <w:jc w:val="right"/>
                    <w:jc w:val="center"/>
                  </w:pPr>
                  <w:r>
                    <w:t xml:space="preserve">-0.00</w:t>
                  </w:r>
                </w:p>
              </w:tc>
              <w:tc>
                <w:tcPr/>
                <w:p>
                  <w:pPr>
                    <w:pStyle w:val="Compact"/>
                    <w:jc w:val="right"/>
                    <w:jc w:val="center"/>
                  </w:pPr>
                  <w:r>
                    <w:t xml:space="preserve">-0.00</w:t>
                  </w:r>
                </w:p>
              </w:tc>
            </w:tr>
            <w:tr>
              <w:tc>
                <w:tcPr/>
                <w:p>
                  <w:pPr>
                    <w:pStyle w:val="Compact"/>
                    <w:jc w:val="left"/>
                    <w:jc w:val="center"/>
                  </w:pPr>
                  <w:r>
                    <w:t xml:space="preserve">Below poverty threshold</w:t>
                  </w:r>
                </w:p>
              </w:tc>
              <w:tc>
                <w:tcPr/>
                <w:p>
                  <w:pPr>
                    <w:pStyle w:val="Compact"/>
                    <w:jc w:val="left"/>
                    <w:jc w:val="center"/>
                  </w:pPr>
                  <w:r>
                    <w:t xml:space="preserve">Has less than 12 years of education</w:t>
                  </w:r>
                </w:p>
              </w:tc>
              <w:tc>
                <w:tcPr/>
                <w:p>
                  <w:pPr>
                    <w:pStyle w:val="Compact"/>
                    <w:jc w:val="right"/>
                    <w:jc w:val="center"/>
                  </w:pPr>
                  <w:r>
                    <w:t xml:space="preserve">0.22</w:t>
                  </w:r>
                </w:p>
              </w:tc>
              <w:tc>
                <w:tcPr/>
                <w:p>
                  <w:pPr>
                    <w:pStyle w:val="Compact"/>
                    <w:jc w:val="right"/>
                    <w:jc w:val="center"/>
                  </w:pPr>
                  <w:r>
                    <w:t xml:space="preserve">0.16</w:t>
                  </w:r>
                </w:p>
              </w:tc>
            </w:tr>
            <w:tr>
              <w:tc>
                <w:tcPr/>
                <w:p>
                  <w:pPr>
                    <w:pStyle w:val="Compact"/>
                    <w:jc w:val="left"/>
                    <w:jc w:val="center"/>
                  </w:pPr>
                  <w:r>
                    <w:t xml:space="preserve">Below poverty threshold</w:t>
                  </w:r>
                </w:p>
              </w:tc>
              <w:tc>
                <w:tcPr/>
                <w:p>
                  <w:pPr>
                    <w:pStyle w:val="Compact"/>
                    <w:jc w:val="left"/>
                    <w:jc w:val="center"/>
                  </w:pPr>
                  <w:r>
                    <w:t xml:space="preserve">Unemployed</w:t>
                  </w:r>
                </w:p>
              </w:tc>
              <w:tc>
                <w:tcPr/>
                <w:p>
                  <w:pPr>
                    <w:pStyle w:val="Compact"/>
                    <w:jc w:val="right"/>
                    <w:jc w:val="center"/>
                  </w:pPr>
                  <w:r>
                    <w:t xml:space="preserve">0.33</w:t>
                  </w:r>
                </w:p>
              </w:tc>
              <w:tc>
                <w:tcPr/>
                <w:p>
                  <w:pPr>
                    <w:pStyle w:val="Compact"/>
                    <w:jc w:val="right"/>
                    <w:jc w:val="center"/>
                  </w:pPr>
                  <w:r>
                    <w:t xml:space="preserve">0.29</w:t>
                  </w:r>
                </w:p>
              </w:tc>
            </w:tr>
            <w:tr>
              <w:tc>
                <w:tcPr/>
                <w:p>
                  <w:pPr>
                    <w:pStyle w:val="Compact"/>
                    <w:jc w:val="left"/>
                    <w:jc w:val="center"/>
                  </w:pPr>
                  <w:r>
                    <w:t xml:space="preserve">Below poverty threshold</w:t>
                  </w:r>
                </w:p>
              </w:tc>
              <w:tc>
                <w:tcPr/>
                <w:p>
                  <w:pPr>
                    <w:pStyle w:val="Compact"/>
                    <w:jc w:val="left"/>
                    <w:jc w:val="center"/>
                  </w:pPr>
                  <w:r>
                    <w:t xml:space="preserve">Living in a crowded housing unit</w:t>
                  </w:r>
                </w:p>
              </w:tc>
              <w:tc>
                <w:tcPr/>
                <w:p>
                  <w:pPr>
                    <w:pStyle w:val="Compact"/>
                    <w:jc w:val="right"/>
                    <w:jc w:val="center"/>
                  </w:pPr>
                  <w:r>
                    <w:t xml:space="preserve">0.20</w:t>
                  </w:r>
                </w:p>
              </w:tc>
              <w:tc>
                <w:tcPr/>
                <w:p>
                  <w:pPr>
                    <w:pStyle w:val="Compact"/>
                    <w:jc w:val="right"/>
                    <w:jc w:val="center"/>
                  </w:pPr>
                  <w:r>
                    <w:t xml:space="preserve">0.15</w:t>
                  </w:r>
                </w:p>
              </w:tc>
            </w:tr>
            <w:tr>
              <w:tc>
                <w:tcPr/>
                <w:p>
                  <w:pPr>
                    <w:pStyle w:val="Compact"/>
                    <w:jc w:val="left"/>
                    <w:jc w:val="center"/>
                  </w:pPr>
                  <w:r>
                    <w:t xml:space="preserve">Below poverty threshold</w:t>
                  </w:r>
                </w:p>
              </w:tc>
              <w:tc>
                <w:tcPr/>
                <w:p>
                  <w:pPr>
                    <w:pStyle w:val="Compact"/>
                    <w:jc w:val="left"/>
                    <w:jc w:val="center"/>
                  </w:pPr>
                  <w:r>
                    <w:t xml:space="preserve">Times receiving healthcare over past year</w:t>
                  </w:r>
                </w:p>
              </w:tc>
              <w:tc>
                <w:tcPr/>
                <w:p>
                  <w:pPr>
                    <w:pStyle w:val="Compact"/>
                    <w:jc w:val="right"/>
                    <w:jc w:val="center"/>
                  </w:pPr>
                  <w:r>
                    <w:t xml:space="preserve">0.04</w:t>
                  </w:r>
                </w:p>
              </w:tc>
              <w:tc>
                <w:tcPr/>
                <w:p>
                  <w:pPr>
                    <w:pStyle w:val="Compact"/>
                    <w:jc w:val="right"/>
                    <w:jc w:val="center"/>
                  </w:pPr>
                  <w:r>
                    <w:t xml:space="preserve">0.02</w:t>
                  </w:r>
                </w:p>
              </w:tc>
            </w:tr>
            <w:tr>
              <w:tc>
                <w:tcPr/>
                <w:p>
                  <w:pPr>
                    <w:pStyle w:val="Compact"/>
                    <w:jc w:val="left"/>
                    <w:jc w:val="center"/>
                  </w:pPr>
                  <w:r>
                    <w:t xml:space="preserve">Below poverty threshold</w:t>
                  </w:r>
                </w:p>
              </w:tc>
              <w:tc>
                <w:tcPr/>
                <w:p>
                  <w:pPr>
                    <w:pStyle w:val="Compact"/>
                    <w:jc w:val="left"/>
                    <w:jc w:val="center"/>
                  </w:pPr>
                  <w:r>
                    <w:t xml:space="preserve">Living in rented housing unit</w:t>
                  </w:r>
                </w:p>
              </w:tc>
              <w:tc>
                <w:tcPr/>
                <w:p>
                  <w:pPr>
                    <w:pStyle w:val="Compact"/>
                    <w:jc w:val="right"/>
                    <w:jc w:val="center"/>
                  </w:pPr>
                  <w:r>
                    <w:t xml:space="preserve">0.25</w:t>
                  </w:r>
                </w:p>
              </w:tc>
              <w:tc>
                <w:tcPr/>
                <w:p>
                  <w:pPr>
                    <w:pStyle w:val="Compact"/>
                    <w:jc w:val="right"/>
                    <w:jc w:val="center"/>
                  </w:pPr>
                  <w:r>
                    <w:t xml:space="preserve">0.21</w:t>
                  </w:r>
                </w:p>
              </w:tc>
            </w:tr>
            <w:tr>
              <w:tc>
                <w:tcPr/>
                <w:p>
                  <w:pPr>
                    <w:pStyle w:val="Compact"/>
                    <w:jc w:val="left"/>
                    <w:jc w:val="center"/>
                  </w:pPr>
                  <w:r>
                    <w:t xml:space="preserve">Diastolic blood pressure</w:t>
                  </w:r>
                </w:p>
              </w:tc>
              <w:tc>
                <w:tcPr/>
                <w:p>
                  <w:pPr>
                    <w:pStyle w:val="Compact"/>
                    <w:jc w:val="left"/>
                    <w:jc w:val="center"/>
                  </w:pPr>
                  <w:r>
                    <w:t xml:space="preserve">Below poverty threshold</w:t>
                  </w:r>
                </w:p>
              </w:tc>
              <w:tc>
                <w:tcPr/>
                <w:p>
                  <w:pPr>
                    <w:pStyle w:val="Compact"/>
                    <w:jc w:val="right"/>
                    <w:jc w:val="center"/>
                  </w:pPr>
                  <w:r>
                    <w:t xml:space="preserve">-0.03</w:t>
                  </w:r>
                </w:p>
              </w:tc>
              <w:tc>
                <w:tcPr/>
                <w:p>
                  <w:pPr>
                    <w:pStyle w:val="Compact"/>
                    <w:jc w:val="right"/>
                    <w:jc w:val="center"/>
                  </w:pPr>
                  <w:r>
                    <w:t xml:space="preserve">-0.02</w:t>
                  </w:r>
                </w:p>
              </w:tc>
            </w:tr>
            <w:tr>
              <w:tc>
                <w:tcPr/>
                <w:p>
                  <w:pPr>
                    <w:pStyle w:val="Compact"/>
                    <w:jc w:val="left"/>
                    <w:jc w:val="center"/>
                  </w:pPr>
                  <w:r>
                    <w:t xml:space="preserve">Diastolic blood pressure</w:t>
                  </w:r>
                </w:p>
              </w:tc>
              <w:tc>
                <w:tcPr/>
                <w:p>
                  <w:pPr>
                    <w:pStyle w:val="Compact"/>
                    <w:jc w:val="left"/>
                    <w:jc w:val="center"/>
                  </w:pPr>
                  <w:r>
                    <w:t xml:space="preserve">Female</w:t>
                  </w:r>
                </w:p>
              </w:tc>
              <w:tc>
                <w:tcPr/>
                <w:p>
                  <w:pPr>
                    <w:pStyle w:val="Compact"/>
                    <w:jc w:val="right"/>
                    <w:jc w:val="center"/>
                  </w:pPr>
                  <w:r>
                    <w:t xml:space="preserve">-0.14</w:t>
                  </w:r>
                </w:p>
              </w:tc>
              <w:tc>
                <w:tcPr/>
                <w:p>
                  <w:pPr>
                    <w:pStyle w:val="Compact"/>
                    <w:jc w:val="right"/>
                    <w:jc w:val="center"/>
                  </w:pPr>
                  <w:r>
                    <w:t xml:space="preserve">-0.11</w:t>
                  </w:r>
                </w:p>
              </w:tc>
            </w:tr>
            <w:tr>
              <w:tc>
                <w:tcPr/>
                <w:p>
                  <w:pPr>
                    <w:pStyle w:val="Compact"/>
                    <w:jc w:val="left"/>
                    <w:jc w:val="center"/>
                  </w:pPr>
                  <w:r>
                    <w:t xml:space="preserve">Diastolic blood pressure</w:t>
                  </w:r>
                </w:p>
              </w:tc>
              <w:tc>
                <w:tcPr/>
                <w:p>
                  <w:pPr>
                    <w:pStyle w:val="Compact"/>
                    <w:jc w:val="left"/>
                    <w:jc w:val="center"/>
                  </w:pPr>
                  <w:r>
                    <w:t xml:space="preserve">Systolic blood pressure</w:t>
                  </w:r>
                </w:p>
              </w:tc>
              <w:tc>
                <w:tcPr/>
                <w:p>
                  <w:pPr>
                    <w:pStyle w:val="Compact"/>
                    <w:jc w:val="right"/>
                    <w:jc w:val="center"/>
                  </w:pPr>
                  <w:r>
                    <w:t xml:space="preserve">0.48</w:t>
                  </w:r>
                </w:p>
              </w:tc>
              <w:tc>
                <w:tcPr/>
                <w:p>
                  <w:pPr>
                    <w:pStyle w:val="Compact"/>
                    <w:jc w:val="right"/>
                    <w:jc w:val="center"/>
                  </w:pPr>
                  <w:r>
                    <w:t xml:space="preserve">0.48</w:t>
                  </w:r>
                </w:p>
              </w:tc>
            </w:tr>
            <w:tr>
              <w:tc>
                <w:tcPr/>
                <w:p>
                  <w:pPr>
                    <w:pStyle w:val="Compact"/>
                    <w:jc w:val="left"/>
                    <w:jc w:val="center"/>
                  </w:pPr>
                  <w:r>
                    <w:t xml:space="preserve">Diastolic blood pressure</w:t>
                  </w:r>
                </w:p>
              </w:tc>
              <w:tc>
                <w:tcPr/>
                <w:p>
                  <w:pPr>
                    <w:pStyle w:val="Compact"/>
                    <w:jc w:val="left"/>
                    <w:jc w:val="center"/>
                  </w:pPr>
                  <w:r>
                    <w:t xml:space="preserve">Has less than 12 years of education</w:t>
                  </w:r>
                </w:p>
              </w:tc>
              <w:tc>
                <w:tcPr/>
                <w:p>
                  <w:pPr>
                    <w:pStyle w:val="Compact"/>
                    <w:jc w:val="right"/>
                    <w:jc w:val="center"/>
                  </w:pPr>
                  <w:r>
                    <w:t xml:space="preserve">-0.01</w:t>
                  </w:r>
                </w:p>
              </w:tc>
              <w:tc>
                <w:tcPr/>
                <w:p>
                  <w:pPr>
                    <w:pStyle w:val="Compact"/>
                    <w:jc w:val="right"/>
                    <w:jc w:val="center"/>
                  </w:pPr>
                  <w:r>
                    <w:t xml:space="preserve">-0.01</w:t>
                  </w:r>
                </w:p>
              </w:tc>
            </w:tr>
            <w:tr>
              <w:tc>
                <w:tcPr/>
                <w:p>
                  <w:pPr>
                    <w:pStyle w:val="Compact"/>
                    <w:jc w:val="left"/>
                    <w:jc w:val="center"/>
                  </w:pPr>
                  <w:r>
                    <w:t xml:space="preserve">Diastolic blood pressure</w:t>
                  </w:r>
                </w:p>
              </w:tc>
              <w:tc>
                <w:tcPr/>
                <w:p>
                  <w:pPr>
                    <w:pStyle w:val="Compact"/>
                    <w:jc w:val="left"/>
                    <w:jc w:val="center"/>
                  </w:pPr>
                  <w:r>
                    <w:t xml:space="preserve">Living in rented housing unit</w:t>
                  </w:r>
                </w:p>
              </w:tc>
              <w:tc>
                <w:tcPr/>
                <w:p>
                  <w:pPr>
                    <w:pStyle w:val="Compact"/>
                    <w:jc w:val="right"/>
                    <w:jc w:val="center"/>
                  </w:pPr>
                  <w:r>
                    <w:t xml:space="preserve">-0.04</w:t>
                  </w:r>
                </w:p>
              </w:tc>
              <w:tc>
                <w:tcPr/>
                <w:p>
                  <w:pPr>
                    <w:pStyle w:val="Compact"/>
                    <w:jc w:val="right"/>
                    <w:jc w:val="center"/>
                  </w:pPr>
                  <w:r>
                    <w:t xml:space="preserve">-0.03</w:t>
                  </w:r>
                </w:p>
              </w:tc>
            </w:tr>
            <w:tr>
              <w:tc>
                <w:tcPr/>
                <w:p>
                  <w:pPr>
                    <w:pStyle w:val="Compact"/>
                    <w:jc w:val="left"/>
                    <w:jc w:val="center"/>
                  </w:pPr>
                  <w:r>
                    <w:t xml:space="preserve">Diastolic blood pressure</w:t>
                  </w:r>
                </w:p>
              </w:tc>
              <w:tc>
                <w:tcPr/>
                <w:p>
                  <w:pPr>
                    <w:pStyle w:val="Compact"/>
                    <w:jc w:val="left"/>
                    <w:jc w:val="center"/>
                  </w:pPr>
                  <w:r>
                    <w:t xml:space="preserve">Unemployed</w:t>
                  </w:r>
                </w:p>
              </w:tc>
              <w:tc>
                <w:tcPr/>
                <w:p>
                  <w:pPr>
                    <w:pStyle w:val="Compact"/>
                    <w:jc w:val="right"/>
                    <w:jc w:val="center"/>
                  </w:pPr>
                  <w:r>
                    <w:t xml:space="preserve">0.02</w:t>
                  </w:r>
                </w:p>
              </w:tc>
              <w:tc>
                <w:tcPr/>
                <w:p>
                  <w:pPr>
                    <w:pStyle w:val="Compact"/>
                    <w:jc w:val="right"/>
                    <w:jc w:val="center"/>
                  </w:pPr>
                  <w:r>
                    <w:t xml:space="preserve">0.01</w:t>
                  </w:r>
                </w:p>
              </w:tc>
            </w:tr>
            <w:tr>
              <w:tc>
                <w:tcPr/>
                <w:p>
                  <w:pPr>
                    <w:pStyle w:val="Compact"/>
                    <w:jc w:val="left"/>
                    <w:jc w:val="center"/>
                  </w:pPr>
                  <w:r>
                    <w:t xml:space="preserve">Diastolic blood pressure</w:t>
                  </w:r>
                </w:p>
              </w:tc>
              <w:tc>
                <w:tcPr/>
                <w:p>
                  <w:pPr>
                    <w:pStyle w:val="Compact"/>
                    <w:jc w:val="left"/>
                    <w:jc w:val="center"/>
                  </w:pPr>
                  <w:r>
                    <w:t xml:space="preserve">Living in a crowded housing unit</w:t>
                  </w:r>
                </w:p>
              </w:tc>
              <w:tc>
                <w:tcPr/>
                <w:p>
                  <w:pPr>
                    <w:pStyle w:val="Compact"/>
                    <w:jc w:val="right"/>
                    <w:jc w:val="center"/>
                  </w:pPr>
                  <w:r>
                    <w:t xml:space="preserve">-0.02</w:t>
                  </w:r>
                </w:p>
              </w:tc>
              <w:tc>
                <w:tcPr/>
                <w:p>
                  <w:pPr>
                    <w:pStyle w:val="Compact"/>
                    <w:jc w:val="right"/>
                    <w:jc w:val="center"/>
                  </w:pPr>
                  <w:r>
                    <w:t xml:space="preserve">-0.01</w:t>
                  </w:r>
                </w:p>
              </w:tc>
            </w:tr>
            <w:tr>
              <w:tc>
                <w:tcPr/>
                <w:p>
                  <w:pPr>
                    <w:pStyle w:val="Compact"/>
                    <w:jc w:val="left"/>
                    <w:jc w:val="center"/>
                  </w:pPr>
                  <w:r>
                    <w:t xml:space="preserve">Diastolic blood pressure</w:t>
                  </w:r>
                </w:p>
              </w:tc>
              <w:tc>
                <w:tcPr/>
                <w:p>
                  <w:pPr>
                    <w:pStyle w:val="Compact"/>
                    <w:jc w:val="left"/>
                    <w:jc w:val="center"/>
                  </w:pPr>
                  <w:r>
                    <w:t xml:space="preserve">Single parent</w:t>
                  </w:r>
                </w:p>
              </w:tc>
              <w:tc>
                <w:tcPr/>
                <w:p>
                  <w:pPr>
                    <w:pStyle w:val="Compact"/>
                    <w:jc w:val="right"/>
                    <w:jc w:val="center"/>
                  </w:pPr>
                  <w:r>
                    <w:t xml:space="preserve">-0.04</w:t>
                  </w:r>
                </w:p>
              </w:tc>
              <w:tc>
                <w:tcPr/>
                <w:p>
                  <w:pPr>
                    <w:pStyle w:val="Compact"/>
                    <w:jc w:val="right"/>
                    <w:jc w:val="center"/>
                  </w:pPr>
                  <w:r>
                    <w:t xml:space="preserve">-0.02</w:t>
                  </w:r>
                </w:p>
              </w:tc>
            </w:tr>
            <w:tr>
              <w:tc>
                <w:tcPr/>
                <w:p>
                  <w:pPr>
                    <w:pStyle w:val="Compact"/>
                    <w:jc w:val="left"/>
                    <w:jc w:val="center"/>
                  </w:pPr>
                  <w:r>
                    <w:t xml:space="preserve">Diastolic blood pressure</w:t>
                  </w:r>
                </w:p>
              </w:tc>
              <w:tc>
                <w:tcPr/>
                <w:p>
                  <w:pPr>
                    <w:pStyle w:val="Compact"/>
                    <w:jc w:val="left"/>
                    <w:jc w:val="center"/>
                  </w:pPr>
                  <w:r>
                    <w:t xml:space="preserve">Times receiving healthcare over past year</w:t>
                  </w:r>
                </w:p>
              </w:tc>
              <w:tc>
                <w:tcPr/>
                <w:p>
                  <w:pPr>
                    <w:pStyle w:val="Compact"/>
                    <w:jc w:val="right"/>
                    <w:jc w:val="center"/>
                  </w:pPr>
                  <w:r>
                    <w:t xml:space="preserve">-0.04</w:t>
                  </w:r>
                </w:p>
              </w:tc>
              <w:tc>
                <w:tcPr/>
                <w:p>
                  <w:pPr>
                    <w:pStyle w:val="Compact"/>
                    <w:jc w:val="right"/>
                    <w:jc w:val="center"/>
                  </w:pPr>
                  <w:r>
                    <w:t xml:space="preserve">-0.04</w:t>
                  </w:r>
                </w:p>
              </w:tc>
            </w:tr>
            <w:tr>
              <w:tc>
                <w:tcPr/>
                <w:p>
                  <w:pPr>
                    <w:pStyle w:val="Compact"/>
                    <w:jc w:val="left"/>
                    <w:jc w:val="center"/>
                  </w:pPr>
                  <w:r>
                    <w:t xml:space="preserve">Female</w:t>
                  </w:r>
                </w:p>
              </w:tc>
              <w:tc>
                <w:tcPr/>
                <w:p>
                  <w:pPr>
                    <w:pStyle w:val="Compact"/>
                    <w:jc w:val="left"/>
                    <w:jc w:val="center"/>
                  </w:pPr>
                  <w:r>
                    <w:t xml:space="preserve">Living in rented housing unit</w:t>
                  </w:r>
                </w:p>
              </w:tc>
              <w:tc>
                <w:tcPr/>
                <w:p>
                  <w:pPr>
                    <w:pStyle w:val="Compact"/>
                    <w:jc w:val="right"/>
                    <w:jc w:val="center"/>
                  </w:pPr>
                  <w:r>
                    <w:t xml:space="preserve">-0.02</w:t>
                  </w:r>
                </w:p>
              </w:tc>
              <w:tc>
                <w:tcPr/>
                <w:p>
                  <w:pPr>
                    <w:pStyle w:val="Compact"/>
                    <w:jc w:val="right"/>
                    <w:jc w:val="center"/>
                  </w:pPr>
                  <w:r>
                    <w:t xml:space="preserve">-0.01</w:t>
                  </w:r>
                </w:p>
              </w:tc>
            </w:tr>
            <w:tr>
              <w:tc>
                <w:tcPr/>
                <w:p>
                  <w:pPr>
                    <w:pStyle w:val="Compact"/>
                    <w:jc w:val="left"/>
                    <w:jc w:val="center"/>
                  </w:pPr>
                  <w:r>
                    <w:t xml:space="preserve">Female</w:t>
                  </w:r>
                </w:p>
              </w:tc>
              <w:tc>
                <w:tcPr/>
                <w:p>
                  <w:pPr>
                    <w:pStyle w:val="Compact"/>
                    <w:jc w:val="left"/>
                    <w:jc w:val="center"/>
                  </w:pPr>
                  <w:r>
                    <w:t xml:space="preserve">Age</w:t>
                  </w:r>
                </w:p>
              </w:tc>
              <w:tc>
                <w:tcPr/>
                <w:p>
                  <w:pPr>
                    <w:pStyle w:val="Compact"/>
                    <w:jc w:val="right"/>
                    <w:jc w:val="center"/>
                  </w:pPr>
                  <w:r>
                    <w:t xml:space="preserve">0.01</w:t>
                  </w:r>
                </w:p>
              </w:tc>
              <w:tc>
                <w:tcPr/>
                <w:p>
                  <w:pPr>
                    <w:pStyle w:val="Compact"/>
                    <w:jc w:val="right"/>
                    <w:jc w:val="center"/>
                  </w:pPr>
                  <w:r>
                    <w:t xml:space="preserve">0.01</w:t>
                  </w:r>
                </w:p>
              </w:tc>
            </w:tr>
            <w:tr>
              <w:tc>
                <w:tcPr/>
                <w:p>
                  <w:pPr>
                    <w:pStyle w:val="Compact"/>
                    <w:jc w:val="left"/>
                    <w:jc w:val="center"/>
                  </w:pPr>
                  <w:r>
                    <w:t xml:space="preserve">Female</w:t>
                  </w:r>
                </w:p>
              </w:tc>
              <w:tc>
                <w:tcPr/>
                <w:p>
                  <w:pPr>
                    <w:pStyle w:val="Compact"/>
                    <w:jc w:val="left"/>
                    <w:jc w:val="center"/>
                  </w:pPr>
                  <w:r>
                    <w:t xml:space="preserve">Non-Hispanic Black</w:t>
                  </w:r>
                </w:p>
              </w:tc>
              <w:tc>
                <w:tcPr/>
                <w:p>
                  <w:pPr>
                    <w:pStyle w:val="Compact"/>
                    <w:jc w:val="right"/>
                    <w:jc w:val="center"/>
                  </w:pPr>
                  <w:r>
                    <w:t xml:space="preserve">0.01</w:t>
                  </w:r>
                </w:p>
              </w:tc>
              <w:tc>
                <w:tcPr/>
                <w:p>
                  <w:pPr>
                    <w:pStyle w:val="Compact"/>
                    <w:jc w:val="right"/>
                    <w:jc w:val="center"/>
                  </w:pPr>
                  <w:r>
                    <w:t xml:space="preserve">0.00</w:t>
                  </w:r>
                </w:p>
              </w:tc>
            </w:tr>
            <w:tr>
              <w:tc>
                <w:tcPr/>
                <w:p>
                  <w:pPr>
                    <w:pStyle w:val="Compact"/>
                    <w:jc w:val="left"/>
                    <w:jc w:val="center"/>
                  </w:pPr>
                  <w:r>
                    <w:t xml:space="preserve">Female</w:t>
                  </w:r>
                </w:p>
              </w:tc>
              <w:tc>
                <w:tcPr/>
                <w:p>
                  <w:pPr>
                    <w:pStyle w:val="Compact"/>
                    <w:jc w:val="left"/>
                    <w:jc w:val="center"/>
                  </w:pPr>
                  <w:r>
                    <w:t xml:space="preserve">Unemployed</w:t>
                  </w:r>
                </w:p>
              </w:tc>
              <w:tc>
                <w:tcPr/>
                <w:p>
                  <w:pPr>
                    <w:pStyle w:val="Compact"/>
                    <w:jc w:val="right"/>
                    <w:jc w:val="center"/>
                  </w:pPr>
                  <w:r>
                    <w:t xml:space="preserve">0.02</w:t>
                  </w:r>
                </w:p>
              </w:tc>
              <w:tc>
                <w:tcPr/>
                <w:p>
                  <w:pPr>
                    <w:pStyle w:val="Compact"/>
                    <w:jc w:val="right"/>
                    <w:jc w:val="center"/>
                  </w:pPr>
                  <w:r>
                    <w:t xml:space="preserve">0.01</w:t>
                  </w:r>
                </w:p>
              </w:tc>
            </w:tr>
            <w:tr>
              <w:tc>
                <w:tcPr/>
                <w:p>
                  <w:pPr>
                    <w:pStyle w:val="Compact"/>
                    <w:jc w:val="left"/>
                    <w:jc w:val="center"/>
                  </w:pPr>
                  <w:r>
                    <w:t xml:space="preserve">Female</w:t>
                  </w:r>
                </w:p>
              </w:tc>
              <w:tc>
                <w:tcPr/>
                <w:p>
                  <w:pPr>
                    <w:pStyle w:val="Compact"/>
                    <w:jc w:val="left"/>
                    <w:jc w:val="center"/>
                  </w:pPr>
                  <w:r>
                    <w:t xml:space="preserve">Has health insurance</w:t>
                  </w:r>
                </w:p>
              </w:tc>
              <w:tc>
                <w:tcPr/>
                <w:p>
                  <w:pPr>
                    <w:pStyle w:val="Compact"/>
                    <w:jc w:val="right"/>
                    <w:jc w:val="center"/>
                  </w:pPr>
                  <w:r>
                    <w:t xml:space="preserve">0.07</w:t>
                  </w:r>
                </w:p>
              </w:tc>
              <w:tc>
                <w:tcPr/>
                <w:p>
                  <w:pPr>
                    <w:pStyle w:val="Compact"/>
                    <w:jc w:val="right"/>
                    <w:jc w:val="center"/>
                  </w:pPr>
                  <w:r>
                    <w:t xml:space="preserve">0.04</w:t>
                  </w:r>
                </w:p>
              </w:tc>
            </w:tr>
            <w:tr>
              <w:tc>
                <w:tcPr/>
                <w:p>
                  <w:pPr>
                    <w:pStyle w:val="Compact"/>
                    <w:jc w:val="left"/>
                    <w:jc w:val="center"/>
                  </w:pPr>
                  <w:r>
                    <w:t xml:space="preserve">Female</w:t>
                  </w:r>
                </w:p>
              </w:tc>
              <w:tc>
                <w:tcPr/>
                <w:p>
                  <w:pPr>
                    <w:pStyle w:val="Compact"/>
                    <w:jc w:val="left"/>
                    <w:jc w:val="center"/>
                  </w:pPr>
                  <w:r>
                    <w:t xml:space="preserve">Has place for routine healthcare</w:t>
                  </w:r>
                </w:p>
              </w:tc>
              <w:tc>
                <w:tcPr/>
                <w:p>
                  <w:pPr>
                    <w:pStyle w:val="Compact"/>
                    <w:jc w:val="right"/>
                    <w:jc w:val="center"/>
                  </w:pPr>
                  <w:r>
                    <w:t xml:space="preserve">0.17</w:t>
                  </w:r>
                </w:p>
              </w:tc>
              <w:tc>
                <w:tcPr/>
                <w:p>
                  <w:pPr>
                    <w:pStyle w:val="Compact"/>
                    <w:jc w:val="right"/>
                    <w:jc w:val="center"/>
                  </w:pPr>
                  <w:r>
                    <w:t xml:space="preserve">0.12</w:t>
                  </w:r>
                </w:p>
              </w:tc>
            </w:tr>
            <w:tr>
              <w:tc>
                <w:tcPr/>
                <w:p>
                  <w:pPr>
                    <w:pStyle w:val="Compact"/>
                    <w:jc w:val="left"/>
                    <w:jc w:val="center"/>
                  </w:pPr>
                  <w:r>
                    <w:t xml:space="preserve">Female</w:t>
                  </w:r>
                </w:p>
              </w:tc>
              <w:tc>
                <w:tcPr/>
                <w:p>
                  <w:pPr>
                    <w:pStyle w:val="Compact"/>
                    <w:jc w:val="left"/>
                    <w:jc w:val="center"/>
                  </w:pPr>
                  <w:r>
                    <w:t xml:space="preserve">Living in a crowded housing unit</w:t>
                  </w:r>
                </w:p>
              </w:tc>
              <w:tc>
                <w:tcPr/>
                <w:p>
                  <w:pPr>
                    <w:pStyle w:val="Compact"/>
                    <w:jc w:val="right"/>
                    <w:jc w:val="center"/>
                  </w:pPr>
                  <w:r>
                    <w:t xml:space="preserve">0.00</w:t>
                  </w:r>
                </w:p>
              </w:tc>
              <w:tc>
                <w:tcPr/>
                <w:p>
                  <w:pPr>
                    <w:pStyle w:val="Compact"/>
                    <w:jc w:val="right"/>
                    <w:jc w:val="center"/>
                  </w:pPr>
                  <w:r>
                    <w:t xml:space="preserve">-0.00</w:t>
                  </w:r>
                </w:p>
              </w:tc>
            </w:tr>
            <w:tr>
              <w:tc>
                <w:tcPr/>
                <w:p>
                  <w:pPr>
                    <w:pStyle w:val="Compact"/>
                    <w:jc w:val="left"/>
                    <w:jc w:val="center"/>
                  </w:pPr>
                  <w:r>
                    <w:t xml:space="preserve">Female</w:t>
                  </w:r>
                </w:p>
              </w:tc>
              <w:tc>
                <w:tcPr/>
                <w:p>
                  <w:pPr>
                    <w:pStyle w:val="Compact"/>
                    <w:jc w:val="left"/>
                    <w:jc w:val="center"/>
                  </w:pPr>
                  <w:r>
                    <w:t xml:space="preserve">Times receiving healthcare over past year</w:t>
                  </w:r>
                </w:p>
              </w:tc>
              <w:tc>
                <w:tcPr/>
                <w:p>
                  <w:pPr>
                    <w:pStyle w:val="Compact"/>
                    <w:jc w:val="right"/>
                    <w:jc w:val="center"/>
                  </w:pPr>
                  <w:r>
                    <w:t xml:space="preserve">0.16</w:t>
                  </w:r>
                </w:p>
              </w:tc>
              <w:tc>
                <w:tcPr/>
                <w:p>
                  <w:pPr>
                    <w:pStyle w:val="Compact"/>
                    <w:jc w:val="right"/>
                    <w:jc w:val="center"/>
                  </w:pPr>
                  <w:r>
                    <w:t xml:space="preserve">0.13</w:t>
                  </w:r>
                </w:p>
              </w:tc>
            </w:tr>
            <w:tr>
              <w:tc>
                <w:tcPr/>
                <w:p>
                  <w:pPr>
                    <w:pStyle w:val="Compact"/>
                    <w:jc w:val="left"/>
                    <w:jc w:val="center"/>
                  </w:pPr>
                  <w:r>
                    <w:t xml:space="preserve">Female</w:t>
                  </w:r>
                </w:p>
              </w:tc>
              <w:tc>
                <w:tcPr/>
                <w:p>
                  <w:pPr>
                    <w:pStyle w:val="Compact"/>
                    <w:jc w:val="left"/>
                    <w:jc w:val="center"/>
                  </w:pPr>
                  <w:r>
                    <w:t xml:space="preserve">Has less than 12 years of education</w:t>
                  </w:r>
                </w:p>
              </w:tc>
              <w:tc>
                <w:tcPr/>
                <w:p>
                  <w:pPr>
                    <w:pStyle w:val="Compact"/>
                    <w:jc w:val="right"/>
                    <w:jc w:val="center"/>
                  </w:pPr>
                  <w:r>
                    <w:t xml:space="preserve">-0.05</w:t>
                  </w:r>
                </w:p>
              </w:tc>
              <w:tc>
                <w:tcPr/>
                <w:p>
                  <w:pPr>
                    <w:pStyle w:val="Compact"/>
                    <w:jc w:val="right"/>
                    <w:jc w:val="center"/>
                  </w:pPr>
                  <w:r>
                    <w:t xml:space="preserve">-0.02</w:t>
                  </w:r>
                </w:p>
              </w:tc>
            </w:tr>
            <w:tr>
              <w:tc>
                <w:tcPr/>
                <w:p>
                  <w:pPr>
                    <w:pStyle w:val="Compact"/>
                    <w:jc w:val="left"/>
                    <w:jc w:val="center"/>
                  </w:pPr>
                  <w:r>
                    <w:t xml:space="preserve">Female</w:t>
                  </w:r>
                </w:p>
              </w:tc>
              <w:tc>
                <w:tcPr/>
                <w:p>
                  <w:pPr>
                    <w:pStyle w:val="Compact"/>
                    <w:jc w:val="left"/>
                    <w:jc w:val="center"/>
                  </w:pPr>
                  <w:r>
                    <w:t xml:space="preserve">Single parent</w:t>
                  </w:r>
                </w:p>
              </w:tc>
              <w:tc>
                <w:tcPr/>
                <w:p>
                  <w:pPr>
                    <w:pStyle w:val="Compact"/>
                    <w:jc w:val="right"/>
                    <w:jc w:val="center"/>
                  </w:pPr>
                  <w:r>
                    <w:t xml:space="preserve">0.13</w:t>
                  </w:r>
                </w:p>
              </w:tc>
              <w:tc>
                <w:tcPr/>
                <w:p>
                  <w:pPr>
                    <w:pStyle w:val="Compact"/>
                    <w:jc w:val="right"/>
                    <w:jc w:val="center"/>
                  </w:pPr>
                  <w:r>
                    <w:t xml:space="preserve">0.11</w:t>
                  </w:r>
                </w:p>
              </w:tc>
            </w:tr>
            <w:tr>
              <w:tc>
                <w:tcPr/>
                <w:p>
                  <w:pPr>
                    <w:pStyle w:val="Compact"/>
                    <w:jc w:val="left"/>
                    <w:jc w:val="center"/>
                  </w:pPr>
                  <w:r>
                    <w:t xml:space="preserve">Female</w:t>
                  </w:r>
                </w:p>
              </w:tc>
              <w:tc>
                <w:tcPr/>
                <w:p>
                  <w:pPr>
                    <w:pStyle w:val="Compact"/>
                    <w:jc w:val="left"/>
                    <w:jc w:val="center"/>
                  </w:pPr>
                  <w:r>
                    <w:t xml:space="preserve">Diastolic blood pressure</w:t>
                  </w:r>
                </w:p>
              </w:tc>
              <w:tc>
                <w:tcPr/>
                <w:p>
                  <w:pPr>
                    <w:pStyle w:val="Compact"/>
                    <w:jc w:val="right"/>
                    <w:jc w:val="center"/>
                  </w:pPr>
                  <w:r>
                    <w:t xml:space="preserve">-0.14</w:t>
                  </w:r>
                </w:p>
              </w:tc>
              <w:tc>
                <w:tcPr/>
                <w:p>
                  <w:pPr>
                    <w:pStyle w:val="Compact"/>
                    <w:jc w:val="right"/>
                    <w:jc w:val="center"/>
                  </w:pPr>
                  <w:r>
                    <w:t xml:space="preserve">-0.11</w:t>
                  </w:r>
                </w:p>
              </w:tc>
            </w:tr>
            <w:tr>
              <w:tc>
                <w:tcPr/>
                <w:p>
                  <w:pPr>
                    <w:pStyle w:val="Compact"/>
                    <w:jc w:val="left"/>
                    <w:jc w:val="center"/>
                  </w:pPr>
                  <w:r>
                    <w:t xml:space="preserve">Female</w:t>
                  </w:r>
                </w:p>
              </w:tc>
              <w:tc>
                <w:tcPr/>
                <w:p>
                  <w:pPr>
                    <w:pStyle w:val="Compact"/>
                    <w:jc w:val="left"/>
                    <w:jc w:val="center"/>
                  </w:pPr>
                  <w:r>
                    <w:t xml:space="preserve">Systolic blood pressure</w:t>
                  </w:r>
                </w:p>
              </w:tc>
              <w:tc>
                <w:tcPr/>
                <w:p>
                  <w:pPr>
                    <w:pStyle w:val="Compact"/>
                    <w:jc w:val="right"/>
                    <w:jc w:val="center"/>
                  </w:pPr>
                  <w:r>
                    <w:t xml:space="preserve">-0.16</w:t>
                  </w:r>
                </w:p>
              </w:tc>
              <w:tc>
                <w:tcPr/>
                <w:p>
                  <w:pPr>
                    <w:pStyle w:val="Compact"/>
                    <w:jc w:val="right"/>
                    <w:jc w:val="center"/>
                  </w:pPr>
                  <w:r>
                    <w:t xml:space="preserve">-0.13</w:t>
                  </w:r>
                </w:p>
              </w:tc>
            </w:tr>
            <w:tr>
              <w:tc>
                <w:tcPr/>
                <w:p>
                  <w:pPr>
                    <w:pStyle w:val="Compact"/>
                    <w:jc w:val="left"/>
                    <w:jc w:val="center"/>
                  </w:pPr>
                  <w:r>
                    <w:t xml:space="preserve">Female</w:t>
                  </w:r>
                </w:p>
              </w:tc>
              <w:tc>
                <w:tcPr/>
                <w:p>
                  <w:pPr>
                    <w:pStyle w:val="Compact"/>
                    <w:jc w:val="left"/>
                    <w:jc w:val="center"/>
                  </w:pPr>
                  <w:r>
                    <w:t xml:space="preserve">Ratio of family income to poverty</w:t>
                  </w:r>
                </w:p>
              </w:tc>
              <w:tc>
                <w:tcPr/>
                <w:p>
                  <w:pPr>
                    <w:pStyle w:val="Compact"/>
                    <w:jc w:val="right"/>
                    <w:jc w:val="center"/>
                  </w:pPr>
                  <w:r>
                    <w:t xml:space="preserve">-0.04</w:t>
                  </w:r>
                </w:p>
              </w:tc>
              <w:tc>
                <w:tcPr/>
                <w:p>
                  <w:pPr>
                    <w:pStyle w:val="Compact"/>
                    <w:jc w:val="right"/>
                    <w:jc w:val="center"/>
                  </w:pPr>
                  <w:r>
                    <w:t xml:space="preserve">-0.03</w:t>
                  </w:r>
                </w:p>
              </w:tc>
            </w:tr>
            <w:tr>
              <w:tc>
                <w:tcPr/>
                <w:p>
                  <w:pPr>
                    <w:pStyle w:val="Compact"/>
                    <w:jc w:val="left"/>
                    <w:jc w:val="center"/>
                  </w:pPr>
                  <w:r>
                    <w:t xml:space="preserve">Female</w:t>
                  </w:r>
                </w:p>
              </w:tc>
              <w:tc>
                <w:tcPr/>
                <w:p>
                  <w:pPr>
                    <w:pStyle w:val="Compact"/>
                    <w:jc w:val="left"/>
                    <w:jc w:val="center"/>
                  </w:pPr>
                  <w:r>
                    <w:t xml:space="preserve">Below poverty threshold</w:t>
                  </w:r>
                </w:p>
              </w:tc>
              <w:tc>
                <w:tcPr/>
                <w:p>
                  <w:pPr>
                    <w:pStyle w:val="Compact"/>
                    <w:jc w:val="right"/>
                    <w:jc w:val="center"/>
                  </w:pPr>
                  <w:r>
                    <w:t xml:space="preserve">0.04</w:t>
                  </w:r>
                </w:p>
              </w:tc>
              <w:tc>
                <w:tcPr/>
                <w:p>
                  <w:pPr>
                    <w:pStyle w:val="Compact"/>
                    <w:jc w:val="right"/>
                    <w:jc w:val="center"/>
                  </w:pPr>
                  <w:r>
                    <w:t xml:space="preserve">0.02</w:t>
                  </w:r>
                </w:p>
              </w:tc>
            </w:tr>
            <w:tr>
              <w:tc>
                <w:tcPr/>
                <w:p>
                  <w:pPr>
                    <w:pStyle w:val="Compact"/>
                    <w:jc w:val="left"/>
                    <w:jc w:val="center"/>
                  </w:pPr>
                  <w:r>
                    <w:t xml:space="preserve">Has health insurance</w:t>
                  </w:r>
                </w:p>
              </w:tc>
              <w:tc>
                <w:tcPr/>
                <w:p>
                  <w:pPr>
                    <w:pStyle w:val="Compact"/>
                    <w:jc w:val="left"/>
                    <w:jc w:val="center"/>
                  </w:pPr>
                  <w:r>
                    <w:t xml:space="preserve">Systolic blood pressure</w:t>
                  </w:r>
                </w:p>
              </w:tc>
              <w:tc>
                <w:tcPr/>
                <w:p>
                  <w:pPr>
                    <w:pStyle w:val="Compact"/>
                    <w:jc w:val="right"/>
                    <w:jc w:val="center"/>
                  </w:pPr>
                  <w:r>
                    <w:t xml:space="preserve">-0.01</w:t>
                  </w:r>
                </w:p>
              </w:tc>
              <w:tc>
                <w:tcPr/>
                <w:p>
                  <w:pPr>
                    <w:pStyle w:val="Compact"/>
                    <w:jc w:val="right"/>
                    <w:jc w:val="center"/>
                  </w:pPr>
                  <w:r>
                    <w:t xml:space="preserve">-0.01</w:t>
                  </w:r>
                </w:p>
              </w:tc>
            </w:tr>
            <w:tr>
              <w:tc>
                <w:tcPr/>
                <w:p>
                  <w:pPr>
                    <w:pStyle w:val="Compact"/>
                    <w:jc w:val="left"/>
                    <w:jc w:val="center"/>
                  </w:pPr>
                  <w:r>
                    <w:t xml:space="preserve">Has health insurance</w:t>
                  </w:r>
                </w:p>
              </w:tc>
              <w:tc>
                <w:tcPr/>
                <w:p>
                  <w:pPr>
                    <w:pStyle w:val="Compact"/>
                    <w:jc w:val="left"/>
                    <w:jc w:val="center"/>
                  </w:pPr>
                  <w:r>
                    <w:t xml:space="preserve">Living in a crowded housing unit</w:t>
                  </w:r>
                </w:p>
              </w:tc>
              <w:tc>
                <w:tcPr/>
                <w:p>
                  <w:pPr>
                    <w:pStyle w:val="Compact"/>
                    <w:jc w:val="right"/>
                    <w:jc w:val="center"/>
                  </w:pPr>
                  <w:r>
                    <w:t xml:space="preserve">-0.10</w:t>
                  </w:r>
                </w:p>
              </w:tc>
              <w:tc>
                <w:tcPr/>
                <w:p>
                  <w:pPr>
                    <w:pStyle w:val="Compact"/>
                    <w:jc w:val="right"/>
                    <w:jc w:val="center"/>
                  </w:pPr>
                  <w:r>
                    <w:t xml:space="preserve">-0.07</w:t>
                  </w:r>
                </w:p>
              </w:tc>
            </w:tr>
            <w:tr>
              <w:tc>
                <w:tcPr/>
                <w:p>
                  <w:pPr>
                    <w:pStyle w:val="Compact"/>
                    <w:jc w:val="left"/>
                    <w:jc w:val="center"/>
                  </w:pPr>
                  <w:r>
                    <w:t xml:space="preserve">Has health insurance</w:t>
                  </w:r>
                </w:p>
              </w:tc>
              <w:tc>
                <w:tcPr/>
                <w:p>
                  <w:pPr>
                    <w:pStyle w:val="Compact"/>
                    <w:jc w:val="left"/>
                    <w:jc w:val="center"/>
                  </w:pPr>
                  <w:r>
                    <w:t xml:space="preserve">Unemployed</w:t>
                  </w:r>
                </w:p>
              </w:tc>
              <w:tc>
                <w:tcPr/>
                <w:p>
                  <w:pPr>
                    <w:pStyle w:val="Compact"/>
                    <w:jc w:val="right"/>
                    <w:jc w:val="center"/>
                  </w:pPr>
                  <w:r>
                    <w:t xml:space="preserve">-0.05</w:t>
                  </w:r>
                </w:p>
              </w:tc>
              <w:tc>
                <w:tcPr/>
                <w:p>
                  <w:pPr>
                    <w:pStyle w:val="Compact"/>
                    <w:jc w:val="right"/>
                    <w:jc w:val="center"/>
                  </w:pPr>
                  <w:r>
                    <w:t xml:space="preserve">-0.02</w:t>
                  </w:r>
                </w:p>
              </w:tc>
            </w:tr>
            <w:tr>
              <w:tc>
                <w:tcPr/>
                <w:p>
                  <w:pPr>
                    <w:pStyle w:val="Compact"/>
                    <w:jc w:val="left"/>
                    <w:jc w:val="center"/>
                  </w:pPr>
                  <w:r>
                    <w:t xml:space="preserve">Has health insurance</w:t>
                  </w:r>
                </w:p>
              </w:tc>
              <w:tc>
                <w:tcPr/>
                <w:p>
                  <w:pPr>
                    <w:pStyle w:val="Compact"/>
                    <w:jc w:val="left"/>
                    <w:jc w:val="center"/>
                  </w:pPr>
                  <w:r>
                    <w:t xml:space="preserve">Living in rented housing unit</w:t>
                  </w:r>
                </w:p>
              </w:tc>
              <w:tc>
                <w:tcPr/>
                <w:p>
                  <w:pPr>
                    <w:pStyle w:val="Compact"/>
                    <w:jc w:val="right"/>
                    <w:jc w:val="center"/>
                  </w:pPr>
                  <w:r>
                    <w:t xml:space="preserve">-0.15</w:t>
                  </w:r>
                </w:p>
              </w:tc>
              <w:tc>
                <w:tcPr/>
                <w:p>
                  <w:pPr>
                    <w:pStyle w:val="Compact"/>
                    <w:jc w:val="right"/>
                    <w:jc w:val="center"/>
                  </w:pPr>
                  <w:r>
                    <w:t xml:space="preserve">-0.13</w:t>
                  </w:r>
                </w:p>
              </w:tc>
            </w:tr>
            <w:tr>
              <w:tc>
                <w:tcPr/>
                <w:p>
                  <w:pPr>
                    <w:pStyle w:val="Compact"/>
                    <w:jc w:val="left"/>
                    <w:jc w:val="center"/>
                  </w:pPr>
                  <w:r>
                    <w:t xml:space="preserve">Has health insurance</w:t>
                  </w:r>
                </w:p>
              </w:tc>
              <w:tc>
                <w:tcPr/>
                <w:p>
                  <w:pPr>
                    <w:pStyle w:val="Compact"/>
                    <w:jc w:val="left"/>
                    <w:jc w:val="center"/>
                  </w:pPr>
                  <w:r>
                    <w:t xml:space="preserve">Has less than 12 years of education</w:t>
                  </w:r>
                </w:p>
              </w:tc>
              <w:tc>
                <w:tcPr/>
                <w:p>
                  <w:pPr>
                    <w:pStyle w:val="Compact"/>
                    <w:jc w:val="right"/>
                    <w:jc w:val="center"/>
                  </w:pPr>
                  <w:r>
                    <w:t xml:space="preserve">-0.15</w:t>
                  </w:r>
                </w:p>
              </w:tc>
              <w:tc>
                <w:tcPr/>
                <w:p>
                  <w:pPr>
                    <w:pStyle w:val="Compact"/>
                    <w:jc w:val="right"/>
                    <w:jc w:val="center"/>
                  </w:pPr>
                  <w:r>
                    <w:t xml:space="preserve">-0.10</w:t>
                  </w:r>
                </w:p>
              </w:tc>
            </w:tr>
            <w:tr>
              <w:tc>
                <w:tcPr/>
                <w:p>
                  <w:pPr>
                    <w:pStyle w:val="Compact"/>
                    <w:jc w:val="left"/>
                    <w:jc w:val="center"/>
                  </w:pPr>
                  <w:r>
                    <w:t xml:space="preserve">Has health insurance</w:t>
                  </w:r>
                </w:p>
              </w:tc>
              <w:tc>
                <w:tcPr/>
                <w:p>
                  <w:pPr>
                    <w:pStyle w:val="Compact"/>
                    <w:jc w:val="left"/>
                    <w:jc w:val="center"/>
                  </w:pPr>
                  <w:r>
                    <w:t xml:space="preserve">Below poverty threshold</w:t>
                  </w:r>
                </w:p>
              </w:tc>
              <w:tc>
                <w:tcPr/>
                <w:p>
                  <w:pPr>
                    <w:pStyle w:val="Compact"/>
                    <w:jc w:val="right"/>
                    <w:jc w:val="center"/>
                  </w:pPr>
                  <w:r>
                    <w:t xml:space="preserve">-0.20</w:t>
                  </w:r>
                </w:p>
              </w:tc>
              <w:tc>
                <w:tcPr/>
                <w:p>
                  <w:pPr>
                    <w:pStyle w:val="Compact"/>
                    <w:jc w:val="right"/>
                    <w:jc w:val="center"/>
                  </w:pPr>
                  <w:r>
                    <w:t xml:space="preserve">-0.17</w:t>
                  </w:r>
                </w:p>
              </w:tc>
            </w:tr>
            <w:tr>
              <w:tc>
                <w:tcPr/>
                <w:p>
                  <w:pPr>
                    <w:pStyle w:val="Compact"/>
                    <w:jc w:val="left"/>
                    <w:jc w:val="center"/>
                  </w:pPr>
                  <w:r>
                    <w:t xml:space="preserve">Has health insurance</w:t>
                  </w:r>
                </w:p>
              </w:tc>
              <w:tc>
                <w:tcPr/>
                <w:p>
                  <w:pPr>
                    <w:pStyle w:val="Compact"/>
                    <w:jc w:val="left"/>
                    <w:jc w:val="center"/>
                  </w:pPr>
                  <w:r>
                    <w:t xml:space="preserve">Diastolic blood pressure</w:t>
                  </w:r>
                </w:p>
              </w:tc>
              <w:tc>
                <w:tcPr/>
                <w:p>
                  <w:pPr>
                    <w:pStyle w:val="Compact"/>
                    <w:jc w:val="right"/>
                    <w:jc w:val="center"/>
                  </w:pPr>
                  <w:r>
                    <w:t xml:space="preserve">-0.00</w:t>
                  </w:r>
                </w:p>
              </w:tc>
              <w:tc>
                <w:tcPr/>
                <w:p>
                  <w:pPr>
                    <w:pStyle w:val="Compact"/>
                    <w:jc w:val="right"/>
                    <w:jc w:val="center"/>
                  </w:pPr>
                  <w:r>
                    <w:t xml:space="preserve">-0.00</w:t>
                  </w:r>
                </w:p>
              </w:tc>
            </w:tr>
            <w:tr>
              <w:tc>
                <w:tcPr/>
                <w:p>
                  <w:pPr>
                    <w:pStyle w:val="Compact"/>
                    <w:jc w:val="left"/>
                    <w:jc w:val="center"/>
                  </w:pPr>
                  <w:r>
                    <w:t xml:space="preserve">Has health insurance</w:t>
                  </w:r>
                </w:p>
              </w:tc>
              <w:tc>
                <w:tcPr/>
                <w:p>
                  <w:pPr>
                    <w:pStyle w:val="Compact"/>
                    <w:jc w:val="left"/>
                    <w:jc w:val="center"/>
                  </w:pPr>
                  <w:r>
                    <w:t xml:space="preserve">Ratio of family income to poverty</w:t>
                  </w:r>
                </w:p>
              </w:tc>
              <w:tc>
                <w:tcPr/>
                <w:p>
                  <w:pPr>
                    <w:pStyle w:val="Compact"/>
                    <w:jc w:val="right"/>
                    <w:jc w:val="center"/>
                  </w:pPr>
                  <w:r>
                    <w:t xml:space="preserve">0.29</w:t>
                  </w:r>
                </w:p>
              </w:tc>
              <w:tc>
                <w:tcPr/>
                <w:p>
                  <w:pPr>
                    <w:pStyle w:val="Compact"/>
                    <w:jc w:val="right"/>
                    <w:jc w:val="center"/>
                  </w:pPr>
                  <w:r>
                    <w:t xml:space="preserve">0.16</w:t>
                  </w:r>
                </w:p>
              </w:tc>
            </w:tr>
            <w:tr>
              <w:tc>
                <w:tcPr/>
                <w:p>
                  <w:pPr>
                    <w:pStyle w:val="Compact"/>
                    <w:jc w:val="left"/>
                    <w:jc w:val="center"/>
                  </w:pPr>
                  <w:r>
                    <w:t xml:space="preserve">Has health insurance</w:t>
                  </w:r>
                </w:p>
              </w:tc>
              <w:tc>
                <w:tcPr/>
                <w:p>
                  <w:pPr>
                    <w:pStyle w:val="Compact"/>
                    <w:jc w:val="left"/>
                    <w:jc w:val="center"/>
                  </w:pPr>
                  <w:r>
                    <w:t xml:space="preserve">Times receiving healthcare over past year</w:t>
                  </w:r>
                </w:p>
              </w:tc>
              <w:tc>
                <w:tcPr/>
                <w:p>
                  <w:pPr>
                    <w:pStyle w:val="Compact"/>
                    <w:jc w:val="right"/>
                    <w:jc w:val="center"/>
                  </w:pPr>
                  <w:r>
                    <w:t xml:space="preserve">0.16</w:t>
                  </w:r>
                </w:p>
              </w:tc>
              <w:tc>
                <w:tcPr/>
                <w:p>
                  <w:pPr>
                    <w:pStyle w:val="Compact"/>
                    <w:jc w:val="right"/>
                    <w:jc w:val="center"/>
                  </w:pPr>
                  <w:r>
                    <w:t xml:space="preserve">0.15</w:t>
                  </w:r>
                </w:p>
              </w:tc>
            </w:tr>
            <w:tr>
              <w:tc>
                <w:tcPr/>
                <w:p>
                  <w:pPr>
                    <w:pStyle w:val="Compact"/>
                    <w:jc w:val="left"/>
                    <w:jc w:val="center"/>
                  </w:pPr>
                  <w:r>
                    <w:t xml:space="preserve">Has health insurance</w:t>
                  </w:r>
                </w:p>
              </w:tc>
              <w:tc>
                <w:tcPr/>
                <w:p>
                  <w:pPr>
                    <w:pStyle w:val="Compact"/>
                    <w:jc w:val="left"/>
                    <w:jc w:val="center"/>
                  </w:pPr>
                  <w:r>
                    <w:t xml:space="preserve">Single parent</w:t>
                  </w:r>
                </w:p>
              </w:tc>
              <w:tc>
                <w:tcPr/>
                <w:p>
                  <w:pPr>
                    <w:pStyle w:val="Compact"/>
                    <w:jc w:val="right"/>
                    <w:jc w:val="center"/>
                  </w:pPr>
                  <w:r>
                    <w:t xml:space="preserve">-0.06</w:t>
                  </w:r>
                </w:p>
              </w:tc>
              <w:tc>
                <w:tcPr/>
                <w:p>
                  <w:pPr>
                    <w:pStyle w:val="Compact"/>
                    <w:jc w:val="right"/>
                    <w:jc w:val="center"/>
                  </w:pPr>
                  <w:r>
                    <w:t xml:space="preserve">-0.03</w:t>
                  </w:r>
                </w:p>
              </w:tc>
            </w:tr>
            <w:tr>
              <w:tc>
                <w:tcPr/>
                <w:p>
                  <w:pPr>
                    <w:pStyle w:val="Compact"/>
                    <w:jc w:val="left"/>
                    <w:jc w:val="center"/>
                  </w:pPr>
                  <w:r>
                    <w:t xml:space="preserve">Has health insurance</w:t>
                  </w:r>
                </w:p>
              </w:tc>
              <w:tc>
                <w:tcPr/>
                <w:p>
                  <w:pPr>
                    <w:pStyle w:val="Compact"/>
                    <w:jc w:val="left"/>
                    <w:jc w:val="center"/>
                  </w:pPr>
                  <w:r>
                    <w:t xml:space="preserve">Has place for routine healthcare</w:t>
                  </w:r>
                </w:p>
              </w:tc>
              <w:tc>
                <w:tcPr/>
                <w:p>
                  <w:pPr>
                    <w:pStyle w:val="Compact"/>
                    <w:jc w:val="right"/>
                    <w:jc w:val="center"/>
                  </w:pPr>
                  <w:r>
                    <w:t xml:space="preserve">0.25</w:t>
                  </w:r>
                </w:p>
              </w:tc>
              <w:tc>
                <w:tcPr/>
                <w:p>
                  <w:pPr>
                    <w:pStyle w:val="Compact"/>
                    <w:jc w:val="right"/>
                    <w:jc w:val="center"/>
                  </w:pPr>
                  <w:r>
                    <w:t xml:space="preserve">0.24</w:t>
                  </w:r>
                </w:p>
              </w:tc>
            </w:tr>
            <w:tr>
              <w:tc>
                <w:tcPr/>
                <w:p>
                  <w:pPr>
                    <w:pStyle w:val="Compact"/>
                    <w:jc w:val="left"/>
                    <w:jc w:val="center"/>
                  </w:pPr>
                  <w:r>
                    <w:t xml:space="preserve">Has less than 12 years of education</w:t>
                  </w:r>
                </w:p>
              </w:tc>
              <w:tc>
                <w:tcPr/>
                <w:p>
                  <w:pPr>
                    <w:pStyle w:val="Compact"/>
                    <w:jc w:val="left"/>
                    <w:jc w:val="center"/>
                  </w:pPr>
                  <w:r>
                    <w:t xml:space="preserve">Times receiving healthcare over past year</w:t>
                  </w:r>
                </w:p>
              </w:tc>
              <w:tc>
                <w:tcPr/>
                <w:p>
                  <w:pPr>
                    <w:pStyle w:val="Compact"/>
                    <w:jc w:val="right"/>
                    <w:jc w:val="center"/>
                  </w:pPr>
                  <w:r>
                    <w:t xml:space="preserve">-0.00</w:t>
                  </w:r>
                </w:p>
              </w:tc>
              <w:tc>
                <w:tcPr/>
                <w:p>
                  <w:pPr>
                    <w:pStyle w:val="Compact"/>
                    <w:jc w:val="right"/>
                    <w:jc w:val="center"/>
                  </w:pPr>
                  <w:r>
                    <w:t xml:space="preserve">-0.00</w:t>
                  </w:r>
                </w:p>
              </w:tc>
            </w:tr>
            <w:tr>
              <w:tc>
                <w:tcPr/>
                <w:p>
                  <w:pPr>
                    <w:pStyle w:val="Compact"/>
                    <w:jc w:val="left"/>
                    <w:jc w:val="center"/>
                  </w:pPr>
                  <w:r>
                    <w:t xml:space="preserve">Has less than 12 years of education</w:t>
                  </w:r>
                </w:p>
              </w:tc>
              <w:tc>
                <w:tcPr/>
                <w:p>
                  <w:pPr>
                    <w:pStyle w:val="Compact"/>
                    <w:jc w:val="left"/>
                    <w:jc w:val="center"/>
                  </w:pPr>
                  <w:r>
                    <w:t xml:space="preserve">Single parent</w:t>
                  </w:r>
                </w:p>
              </w:tc>
              <w:tc>
                <w:tcPr/>
                <w:p>
                  <w:pPr>
                    <w:pStyle w:val="Compact"/>
                    <w:jc w:val="right"/>
                    <w:jc w:val="center"/>
                  </w:pPr>
                  <w:r>
                    <w:t xml:space="preserve">0.07</w:t>
                  </w:r>
                </w:p>
              </w:tc>
              <w:tc>
                <w:tcPr/>
                <w:p>
                  <w:pPr>
                    <w:pStyle w:val="Compact"/>
                    <w:jc w:val="right"/>
                    <w:jc w:val="center"/>
                  </w:pPr>
                  <w:r>
                    <w:t xml:space="preserve">0.02</w:t>
                  </w:r>
                </w:p>
              </w:tc>
            </w:tr>
            <w:tr>
              <w:tc>
                <w:tcPr/>
                <w:p>
                  <w:pPr>
                    <w:pStyle w:val="Compact"/>
                    <w:jc w:val="left"/>
                    <w:jc w:val="center"/>
                  </w:pPr>
                  <w:r>
                    <w:t xml:space="preserve">Has less than 12 years of education</w:t>
                  </w:r>
                </w:p>
              </w:tc>
              <w:tc>
                <w:tcPr/>
                <w:p>
                  <w:pPr>
                    <w:pStyle w:val="Compact"/>
                    <w:jc w:val="left"/>
                    <w:jc w:val="center"/>
                  </w:pPr>
                  <w:r>
                    <w:t xml:space="preserve">Living in a crowded housing unit</w:t>
                  </w:r>
                </w:p>
              </w:tc>
              <w:tc>
                <w:tcPr/>
                <w:p>
                  <w:pPr>
                    <w:pStyle w:val="Compact"/>
                    <w:jc w:val="right"/>
                    <w:jc w:val="center"/>
                  </w:pPr>
                  <w:r>
                    <w:t xml:space="preserve">0.12</w:t>
                  </w:r>
                </w:p>
              </w:tc>
              <w:tc>
                <w:tcPr/>
                <w:p>
                  <w:pPr>
                    <w:pStyle w:val="Compact"/>
                    <w:jc w:val="right"/>
                    <w:jc w:val="center"/>
                  </w:pPr>
                  <w:r>
                    <w:t xml:space="preserve">0.07</w:t>
                  </w:r>
                </w:p>
              </w:tc>
            </w:tr>
            <w:tr>
              <w:tc>
                <w:tcPr/>
                <w:p>
                  <w:pPr>
                    <w:pStyle w:val="Compact"/>
                    <w:jc w:val="left"/>
                    <w:jc w:val="center"/>
                  </w:pPr>
                  <w:r>
                    <w:t xml:space="preserve">Has less than 12 years of education</w:t>
                  </w:r>
                </w:p>
              </w:tc>
              <w:tc>
                <w:tcPr/>
                <w:p>
                  <w:pPr>
                    <w:pStyle w:val="Compact"/>
                    <w:jc w:val="left"/>
                    <w:jc w:val="center"/>
                  </w:pPr>
                  <w:r>
                    <w:t xml:space="preserve">Living in rented housing unit</w:t>
                  </w:r>
                </w:p>
              </w:tc>
              <w:tc>
                <w:tcPr/>
                <w:p>
                  <w:pPr>
                    <w:pStyle w:val="Compact"/>
                    <w:jc w:val="right"/>
                    <w:jc w:val="center"/>
                  </w:pPr>
                  <w:r>
                    <w:t xml:space="preserve">0.08</w:t>
                  </w:r>
                </w:p>
              </w:tc>
              <w:tc>
                <w:tcPr/>
                <w:p>
                  <w:pPr>
                    <w:pStyle w:val="Compact"/>
                    <w:jc w:val="right"/>
                    <w:jc w:val="center"/>
                  </w:pPr>
                  <w:r>
                    <w:t xml:space="preserve">0.04</w:t>
                  </w:r>
                </w:p>
              </w:tc>
            </w:tr>
            <w:tr>
              <w:tc>
                <w:tcPr/>
                <w:p>
                  <w:pPr>
                    <w:pStyle w:val="Compact"/>
                    <w:jc w:val="left"/>
                    <w:jc w:val="center"/>
                  </w:pPr>
                  <w:r>
                    <w:t xml:space="preserve">Has less than 12 years of education</w:t>
                  </w:r>
                </w:p>
              </w:tc>
              <w:tc>
                <w:tcPr/>
                <w:p>
                  <w:pPr>
                    <w:pStyle w:val="Compact"/>
                    <w:jc w:val="left"/>
                    <w:jc w:val="center"/>
                  </w:pPr>
                  <w:r>
                    <w:t xml:space="preserve">Below poverty threshold</w:t>
                  </w:r>
                </w:p>
              </w:tc>
              <w:tc>
                <w:tcPr/>
                <w:p>
                  <w:pPr>
                    <w:pStyle w:val="Compact"/>
                    <w:jc w:val="right"/>
                    <w:jc w:val="center"/>
                  </w:pPr>
                  <w:r>
                    <w:t xml:space="preserve">0.22</w:t>
                  </w:r>
                </w:p>
              </w:tc>
              <w:tc>
                <w:tcPr/>
                <w:p>
                  <w:pPr>
                    <w:pStyle w:val="Compact"/>
                    <w:jc w:val="right"/>
                    <w:jc w:val="center"/>
                  </w:pPr>
                  <w:r>
                    <w:t xml:space="preserve">0.16</w:t>
                  </w:r>
                </w:p>
              </w:tc>
            </w:tr>
            <w:tr>
              <w:tc>
                <w:tcPr/>
                <w:p>
                  <w:pPr>
                    <w:pStyle w:val="Compact"/>
                    <w:jc w:val="left"/>
                    <w:jc w:val="center"/>
                  </w:pPr>
                  <w:r>
                    <w:t xml:space="preserve">Has less than 12 years of education</w:t>
                  </w:r>
                </w:p>
              </w:tc>
              <w:tc>
                <w:tcPr/>
                <w:p>
                  <w:pPr>
                    <w:pStyle w:val="Compact"/>
                    <w:jc w:val="left"/>
                    <w:jc w:val="center"/>
                  </w:pPr>
                  <w:r>
                    <w:t xml:space="preserve">Ratio of family income to poverty</w:t>
                  </w:r>
                </w:p>
              </w:tc>
              <w:tc>
                <w:tcPr/>
                <w:p>
                  <w:pPr>
                    <w:pStyle w:val="Compact"/>
                    <w:jc w:val="right"/>
                    <w:jc w:val="center"/>
                  </w:pPr>
                  <w:r>
                    <w:t xml:space="preserve">-0.26</w:t>
                  </w:r>
                </w:p>
              </w:tc>
              <w:tc>
                <w:tcPr/>
                <w:p>
                  <w:pPr>
                    <w:pStyle w:val="Compact"/>
                    <w:jc w:val="right"/>
                    <w:jc w:val="center"/>
                  </w:pPr>
                  <w:r>
                    <w:t xml:space="preserve">-0.22</w:t>
                  </w:r>
                </w:p>
              </w:tc>
            </w:tr>
            <w:tr>
              <w:tc>
                <w:tcPr/>
                <w:p>
                  <w:pPr>
                    <w:pStyle w:val="Compact"/>
                    <w:jc w:val="left"/>
                    <w:jc w:val="center"/>
                  </w:pPr>
                  <w:r>
                    <w:t xml:space="preserve">Has less than 12 years of education</w:t>
                  </w:r>
                </w:p>
              </w:tc>
              <w:tc>
                <w:tcPr/>
                <w:p>
                  <w:pPr>
                    <w:pStyle w:val="Compact"/>
                    <w:jc w:val="left"/>
                    <w:jc w:val="center"/>
                  </w:pPr>
                  <w:r>
                    <w:t xml:space="preserve">Unemployed</w:t>
                  </w:r>
                </w:p>
              </w:tc>
              <w:tc>
                <w:tcPr/>
                <w:p>
                  <w:pPr>
                    <w:pStyle w:val="Compact"/>
                    <w:jc w:val="right"/>
                    <w:jc w:val="center"/>
                  </w:pPr>
                  <w:r>
                    <w:t xml:space="preserve">0.13</w:t>
                  </w:r>
                </w:p>
              </w:tc>
              <w:tc>
                <w:tcPr/>
                <w:p>
                  <w:pPr>
                    <w:pStyle w:val="Compact"/>
                    <w:jc w:val="right"/>
                    <w:jc w:val="center"/>
                  </w:pPr>
                  <w:r>
                    <w:t xml:space="preserve">0.08</w:t>
                  </w:r>
                </w:p>
              </w:tc>
            </w:tr>
            <w:tr>
              <w:tc>
                <w:tcPr/>
                <w:p>
                  <w:pPr>
                    <w:pStyle w:val="Compact"/>
                    <w:jc w:val="left"/>
                    <w:jc w:val="center"/>
                  </w:pPr>
                  <w:r>
                    <w:t xml:space="preserve">Has less than 12 years of education</w:t>
                  </w:r>
                </w:p>
              </w:tc>
              <w:tc>
                <w:tcPr/>
                <w:p>
                  <w:pPr>
                    <w:pStyle w:val="Compact"/>
                    <w:jc w:val="left"/>
                    <w:jc w:val="center"/>
                  </w:pPr>
                  <w:r>
                    <w:t xml:space="preserve">Has health insurance</w:t>
                  </w:r>
                </w:p>
              </w:tc>
              <w:tc>
                <w:tcPr/>
                <w:p>
                  <w:pPr>
                    <w:pStyle w:val="Compact"/>
                    <w:jc w:val="right"/>
                    <w:jc w:val="center"/>
                  </w:pPr>
                  <w:r>
                    <w:t xml:space="preserve">-0.15</w:t>
                  </w:r>
                </w:p>
              </w:tc>
              <w:tc>
                <w:tcPr/>
                <w:p>
                  <w:pPr>
                    <w:pStyle w:val="Compact"/>
                    <w:jc w:val="right"/>
                    <w:jc w:val="center"/>
                  </w:pPr>
                  <w:r>
                    <w:t xml:space="preserve">-0.10</w:t>
                  </w:r>
                </w:p>
              </w:tc>
            </w:tr>
            <w:tr>
              <w:tc>
                <w:tcPr/>
                <w:p>
                  <w:pPr>
                    <w:pStyle w:val="Compact"/>
                    <w:jc w:val="left"/>
                    <w:jc w:val="center"/>
                  </w:pPr>
                  <w:r>
                    <w:t xml:space="preserve">Has less than 12 years of education</w:t>
                  </w:r>
                </w:p>
              </w:tc>
              <w:tc>
                <w:tcPr/>
                <w:p>
                  <w:pPr>
                    <w:pStyle w:val="Compact"/>
                    <w:jc w:val="left"/>
                    <w:jc w:val="center"/>
                  </w:pPr>
                  <w:r>
                    <w:t xml:space="preserve">Female</w:t>
                  </w:r>
                </w:p>
              </w:tc>
              <w:tc>
                <w:tcPr/>
                <w:p>
                  <w:pPr>
                    <w:pStyle w:val="Compact"/>
                    <w:jc w:val="right"/>
                    <w:jc w:val="center"/>
                  </w:pPr>
                  <w:r>
                    <w:t xml:space="preserve">-0.05</w:t>
                  </w:r>
                </w:p>
              </w:tc>
              <w:tc>
                <w:tcPr/>
                <w:p>
                  <w:pPr>
                    <w:pStyle w:val="Compact"/>
                    <w:jc w:val="right"/>
                    <w:jc w:val="center"/>
                  </w:pPr>
                  <w:r>
                    <w:t xml:space="preserve">-0.02</w:t>
                  </w:r>
                </w:p>
              </w:tc>
            </w:tr>
            <w:tr>
              <w:tc>
                <w:tcPr/>
                <w:p>
                  <w:pPr>
                    <w:pStyle w:val="Compact"/>
                    <w:jc w:val="left"/>
                    <w:jc w:val="center"/>
                  </w:pPr>
                  <w:r>
                    <w:t xml:space="preserve">Has place for routine healthcare</w:t>
                  </w:r>
                </w:p>
              </w:tc>
              <w:tc>
                <w:tcPr/>
                <w:p>
                  <w:pPr>
                    <w:pStyle w:val="Compact"/>
                    <w:jc w:val="left"/>
                    <w:jc w:val="center"/>
                  </w:pPr>
                  <w:r>
                    <w:t xml:space="preserve">Systolic blood pressure</w:t>
                  </w:r>
                </w:p>
              </w:tc>
              <w:tc>
                <w:tcPr/>
                <w:p>
                  <w:pPr>
                    <w:pStyle w:val="Compact"/>
                    <w:jc w:val="right"/>
                    <w:jc w:val="center"/>
                  </w:pPr>
                  <w:r>
                    <w:t xml:space="preserve">0.00</w:t>
                  </w:r>
                </w:p>
              </w:tc>
              <w:tc>
                <w:tcPr/>
                <w:p>
                  <w:pPr>
                    <w:pStyle w:val="Compact"/>
                    <w:jc w:val="right"/>
                    <w:jc w:val="center"/>
                  </w:pPr>
                  <w:r>
                    <w:t xml:space="preserve">0.00</w:t>
                  </w:r>
                </w:p>
              </w:tc>
            </w:tr>
            <w:tr>
              <w:tc>
                <w:tcPr/>
                <w:p>
                  <w:pPr>
                    <w:pStyle w:val="Compact"/>
                    <w:jc w:val="left"/>
                    <w:jc w:val="center"/>
                  </w:pPr>
                  <w:r>
                    <w:t xml:space="preserve">Has place for routine healthcare</w:t>
                  </w:r>
                </w:p>
              </w:tc>
              <w:tc>
                <w:tcPr/>
                <w:p>
                  <w:pPr>
                    <w:pStyle w:val="Compact"/>
                    <w:jc w:val="left"/>
                    <w:jc w:val="center"/>
                  </w:pPr>
                  <w:r>
                    <w:t xml:space="preserve">Female</w:t>
                  </w:r>
                </w:p>
              </w:tc>
              <w:tc>
                <w:tcPr/>
                <w:p>
                  <w:pPr>
                    <w:pStyle w:val="Compact"/>
                    <w:jc w:val="right"/>
                    <w:jc w:val="center"/>
                  </w:pPr>
                  <w:r>
                    <w:t xml:space="preserve">0.17</w:t>
                  </w:r>
                </w:p>
              </w:tc>
              <w:tc>
                <w:tcPr/>
                <w:p>
                  <w:pPr>
                    <w:pStyle w:val="Compact"/>
                    <w:jc w:val="right"/>
                    <w:jc w:val="center"/>
                  </w:pPr>
                  <w:r>
                    <w:t xml:space="preserve">0.12</w:t>
                  </w:r>
                </w:p>
              </w:tc>
            </w:tr>
            <w:tr>
              <w:tc>
                <w:tcPr/>
                <w:p>
                  <w:pPr>
                    <w:pStyle w:val="Compact"/>
                    <w:jc w:val="left"/>
                    <w:jc w:val="center"/>
                  </w:pPr>
                  <w:r>
                    <w:t xml:space="preserve">Has place for routine healthcare</w:t>
                  </w:r>
                </w:p>
              </w:tc>
              <w:tc>
                <w:tcPr/>
                <w:p>
                  <w:pPr>
                    <w:pStyle w:val="Compact"/>
                    <w:jc w:val="left"/>
                    <w:jc w:val="center"/>
                  </w:pPr>
                  <w:r>
                    <w:t xml:space="preserve">Non-Hispanic Black</w:t>
                  </w:r>
                </w:p>
              </w:tc>
              <w:tc>
                <w:tcPr/>
                <w:p>
                  <w:pPr>
                    <w:pStyle w:val="Compact"/>
                    <w:jc w:val="right"/>
                    <w:jc w:val="center"/>
                  </w:pPr>
                  <w:r>
                    <w:t xml:space="preserve">-0.05</w:t>
                  </w:r>
                </w:p>
              </w:tc>
              <w:tc>
                <w:tcPr/>
                <w:p>
                  <w:pPr>
                    <w:pStyle w:val="Compact"/>
                    <w:jc w:val="right"/>
                    <w:jc w:val="center"/>
                  </w:pPr>
                  <w:r>
                    <w:t xml:space="preserve">-0.02</w:t>
                  </w:r>
                </w:p>
              </w:tc>
            </w:tr>
            <w:tr>
              <w:tc>
                <w:tcPr/>
                <w:p>
                  <w:pPr>
                    <w:pStyle w:val="Compact"/>
                    <w:jc w:val="left"/>
                    <w:jc w:val="center"/>
                  </w:pPr>
                  <w:r>
                    <w:t xml:space="preserve">Has place for routine healthcare</w:t>
                  </w:r>
                </w:p>
              </w:tc>
              <w:tc>
                <w:tcPr/>
                <w:p>
                  <w:pPr>
                    <w:pStyle w:val="Compact"/>
                    <w:jc w:val="left"/>
                    <w:jc w:val="center"/>
                  </w:pPr>
                  <w:r>
                    <w:t xml:space="preserve">Has health insurance</w:t>
                  </w:r>
                </w:p>
              </w:tc>
              <w:tc>
                <w:tcPr/>
                <w:p>
                  <w:pPr>
                    <w:pStyle w:val="Compact"/>
                    <w:jc w:val="right"/>
                    <w:jc w:val="center"/>
                  </w:pPr>
                  <w:r>
                    <w:t xml:space="preserve">0.25</w:t>
                  </w:r>
                </w:p>
              </w:tc>
              <w:tc>
                <w:tcPr/>
                <w:p>
                  <w:pPr>
                    <w:pStyle w:val="Compact"/>
                    <w:jc w:val="right"/>
                    <w:jc w:val="center"/>
                  </w:pPr>
                  <w:r>
                    <w:t xml:space="preserve">0.24</w:t>
                  </w:r>
                </w:p>
              </w:tc>
            </w:tr>
            <w:tr>
              <w:tc>
                <w:tcPr/>
                <w:p>
                  <w:pPr>
                    <w:pStyle w:val="Compact"/>
                    <w:jc w:val="left"/>
                    <w:jc w:val="center"/>
                  </w:pPr>
                  <w:r>
                    <w:t xml:space="preserve">Has place for routine healthcare</w:t>
                  </w:r>
                </w:p>
              </w:tc>
              <w:tc>
                <w:tcPr/>
                <w:p>
                  <w:pPr>
                    <w:pStyle w:val="Compact"/>
                    <w:jc w:val="left"/>
                    <w:jc w:val="center"/>
                  </w:pPr>
                  <w:r>
                    <w:t xml:space="preserve">Ratio of family income to poverty</w:t>
                  </w:r>
                </w:p>
              </w:tc>
              <w:tc>
                <w:tcPr/>
                <w:p>
                  <w:pPr>
                    <w:pStyle w:val="Compact"/>
                    <w:jc w:val="right"/>
                    <w:jc w:val="center"/>
                  </w:pPr>
                  <w:r>
                    <w:t xml:space="preserve">0.14</w:t>
                  </w:r>
                </w:p>
              </w:tc>
              <w:tc>
                <w:tcPr/>
                <w:p>
                  <w:pPr>
                    <w:pStyle w:val="Compact"/>
                    <w:jc w:val="right"/>
                    <w:jc w:val="center"/>
                  </w:pPr>
                  <w:r>
                    <w:t xml:space="preserve">0.09</w:t>
                  </w:r>
                </w:p>
              </w:tc>
            </w:tr>
            <w:tr>
              <w:tc>
                <w:tcPr/>
                <w:p>
                  <w:pPr>
                    <w:pStyle w:val="Compact"/>
                    <w:jc w:val="left"/>
                    <w:jc w:val="center"/>
                  </w:pPr>
                  <w:r>
                    <w:t xml:space="preserve">Has place for routine healthcare</w:t>
                  </w:r>
                </w:p>
              </w:tc>
              <w:tc>
                <w:tcPr/>
                <w:p>
                  <w:pPr>
                    <w:pStyle w:val="Compact"/>
                    <w:jc w:val="left"/>
                    <w:jc w:val="center"/>
                  </w:pPr>
                  <w:r>
                    <w:t xml:space="preserve">Diastolic blood pressure</w:t>
                  </w:r>
                </w:p>
              </w:tc>
              <w:tc>
                <w:tcPr/>
                <w:p>
                  <w:pPr>
                    <w:pStyle w:val="Compact"/>
                    <w:jc w:val="right"/>
                    <w:jc w:val="center"/>
                  </w:pPr>
                  <w:r>
                    <w:t xml:space="preserve">-0.01</w:t>
                  </w:r>
                </w:p>
              </w:tc>
              <w:tc>
                <w:tcPr/>
                <w:p>
                  <w:pPr>
                    <w:pStyle w:val="Compact"/>
                    <w:jc w:val="right"/>
                    <w:jc w:val="center"/>
                  </w:pPr>
                  <w:r>
                    <w:t xml:space="preserve">-0.01</w:t>
                  </w:r>
                </w:p>
              </w:tc>
            </w:tr>
            <w:tr>
              <w:tc>
                <w:tcPr/>
                <w:p>
                  <w:pPr>
                    <w:pStyle w:val="Compact"/>
                    <w:jc w:val="left"/>
                    <w:jc w:val="center"/>
                  </w:pPr>
                  <w:r>
                    <w:t xml:space="preserve">Has place for routine healthcare</w:t>
                  </w:r>
                </w:p>
              </w:tc>
              <w:tc>
                <w:tcPr/>
                <w:p>
                  <w:pPr>
                    <w:pStyle w:val="Compact"/>
                    <w:jc w:val="left"/>
                    <w:jc w:val="center"/>
                  </w:pPr>
                  <w:r>
                    <w:t xml:space="preserve">Below poverty threshold</w:t>
                  </w:r>
                </w:p>
              </w:tc>
              <w:tc>
                <w:tcPr/>
                <w:p>
                  <w:pPr>
                    <w:pStyle w:val="Compact"/>
                    <w:jc w:val="right"/>
                    <w:jc w:val="center"/>
                  </w:pPr>
                  <w:r>
                    <w:t xml:space="preserve">-0.07</w:t>
                  </w:r>
                </w:p>
              </w:tc>
              <w:tc>
                <w:tcPr/>
                <w:p>
                  <w:pPr>
                    <w:pStyle w:val="Compact"/>
                    <w:jc w:val="right"/>
                    <w:jc w:val="center"/>
                  </w:pPr>
                  <w:r>
                    <w:t xml:space="preserve">-0.03</w:t>
                  </w:r>
                </w:p>
              </w:tc>
            </w:tr>
            <w:tr>
              <w:tc>
                <w:tcPr/>
                <w:p>
                  <w:pPr>
                    <w:pStyle w:val="Compact"/>
                    <w:jc w:val="left"/>
                    <w:jc w:val="center"/>
                  </w:pPr>
                  <w:r>
                    <w:t xml:space="preserve">Has place for routine healthcare</w:t>
                  </w:r>
                </w:p>
              </w:tc>
              <w:tc>
                <w:tcPr/>
                <w:p>
                  <w:pPr>
                    <w:pStyle w:val="Compact"/>
                    <w:jc w:val="left"/>
                    <w:jc w:val="center"/>
                  </w:pPr>
                  <w:r>
                    <w:t xml:space="preserve">Has less than 12 years of education</w:t>
                  </w:r>
                </w:p>
              </w:tc>
              <w:tc>
                <w:tcPr/>
                <w:p>
                  <w:pPr>
                    <w:pStyle w:val="Compact"/>
                    <w:jc w:val="right"/>
                    <w:jc w:val="center"/>
                  </w:pPr>
                  <w:r>
                    <w:t xml:space="preserve">-0.09</w:t>
                  </w:r>
                </w:p>
              </w:tc>
              <w:tc>
                <w:tcPr/>
                <w:p>
                  <w:pPr>
                    <w:pStyle w:val="Compact"/>
                    <w:jc w:val="right"/>
                    <w:jc w:val="center"/>
                  </w:pPr>
                  <w:r>
                    <w:t xml:space="preserve">-0.08</w:t>
                  </w:r>
                </w:p>
              </w:tc>
            </w:tr>
            <w:tr>
              <w:tc>
                <w:tcPr/>
                <w:p>
                  <w:pPr>
                    <w:pStyle w:val="Compact"/>
                    <w:jc w:val="left"/>
                    <w:jc w:val="center"/>
                  </w:pPr>
                  <w:r>
                    <w:t xml:space="preserve">Has place for routine healthcare</w:t>
                  </w:r>
                </w:p>
              </w:tc>
              <w:tc>
                <w:tcPr/>
                <w:p>
                  <w:pPr>
                    <w:pStyle w:val="Compact"/>
                    <w:jc w:val="left"/>
                    <w:jc w:val="center"/>
                  </w:pPr>
                  <w:r>
                    <w:t xml:space="preserve">Living in rented housing unit</w:t>
                  </w:r>
                </w:p>
              </w:tc>
              <w:tc>
                <w:tcPr/>
                <w:p>
                  <w:pPr>
                    <w:pStyle w:val="Compact"/>
                    <w:jc w:val="right"/>
                    <w:jc w:val="center"/>
                  </w:pPr>
                  <w:r>
                    <w:t xml:space="preserve">-0.12</w:t>
                  </w:r>
                </w:p>
              </w:tc>
              <w:tc>
                <w:tcPr/>
                <w:p>
                  <w:pPr>
                    <w:pStyle w:val="Compact"/>
                    <w:jc w:val="right"/>
                    <w:jc w:val="center"/>
                  </w:pPr>
                  <w:r>
                    <w:t xml:space="preserve">-0.12</w:t>
                  </w:r>
                </w:p>
              </w:tc>
            </w:tr>
            <w:tr>
              <w:tc>
                <w:tcPr/>
                <w:p>
                  <w:pPr>
                    <w:pStyle w:val="Compact"/>
                    <w:jc w:val="left"/>
                    <w:jc w:val="center"/>
                  </w:pPr>
                  <w:r>
                    <w:t xml:space="preserve">Has place for routine healthcare</w:t>
                  </w:r>
                </w:p>
              </w:tc>
              <w:tc>
                <w:tcPr/>
                <w:p>
                  <w:pPr>
                    <w:pStyle w:val="Compact"/>
                    <w:jc w:val="left"/>
                    <w:jc w:val="center"/>
                  </w:pPr>
                  <w:r>
                    <w:t xml:space="preserve">Unemployed</w:t>
                  </w:r>
                </w:p>
              </w:tc>
              <w:tc>
                <w:tcPr/>
                <w:p>
                  <w:pPr>
                    <w:pStyle w:val="Compact"/>
                    <w:jc w:val="right"/>
                    <w:jc w:val="center"/>
                  </w:pPr>
                  <w:r>
                    <w:t xml:space="preserve">-0.01</w:t>
                  </w:r>
                </w:p>
              </w:tc>
              <w:tc>
                <w:tcPr/>
                <w:p>
                  <w:pPr>
                    <w:pStyle w:val="Compact"/>
                    <w:jc w:val="right"/>
                    <w:jc w:val="center"/>
                  </w:pPr>
                  <w:r>
                    <w:t xml:space="preserve">-0.00</w:t>
                  </w:r>
                </w:p>
              </w:tc>
            </w:tr>
            <w:tr>
              <w:tc>
                <w:tcPr/>
                <w:p>
                  <w:pPr>
                    <w:pStyle w:val="Compact"/>
                    <w:jc w:val="left"/>
                    <w:jc w:val="center"/>
                  </w:pPr>
                  <w:r>
                    <w:t xml:space="preserve">Has place for routine healthcare</w:t>
                  </w:r>
                </w:p>
              </w:tc>
              <w:tc>
                <w:tcPr/>
                <w:p>
                  <w:pPr>
                    <w:pStyle w:val="Compact"/>
                    <w:jc w:val="left"/>
                    <w:jc w:val="center"/>
                  </w:pPr>
                  <w:r>
                    <w:t xml:space="preserve">Living in a crowded housing unit</w:t>
                  </w:r>
                </w:p>
              </w:tc>
              <w:tc>
                <w:tcPr/>
                <w:p>
                  <w:pPr>
                    <w:pStyle w:val="Compact"/>
                    <w:jc w:val="right"/>
                    <w:jc w:val="center"/>
                  </w:pPr>
                  <w:r>
                    <w:t xml:space="preserve">-0.05</w:t>
                  </w:r>
                </w:p>
              </w:tc>
              <w:tc>
                <w:tcPr/>
                <w:p>
                  <w:pPr>
                    <w:pStyle w:val="Compact"/>
                    <w:jc w:val="right"/>
                    <w:jc w:val="center"/>
                  </w:pPr>
                  <w:r>
                    <w:t xml:space="preserve">-0.02</w:t>
                  </w:r>
                </w:p>
              </w:tc>
            </w:tr>
            <w:tr>
              <w:tc>
                <w:tcPr/>
                <w:p>
                  <w:pPr>
                    <w:pStyle w:val="Compact"/>
                    <w:jc w:val="left"/>
                    <w:jc w:val="center"/>
                  </w:pPr>
                  <w:r>
                    <w:t xml:space="preserve">Has place for routine healthcare</w:t>
                  </w:r>
                </w:p>
              </w:tc>
              <w:tc>
                <w:tcPr/>
                <w:p>
                  <w:pPr>
                    <w:pStyle w:val="Compact"/>
                    <w:jc w:val="left"/>
                    <w:jc w:val="center"/>
                  </w:pPr>
                  <w:r>
                    <w:t xml:space="preserve">Single parent</w:t>
                  </w:r>
                </w:p>
              </w:tc>
              <w:tc>
                <w:tcPr/>
                <w:p>
                  <w:pPr>
                    <w:pStyle w:val="Compact"/>
                    <w:jc w:val="right"/>
                    <w:jc w:val="center"/>
                  </w:pPr>
                  <w:r>
                    <w:t xml:space="preserve">-0.02</w:t>
                  </w:r>
                </w:p>
              </w:tc>
              <w:tc>
                <w:tcPr/>
                <w:p>
                  <w:pPr>
                    <w:pStyle w:val="Compact"/>
                    <w:jc w:val="right"/>
                    <w:jc w:val="center"/>
                  </w:pPr>
                  <w:r>
                    <w:t xml:space="preserve">-0.01</w:t>
                  </w:r>
                </w:p>
              </w:tc>
            </w:tr>
            <w:tr>
              <w:tc>
                <w:tcPr/>
                <w:p>
                  <w:pPr>
                    <w:pStyle w:val="Compact"/>
                    <w:jc w:val="left"/>
                    <w:jc w:val="center"/>
                  </w:pPr>
                  <w:r>
                    <w:t xml:space="preserve">Has place for routine healthcare</w:t>
                  </w:r>
                </w:p>
              </w:tc>
              <w:tc>
                <w:tcPr/>
                <w:p>
                  <w:pPr>
                    <w:pStyle w:val="Compact"/>
                    <w:jc w:val="left"/>
                    <w:jc w:val="center"/>
                  </w:pPr>
                  <w:r>
                    <w:t xml:space="preserve">Times receiving healthcare over past year</w:t>
                  </w:r>
                </w:p>
              </w:tc>
              <w:tc>
                <w:tcPr/>
                <w:p>
                  <w:pPr>
                    <w:pStyle w:val="Compact"/>
                    <w:jc w:val="right"/>
                    <w:jc w:val="center"/>
                  </w:pPr>
                  <w:r>
                    <w:t xml:space="preserve">0.21</w:t>
                  </w:r>
                </w:p>
              </w:tc>
              <w:tc>
                <w:tcPr/>
                <w:p>
                  <w:pPr>
                    <w:pStyle w:val="Compact"/>
                    <w:jc w:val="right"/>
                    <w:jc w:val="center"/>
                  </w:pPr>
                  <w:r>
                    <w:t xml:space="preserve">0.26</w:t>
                  </w:r>
                </w:p>
              </w:tc>
            </w:tr>
            <w:tr>
              <w:tc>
                <w:tcPr/>
                <w:p>
                  <w:pPr>
                    <w:pStyle w:val="Compact"/>
                    <w:jc w:val="left"/>
                    <w:jc w:val="center"/>
                  </w:pPr>
                  <w:r>
                    <w:t xml:space="preserve">Living in a crowded housing unit</w:t>
                  </w:r>
                </w:p>
              </w:tc>
              <w:tc>
                <w:tcPr/>
                <w:p>
                  <w:pPr>
                    <w:pStyle w:val="Compact"/>
                    <w:jc w:val="left"/>
                    <w:jc w:val="center"/>
                  </w:pPr>
                  <w:r>
                    <w:t xml:space="preserve">Single parent</w:t>
                  </w:r>
                </w:p>
              </w:tc>
              <w:tc>
                <w:tcPr/>
                <w:p>
                  <w:pPr>
                    <w:pStyle w:val="Compact"/>
                    <w:jc w:val="right"/>
                    <w:jc w:val="center"/>
                  </w:pPr>
                  <w:r>
                    <w:t xml:space="preserve">0.14</w:t>
                  </w:r>
                </w:p>
              </w:tc>
              <w:tc>
                <w:tcPr/>
                <w:p>
                  <w:pPr>
                    <w:pStyle w:val="Compact"/>
                    <w:jc w:val="right"/>
                    <w:jc w:val="center"/>
                  </w:pPr>
                  <w:r>
                    <w:t xml:space="preserve">0.10</w:t>
                  </w:r>
                </w:p>
              </w:tc>
            </w:tr>
            <w:tr>
              <w:tc>
                <w:tcPr/>
                <w:p>
                  <w:pPr>
                    <w:pStyle w:val="Compact"/>
                    <w:jc w:val="left"/>
                    <w:jc w:val="center"/>
                  </w:pPr>
                  <w:r>
                    <w:t xml:space="preserve">Living in a crowded housing unit</w:t>
                  </w:r>
                </w:p>
              </w:tc>
              <w:tc>
                <w:tcPr/>
                <w:p>
                  <w:pPr>
                    <w:pStyle w:val="Compact"/>
                    <w:jc w:val="left"/>
                    <w:jc w:val="center"/>
                  </w:pPr>
                  <w:r>
                    <w:t xml:space="preserve">Living in rented housing unit</w:t>
                  </w:r>
                </w:p>
              </w:tc>
              <w:tc>
                <w:tcPr/>
                <w:p>
                  <w:pPr>
                    <w:pStyle w:val="Compact"/>
                    <w:jc w:val="right"/>
                    <w:jc w:val="center"/>
                  </w:pPr>
                  <w:r>
                    <w:t xml:space="preserve">0.15</w:t>
                  </w:r>
                </w:p>
              </w:tc>
              <w:tc>
                <w:tcPr/>
                <w:p>
                  <w:pPr>
                    <w:pStyle w:val="Compact"/>
                    <w:jc w:val="right"/>
                    <w:jc w:val="center"/>
                  </w:pPr>
                  <w:r>
                    <w:t xml:space="preserve">0.11</w:t>
                  </w:r>
                </w:p>
              </w:tc>
            </w:tr>
            <w:tr>
              <w:tc>
                <w:tcPr/>
                <w:p>
                  <w:pPr>
                    <w:pStyle w:val="Compact"/>
                    <w:jc w:val="left"/>
                    <w:jc w:val="center"/>
                  </w:pPr>
                  <w:r>
                    <w:t xml:space="preserve">Living in a crowded housing unit</w:t>
                  </w:r>
                </w:p>
              </w:tc>
              <w:tc>
                <w:tcPr/>
                <w:p>
                  <w:pPr>
                    <w:pStyle w:val="Compact"/>
                    <w:jc w:val="left"/>
                    <w:jc w:val="center"/>
                  </w:pPr>
                  <w:r>
                    <w:t xml:space="preserve">Below poverty threshold</w:t>
                  </w:r>
                </w:p>
              </w:tc>
              <w:tc>
                <w:tcPr/>
                <w:p>
                  <w:pPr>
                    <w:pStyle w:val="Compact"/>
                    <w:jc w:val="right"/>
                    <w:jc w:val="center"/>
                  </w:pPr>
                  <w:r>
                    <w:t xml:space="preserve">0.20</w:t>
                  </w:r>
                </w:p>
              </w:tc>
              <w:tc>
                <w:tcPr/>
                <w:p>
                  <w:pPr>
                    <w:pStyle w:val="Compact"/>
                    <w:jc w:val="right"/>
                    <w:jc w:val="center"/>
                  </w:pPr>
                  <w:r>
                    <w:t xml:space="preserve">0.15</w:t>
                  </w:r>
                </w:p>
              </w:tc>
            </w:tr>
            <w:tr>
              <w:tc>
                <w:tcPr/>
                <w:p>
                  <w:pPr>
                    <w:pStyle w:val="Compact"/>
                    <w:jc w:val="left"/>
                    <w:jc w:val="center"/>
                  </w:pPr>
                  <w:r>
                    <w:t xml:space="preserve">Living in a crowded housing unit</w:t>
                  </w:r>
                </w:p>
              </w:tc>
              <w:tc>
                <w:tcPr/>
                <w:p>
                  <w:pPr>
                    <w:pStyle w:val="Compact"/>
                    <w:jc w:val="left"/>
                    <w:jc w:val="center"/>
                  </w:pPr>
                  <w:r>
                    <w:t xml:space="preserve">Times receiving healthcare over past year</w:t>
                  </w:r>
                </w:p>
              </w:tc>
              <w:tc>
                <w:tcPr/>
                <w:p>
                  <w:pPr>
                    <w:pStyle w:val="Compact"/>
                    <w:jc w:val="right"/>
                    <w:jc w:val="center"/>
                  </w:pPr>
                  <w:r>
                    <w:t xml:space="preserve">-0.01</w:t>
                  </w:r>
                </w:p>
              </w:tc>
              <w:tc>
                <w:tcPr/>
                <w:p>
                  <w:pPr>
                    <w:pStyle w:val="Compact"/>
                    <w:jc w:val="right"/>
                    <w:jc w:val="center"/>
                  </w:pPr>
                  <w:r>
                    <w:t xml:space="preserve">-0.00</w:t>
                  </w:r>
                </w:p>
              </w:tc>
            </w:tr>
            <w:tr>
              <w:tc>
                <w:tcPr/>
                <w:p>
                  <w:pPr>
                    <w:pStyle w:val="Compact"/>
                    <w:jc w:val="left"/>
                    <w:jc w:val="center"/>
                  </w:pPr>
                  <w:r>
                    <w:t xml:space="preserve">Living in rented housing unit</w:t>
                  </w:r>
                </w:p>
              </w:tc>
              <w:tc>
                <w:tcPr/>
                <w:p>
                  <w:pPr>
                    <w:pStyle w:val="Compact"/>
                    <w:jc w:val="left"/>
                    <w:jc w:val="center"/>
                  </w:pPr>
                  <w:r>
                    <w:t xml:space="preserve">Times receiving healthcare over past year</w:t>
                  </w:r>
                </w:p>
              </w:tc>
              <w:tc>
                <w:tcPr/>
                <w:p>
                  <w:pPr>
                    <w:pStyle w:val="Compact"/>
                    <w:jc w:val="right"/>
                    <w:jc w:val="center"/>
                  </w:pPr>
                  <w:r>
                    <w:t xml:space="preserve">-0.03</w:t>
                  </w:r>
                </w:p>
              </w:tc>
              <w:tc>
                <w:tcPr/>
                <w:p>
                  <w:pPr>
                    <w:pStyle w:val="Compact"/>
                    <w:jc w:val="right"/>
                    <w:jc w:val="center"/>
                  </w:pPr>
                  <w:r>
                    <w:t xml:space="preserve">-0.02</w:t>
                  </w:r>
                </w:p>
              </w:tc>
            </w:tr>
            <w:tr>
              <w:tc>
                <w:tcPr/>
                <w:p>
                  <w:pPr>
                    <w:pStyle w:val="Compact"/>
                    <w:jc w:val="left"/>
                    <w:jc w:val="center"/>
                  </w:pPr>
                  <w:r>
                    <w:t xml:space="preserve">Living in rented housing unit</w:t>
                  </w:r>
                </w:p>
              </w:tc>
              <w:tc>
                <w:tcPr/>
                <w:p>
                  <w:pPr>
                    <w:pStyle w:val="Compact"/>
                    <w:jc w:val="left"/>
                    <w:jc w:val="center"/>
                  </w:pPr>
                  <w:r>
                    <w:t xml:space="preserve">Single parent</w:t>
                  </w:r>
                </w:p>
              </w:tc>
              <w:tc>
                <w:tcPr/>
                <w:p>
                  <w:pPr>
                    <w:pStyle w:val="Compact"/>
                    <w:jc w:val="right"/>
                    <w:jc w:val="center"/>
                  </w:pPr>
                  <w:r>
                    <w:t xml:space="preserve">0.12</w:t>
                  </w:r>
                </w:p>
              </w:tc>
              <w:tc>
                <w:tcPr/>
                <w:p>
                  <w:pPr>
                    <w:pStyle w:val="Compact"/>
                    <w:jc w:val="right"/>
                    <w:jc w:val="center"/>
                  </w:pPr>
                  <w:r>
                    <w:t xml:space="preserve">0.11</w:t>
                  </w:r>
                </w:p>
              </w:tc>
            </w:tr>
            <w:tr>
              <w:tc>
                <w:tcPr/>
                <w:p>
                  <w:pPr>
                    <w:pStyle w:val="Compact"/>
                    <w:jc w:val="left"/>
                    <w:jc w:val="center"/>
                  </w:pPr>
                  <w:r>
                    <w:t xml:space="preserve">Living in rented housing unit</w:t>
                  </w:r>
                </w:p>
              </w:tc>
              <w:tc>
                <w:tcPr/>
                <w:p>
                  <w:pPr>
                    <w:pStyle w:val="Compact"/>
                    <w:jc w:val="left"/>
                    <w:jc w:val="center"/>
                  </w:pPr>
                  <w:r>
                    <w:t xml:space="preserve">Age</w:t>
                  </w:r>
                </w:p>
              </w:tc>
              <w:tc>
                <w:tcPr/>
                <w:p>
                  <w:pPr>
                    <w:pStyle w:val="Compact"/>
                    <w:jc w:val="right"/>
                    <w:jc w:val="center"/>
                  </w:pPr>
                  <w:r>
                    <w:t xml:space="preserve">-0.31</w:t>
                  </w:r>
                </w:p>
              </w:tc>
              <w:tc>
                <w:tcPr/>
                <w:p>
                  <w:pPr>
                    <w:pStyle w:val="Compact"/>
                    <w:jc w:val="right"/>
                    <w:jc w:val="center"/>
                  </w:pPr>
                  <w:r>
                    <w:t xml:space="preserve">-0.27</w:t>
                  </w:r>
                </w:p>
              </w:tc>
            </w:tr>
            <w:tr>
              <w:tc>
                <w:tcPr/>
                <w:p>
                  <w:pPr>
                    <w:pStyle w:val="Compact"/>
                    <w:jc w:val="left"/>
                    <w:jc w:val="center"/>
                  </w:pPr>
                  <w:r>
                    <w:t xml:space="preserve">Living in rented housing unit</w:t>
                  </w:r>
                </w:p>
              </w:tc>
              <w:tc>
                <w:tcPr/>
                <w:p>
                  <w:pPr>
                    <w:pStyle w:val="Compact"/>
                    <w:jc w:val="left"/>
                    <w:jc w:val="center"/>
                  </w:pPr>
                  <w:r>
                    <w:t xml:space="preserve">Unemployed</w:t>
                  </w:r>
                </w:p>
              </w:tc>
              <w:tc>
                <w:tcPr/>
                <w:p>
                  <w:pPr>
                    <w:pStyle w:val="Compact"/>
                    <w:jc w:val="right"/>
                    <w:jc w:val="center"/>
                  </w:pPr>
                  <w:r>
                    <w:t xml:space="preserve">0.07</w:t>
                  </w:r>
                </w:p>
              </w:tc>
              <w:tc>
                <w:tcPr/>
                <w:p>
                  <w:pPr>
                    <w:pStyle w:val="Compact"/>
                    <w:jc w:val="right"/>
                    <w:jc w:val="center"/>
                  </w:pPr>
                  <w:r>
                    <w:t xml:space="preserve">0.03</w:t>
                  </w:r>
                </w:p>
              </w:tc>
            </w:tr>
            <w:tr>
              <w:tc>
                <w:tcPr/>
                <w:p>
                  <w:pPr>
                    <w:pStyle w:val="Compact"/>
                    <w:jc w:val="left"/>
                    <w:jc w:val="center"/>
                  </w:pPr>
                  <w:r>
                    <w:t xml:space="preserve">Living in rented housing unit</w:t>
                  </w:r>
                </w:p>
              </w:tc>
              <w:tc>
                <w:tcPr/>
                <w:p>
                  <w:pPr>
                    <w:pStyle w:val="Compact"/>
                    <w:jc w:val="left"/>
                    <w:jc w:val="center"/>
                  </w:pPr>
                  <w:r>
                    <w:t xml:space="preserve">Has place for routine healthcare</w:t>
                  </w:r>
                </w:p>
              </w:tc>
              <w:tc>
                <w:tcPr/>
                <w:p>
                  <w:pPr>
                    <w:pStyle w:val="Compact"/>
                    <w:jc w:val="right"/>
                    <w:jc w:val="center"/>
                  </w:pPr>
                  <w:r>
                    <w:t xml:space="preserve">-0.12</w:t>
                  </w:r>
                </w:p>
              </w:tc>
              <w:tc>
                <w:tcPr/>
                <w:p>
                  <w:pPr>
                    <w:pStyle w:val="Compact"/>
                    <w:jc w:val="right"/>
                    <w:jc w:val="center"/>
                  </w:pPr>
                  <w:r>
                    <w:t xml:space="preserve">-0.12</w:t>
                  </w:r>
                </w:p>
              </w:tc>
            </w:tr>
            <w:tr>
              <w:tc>
                <w:tcPr/>
                <w:p>
                  <w:pPr>
                    <w:pStyle w:val="Compact"/>
                    <w:jc w:val="left"/>
                    <w:jc w:val="center"/>
                  </w:pPr>
                  <w:r>
                    <w:t xml:space="preserve">Living in rented housing unit</w:t>
                  </w:r>
                </w:p>
              </w:tc>
              <w:tc>
                <w:tcPr/>
                <w:p>
                  <w:pPr>
                    <w:pStyle w:val="Compact"/>
                    <w:jc w:val="left"/>
                    <w:jc w:val="center"/>
                  </w:pPr>
                  <w:r>
                    <w:t xml:space="preserve">Non-Hispanic Black</w:t>
                  </w:r>
                </w:p>
              </w:tc>
              <w:tc>
                <w:tcPr/>
                <w:p>
                  <w:pPr>
                    <w:pStyle w:val="Compact"/>
                    <w:jc w:val="right"/>
                    <w:jc w:val="center"/>
                  </w:pPr>
                  <w:r>
                    <w:t xml:space="preserve">0.24</w:t>
                  </w:r>
                </w:p>
              </w:tc>
              <w:tc>
                <w:tcPr/>
                <w:p>
                  <w:pPr>
                    <w:pStyle w:val="Compact"/>
                    <w:jc w:val="right"/>
                    <w:jc w:val="center"/>
                  </w:pPr>
                  <w:r>
                    <w:t xml:space="preserve">0.21</w:t>
                  </w:r>
                </w:p>
              </w:tc>
            </w:tr>
            <w:tr>
              <w:tc>
                <w:tcPr/>
                <w:p>
                  <w:pPr>
                    <w:pStyle w:val="Compact"/>
                    <w:jc w:val="left"/>
                    <w:jc w:val="center"/>
                  </w:pPr>
                  <w:r>
                    <w:t xml:space="preserve">Living in rented housing unit</w:t>
                  </w:r>
                </w:p>
              </w:tc>
              <w:tc>
                <w:tcPr/>
                <w:p>
                  <w:pPr>
                    <w:pStyle w:val="Compact"/>
                    <w:jc w:val="left"/>
                    <w:jc w:val="center"/>
                  </w:pPr>
                  <w:r>
                    <w:t xml:space="preserve">Female</w:t>
                  </w:r>
                </w:p>
              </w:tc>
              <w:tc>
                <w:tcPr/>
                <w:p>
                  <w:pPr>
                    <w:pStyle w:val="Compact"/>
                    <w:jc w:val="right"/>
                    <w:jc w:val="center"/>
                  </w:pPr>
                  <w:r>
                    <w:t xml:space="preserve">-0.02</w:t>
                  </w:r>
                </w:p>
              </w:tc>
              <w:tc>
                <w:tcPr/>
                <w:p>
                  <w:pPr>
                    <w:pStyle w:val="Compact"/>
                    <w:jc w:val="right"/>
                    <w:jc w:val="center"/>
                  </w:pPr>
                  <w:r>
                    <w:t xml:space="preserve">-0.01</w:t>
                  </w:r>
                </w:p>
              </w:tc>
            </w:tr>
            <w:tr>
              <w:tc>
                <w:tcPr/>
                <w:p>
                  <w:pPr>
                    <w:pStyle w:val="Compact"/>
                    <w:jc w:val="left"/>
                    <w:jc w:val="center"/>
                  </w:pPr>
                  <w:r>
                    <w:t xml:space="preserve">Living in rented housing unit</w:t>
                  </w:r>
                </w:p>
              </w:tc>
              <w:tc>
                <w:tcPr/>
                <w:p>
                  <w:pPr>
                    <w:pStyle w:val="Compact"/>
                    <w:jc w:val="left"/>
                    <w:jc w:val="center"/>
                  </w:pPr>
                  <w:r>
                    <w:t xml:space="preserve">Living in a crowded housing unit</w:t>
                  </w:r>
                </w:p>
              </w:tc>
              <w:tc>
                <w:tcPr/>
                <w:p>
                  <w:pPr>
                    <w:pStyle w:val="Compact"/>
                    <w:jc w:val="right"/>
                    <w:jc w:val="center"/>
                  </w:pPr>
                  <w:r>
                    <w:t xml:space="preserve">0.15</w:t>
                  </w:r>
                </w:p>
              </w:tc>
              <w:tc>
                <w:tcPr/>
                <w:p>
                  <w:pPr>
                    <w:pStyle w:val="Compact"/>
                    <w:jc w:val="right"/>
                    <w:jc w:val="center"/>
                  </w:pPr>
                  <w:r>
                    <w:t xml:space="preserve">0.11</w:t>
                  </w:r>
                </w:p>
              </w:tc>
            </w:tr>
            <w:tr>
              <w:tc>
                <w:tcPr/>
                <w:p>
                  <w:pPr>
                    <w:pStyle w:val="Compact"/>
                    <w:jc w:val="left"/>
                    <w:jc w:val="center"/>
                  </w:pPr>
                  <w:r>
                    <w:t xml:space="preserve">Non-Hispanic Black</w:t>
                  </w:r>
                </w:p>
              </w:tc>
              <w:tc>
                <w:tcPr/>
                <w:p>
                  <w:pPr>
                    <w:pStyle w:val="Compact"/>
                    <w:jc w:val="left"/>
                    <w:jc w:val="center"/>
                  </w:pPr>
                  <w:r>
                    <w:t xml:space="preserve">Age</w:t>
                  </w:r>
                </w:p>
              </w:tc>
              <w:tc>
                <w:tcPr/>
                <w:p>
                  <w:pPr>
                    <w:pStyle w:val="Compact"/>
                    <w:jc w:val="right"/>
                    <w:jc w:val="center"/>
                  </w:pPr>
                  <w:r>
                    <w:t xml:space="preserve">-0.13</w:t>
                  </w:r>
                </w:p>
              </w:tc>
              <w:tc>
                <w:tcPr/>
                <w:p>
                  <w:pPr>
                    <w:pStyle w:val="Compact"/>
                    <w:jc w:val="right"/>
                    <w:jc w:val="center"/>
                  </w:pPr>
                  <w:r>
                    <w:t xml:space="preserve">-0.11</w:t>
                  </w:r>
                </w:p>
              </w:tc>
            </w:tr>
            <w:tr>
              <w:tc>
                <w:tcPr/>
                <w:p>
                  <w:pPr>
                    <w:pStyle w:val="Compact"/>
                    <w:jc w:val="left"/>
                    <w:jc w:val="center"/>
                  </w:pPr>
                  <w:r>
                    <w:t xml:space="preserve">Non-Hispanic Black</w:t>
                  </w:r>
                </w:p>
              </w:tc>
              <w:tc>
                <w:tcPr/>
                <w:p>
                  <w:pPr>
                    <w:pStyle w:val="Compact"/>
                    <w:jc w:val="left"/>
                    <w:jc w:val="center"/>
                  </w:pPr>
                  <w:r>
                    <w:t xml:space="preserve">Has place for routine healthcare</w:t>
                  </w:r>
                </w:p>
              </w:tc>
              <w:tc>
                <w:tcPr/>
                <w:p>
                  <w:pPr>
                    <w:pStyle w:val="Compact"/>
                    <w:jc w:val="right"/>
                    <w:jc w:val="center"/>
                  </w:pPr>
                  <w:r>
                    <w:t xml:space="preserve">-0.05</w:t>
                  </w:r>
                </w:p>
              </w:tc>
              <w:tc>
                <w:tcPr/>
                <w:p>
                  <w:pPr>
                    <w:pStyle w:val="Compact"/>
                    <w:jc w:val="right"/>
                    <w:jc w:val="center"/>
                  </w:pPr>
                  <w:r>
                    <w:t xml:space="preserve">-0.02</w:t>
                  </w:r>
                </w:p>
              </w:tc>
            </w:tr>
            <w:tr>
              <w:tc>
                <w:tcPr/>
                <w:p>
                  <w:pPr>
                    <w:pStyle w:val="Compact"/>
                    <w:jc w:val="left"/>
                    <w:jc w:val="center"/>
                  </w:pPr>
                  <w:r>
                    <w:t xml:space="preserve">Non-Hispanic Black</w:t>
                  </w:r>
                </w:p>
              </w:tc>
              <w:tc>
                <w:tcPr/>
                <w:p>
                  <w:pPr>
                    <w:pStyle w:val="Compact"/>
                    <w:jc w:val="left"/>
                    <w:jc w:val="center"/>
                  </w:pPr>
                  <w:r>
                    <w:t xml:space="preserve">Has health insurance</w:t>
                  </w:r>
                </w:p>
              </w:tc>
              <w:tc>
                <w:tcPr/>
                <w:p>
                  <w:pPr>
                    <w:pStyle w:val="Compact"/>
                    <w:jc w:val="right"/>
                    <w:jc w:val="center"/>
                  </w:pPr>
                  <w:r>
                    <w:t xml:space="preserve">-0.14</w:t>
                  </w:r>
                </w:p>
              </w:tc>
              <w:tc>
                <w:tcPr/>
                <w:p>
                  <w:pPr>
                    <w:pStyle w:val="Compact"/>
                    <w:jc w:val="right"/>
                    <w:jc w:val="center"/>
                  </w:pPr>
                  <w:r>
                    <w:t xml:space="preserve">-0.09</w:t>
                  </w:r>
                </w:p>
              </w:tc>
            </w:tr>
            <w:tr>
              <w:tc>
                <w:tcPr/>
                <w:p>
                  <w:pPr>
                    <w:pStyle w:val="Compact"/>
                    <w:jc w:val="left"/>
                    <w:jc w:val="center"/>
                  </w:pPr>
                  <w:r>
                    <w:t xml:space="preserve">Non-Hispanic Black</w:t>
                  </w:r>
                </w:p>
              </w:tc>
              <w:tc>
                <w:tcPr/>
                <w:p>
                  <w:pPr>
                    <w:pStyle w:val="Compact"/>
                    <w:jc w:val="left"/>
                    <w:jc w:val="center"/>
                  </w:pPr>
                  <w:r>
                    <w:t xml:space="preserve">Ratio of family income to poverty</w:t>
                  </w:r>
                </w:p>
              </w:tc>
              <w:tc>
                <w:tcPr/>
                <w:p>
                  <w:pPr>
                    <w:pStyle w:val="Compact"/>
                    <w:jc w:val="right"/>
                    <w:jc w:val="center"/>
                  </w:pPr>
                  <w:r>
                    <w:t xml:space="preserve">-0.23</w:t>
                  </w:r>
                </w:p>
              </w:tc>
              <w:tc>
                <w:tcPr/>
                <w:p>
                  <w:pPr>
                    <w:pStyle w:val="Compact"/>
                    <w:jc w:val="right"/>
                    <w:jc w:val="center"/>
                  </w:pPr>
                  <w:r>
                    <w:t xml:space="preserve">-0.19</w:t>
                  </w:r>
                </w:p>
              </w:tc>
            </w:tr>
            <w:tr>
              <w:tc>
                <w:tcPr/>
                <w:p>
                  <w:pPr>
                    <w:pStyle w:val="Compact"/>
                    <w:jc w:val="left"/>
                    <w:jc w:val="center"/>
                  </w:pPr>
                  <w:r>
                    <w:t xml:space="preserve">Non-Hispanic Black</w:t>
                  </w:r>
                </w:p>
              </w:tc>
              <w:tc>
                <w:tcPr/>
                <w:p>
                  <w:pPr>
                    <w:pStyle w:val="Compact"/>
                    <w:jc w:val="left"/>
                    <w:jc w:val="center"/>
                  </w:pPr>
                  <w:r>
                    <w:t xml:space="preserve">Systolic blood pressure</w:t>
                  </w:r>
                </w:p>
              </w:tc>
              <w:tc>
                <w:tcPr/>
                <w:p>
                  <w:pPr>
                    <w:pStyle w:val="Compact"/>
                    <w:jc w:val="right"/>
                    <w:jc w:val="center"/>
                  </w:pPr>
                  <w:r>
                    <w:t xml:space="preserve">0.06</w:t>
                  </w:r>
                </w:p>
              </w:tc>
              <w:tc>
                <w:tcPr/>
                <w:p>
                  <w:pPr>
                    <w:pStyle w:val="Compact"/>
                    <w:jc w:val="right"/>
                    <w:jc w:val="center"/>
                  </w:pPr>
                  <w:r>
                    <w:t xml:space="preserve">0.04</w:t>
                  </w:r>
                </w:p>
              </w:tc>
            </w:tr>
            <w:tr>
              <w:tc>
                <w:tcPr/>
                <w:p>
                  <w:pPr>
                    <w:pStyle w:val="Compact"/>
                    <w:jc w:val="left"/>
                    <w:jc w:val="center"/>
                  </w:pPr>
                  <w:r>
                    <w:t xml:space="preserve">Non-Hispanic Black</w:t>
                  </w:r>
                </w:p>
              </w:tc>
              <w:tc>
                <w:tcPr/>
                <w:p>
                  <w:pPr>
                    <w:pStyle w:val="Compact"/>
                    <w:jc w:val="left"/>
                    <w:jc w:val="center"/>
                  </w:pPr>
                  <w:r>
                    <w:t xml:space="preserve">Has less than 12 years of education</w:t>
                  </w:r>
                </w:p>
              </w:tc>
              <w:tc>
                <w:tcPr/>
                <w:p>
                  <w:pPr>
                    <w:pStyle w:val="Compact"/>
                    <w:jc w:val="right"/>
                    <w:jc w:val="center"/>
                  </w:pPr>
                  <w:r>
                    <w:t xml:space="preserve">0.09</w:t>
                  </w:r>
                </w:p>
              </w:tc>
              <w:tc>
                <w:tcPr/>
                <w:p>
                  <w:pPr>
                    <w:pStyle w:val="Compact"/>
                    <w:jc w:val="right"/>
                    <w:jc w:val="center"/>
                  </w:pPr>
                  <w:r>
                    <w:t xml:space="preserve">0.08</w:t>
                  </w:r>
                </w:p>
              </w:tc>
            </w:tr>
            <w:tr>
              <w:tc>
                <w:tcPr/>
                <w:p>
                  <w:pPr>
                    <w:pStyle w:val="Compact"/>
                    <w:jc w:val="left"/>
                    <w:jc w:val="center"/>
                  </w:pPr>
                  <w:r>
                    <w:t xml:space="preserve">Non-Hispanic Black</w:t>
                  </w:r>
                </w:p>
              </w:tc>
              <w:tc>
                <w:tcPr/>
                <w:p>
                  <w:pPr>
                    <w:pStyle w:val="Compact"/>
                    <w:jc w:val="left"/>
                    <w:jc w:val="center"/>
                  </w:pPr>
                  <w:r>
                    <w:t xml:space="preserve">Below poverty threshold</w:t>
                  </w:r>
                </w:p>
              </w:tc>
              <w:tc>
                <w:tcPr/>
                <w:p>
                  <w:pPr>
                    <w:pStyle w:val="Compact"/>
                    <w:jc w:val="right"/>
                    <w:jc w:val="center"/>
                  </w:pPr>
                  <w:r>
                    <w:t xml:space="preserve">0.19</w:t>
                  </w:r>
                </w:p>
              </w:tc>
              <w:tc>
                <w:tcPr/>
                <w:p>
                  <w:pPr>
                    <w:pStyle w:val="Compact"/>
                    <w:jc w:val="right"/>
                    <w:jc w:val="center"/>
                  </w:pPr>
                  <w:r>
                    <w:t xml:space="preserve">0.16</w:t>
                  </w:r>
                </w:p>
              </w:tc>
            </w:tr>
            <w:tr>
              <w:tc>
                <w:tcPr/>
                <w:p>
                  <w:pPr>
                    <w:pStyle w:val="Compact"/>
                    <w:jc w:val="left"/>
                    <w:jc w:val="center"/>
                  </w:pPr>
                  <w:r>
                    <w:t xml:space="preserve">Non-Hispanic Black</w:t>
                  </w:r>
                </w:p>
              </w:tc>
              <w:tc>
                <w:tcPr/>
                <w:p>
                  <w:pPr>
                    <w:pStyle w:val="Compact"/>
                    <w:jc w:val="left"/>
                    <w:jc w:val="center"/>
                  </w:pPr>
                  <w:r>
                    <w:t xml:space="preserve">Living in rented housing unit</w:t>
                  </w:r>
                </w:p>
              </w:tc>
              <w:tc>
                <w:tcPr/>
                <w:p>
                  <w:pPr>
                    <w:pStyle w:val="Compact"/>
                    <w:jc w:val="right"/>
                    <w:jc w:val="center"/>
                  </w:pPr>
                  <w:r>
                    <w:t xml:space="preserve">0.24</w:t>
                  </w:r>
                </w:p>
              </w:tc>
              <w:tc>
                <w:tcPr/>
                <w:p>
                  <w:pPr>
                    <w:pStyle w:val="Compact"/>
                    <w:jc w:val="right"/>
                    <w:jc w:val="center"/>
                  </w:pPr>
                  <w:r>
                    <w:t xml:space="preserve">0.21</w:t>
                  </w:r>
                </w:p>
              </w:tc>
            </w:tr>
            <w:tr>
              <w:tc>
                <w:tcPr/>
                <w:p>
                  <w:pPr>
                    <w:pStyle w:val="Compact"/>
                    <w:jc w:val="left"/>
                    <w:jc w:val="center"/>
                  </w:pPr>
                  <w:r>
                    <w:t xml:space="preserve">Non-Hispanic Black</w:t>
                  </w:r>
                </w:p>
              </w:tc>
              <w:tc>
                <w:tcPr/>
                <w:p>
                  <w:pPr>
                    <w:pStyle w:val="Compact"/>
                    <w:jc w:val="left"/>
                    <w:jc w:val="center"/>
                  </w:pPr>
                  <w:r>
                    <w:t xml:space="preserve">Unemployed</w:t>
                  </w:r>
                </w:p>
              </w:tc>
              <w:tc>
                <w:tcPr/>
                <w:p>
                  <w:pPr>
                    <w:pStyle w:val="Compact"/>
                    <w:jc w:val="right"/>
                    <w:jc w:val="center"/>
                  </w:pPr>
                  <w:r>
                    <w:t xml:space="preserve">0.06</w:t>
                  </w:r>
                </w:p>
              </w:tc>
              <w:tc>
                <w:tcPr/>
                <w:p>
                  <w:pPr>
                    <w:pStyle w:val="Compact"/>
                    <w:jc w:val="right"/>
                    <w:jc w:val="center"/>
                  </w:pPr>
                  <w:r>
                    <w:t xml:space="preserve">0.02</w:t>
                  </w:r>
                </w:p>
              </w:tc>
            </w:tr>
            <w:tr>
              <w:tc>
                <w:tcPr/>
                <w:p>
                  <w:pPr>
                    <w:pStyle w:val="Compact"/>
                    <w:jc w:val="left"/>
                    <w:jc w:val="center"/>
                  </w:pPr>
                  <w:r>
                    <w:t xml:space="preserve">Non-Hispanic Black</w:t>
                  </w:r>
                </w:p>
              </w:tc>
              <w:tc>
                <w:tcPr/>
                <w:p>
                  <w:pPr>
                    <w:pStyle w:val="Compact"/>
                    <w:jc w:val="left"/>
                    <w:jc w:val="center"/>
                  </w:pPr>
                  <w:r>
                    <w:t xml:space="preserve">Living in a crowded housing unit</w:t>
                  </w:r>
                </w:p>
              </w:tc>
              <w:tc>
                <w:tcPr/>
                <w:p>
                  <w:pPr>
                    <w:pStyle w:val="Compact"/>
                    <w:jc w:val="right"/>
                    <w:jc w:val="center"/>
                  </w:pPr>
                  <w:r>
                    <w:t xml:space="preserve">0.13</w:t>
                  </w:r>
                </w:p>
              </w:tc>
              <w:tc>
                <w:tcPr/>
                <w:p>
                  <w:pPr>
                    <w:pStyle w:val="Compact"/>
                    <w:jc w:val="right"/>
                    <w:jc w:val="center"/>
                  </w:pPr>
                  <w:r>
                    <w:t xml:space="preserve">0.10</w:t>
                  </w:r>
                </w:p>
              </w:tc>
            </w:tr>
            <w:tr>
              <w:tc>
                <w:tcPr/>
                <w:p>
                  <w:pPr>
                    <w:pStyle w:val="Compact"/>
                    <w:jc w:val="left"/>
                    <w:jc w:val="center"/>
                  </w:pPr>
                  <w:r>
                    <w:t xml:space="preserve">Non-Hispanic Black</w:t>
                  </w:r>
                </w:p>
              </w:tc>
              <w:tc>
                <w:tcPr/>
                <w:p>
                  <w:pPr>
                    <w:pStyle w:val="Compact"/>
                    <w:jc w:val="left"/>
                    <w:jc w:val="center"/>
                  </w:pPr>
                  <w:r>
                    <w:t xml:space="preserve">Times receiving healthcare over past year</w:t>
                  </w:r>
                </w:p>
              </w:tc>
              <w:tc>
                <w:tcPr/>
                <w:p>
                  <w:pPr>
                    <w:pStyle w:val="Compact"/>
                    <w:jc w:val="right"/>
                    <w:jc w:val="center"/>
                  </w:pPr>
                  <w:r>
                    <w:t xml:space="preserve">-0.08</w:t>
                  </w:r>
                </w:p>
              </w:tc>
              <w:tc>
                <w:tcPr/>
                <w:p>
                  <w:pPr>
                    <w:pStyle w:val="Compact"/>
                    <w:jc w:val="right"/>
                    <w:jc w:val="center"/>
                  </w:pPr>
                  <w:r>
                    <w:t xml:space="preserve">-0.05</w:t>
                  </w:r>
                </w:p>
              </w:tc>
            </w:tr>
            <w:tr>
              <w:tc>
                <w:tcPr/>
                <w:p>
                  <w:pPr>
                    <w:pStyle w:val="Compact"/>
                    <w:jc w:val="left"/>
                    <w:jc w:val="center"/>
                  </w:pPr>
                  <w:r>
                    <w:t xml:space="preserve">Non-Hispanic Black</w:t>
                  </w:r>
                </w:p>
              </w:tc>
              <w:tc>
                <w:tcPr/>
                <w:p>
                  <w:pPr>
                    <w:pStyle w:val="Compact"/>
                    <w:jc w:val="left"/>
                    <w:jc w:val="center"/>
                  </w:pPr>
                  <w:r>
                    <w:t xml:space="preserve">Diastolic blood pressure</w:t>
                  </w:r>
                </w:p>
              </w:tc>
              <w:tc>
                <w:tcPr/>
                <w:p>
                  <w:pPr>
                    <w:pStyle w:val="Compact"/>
                    <w:jc w:val="right"/>
                    <w:jc w:val="center"/>
                  </w:pPr>
                  <w:r>
                    <w:t xml:space="preserve">0.01</w:t>
                  </w:r>
                </w:p>
              </w:tc>
              <w:tc>
                <w:tcPr/>
                <w:p>
                  <w:pPr>
                    <w:pStyle w:val="Compact"/>
                    <w:jc w:val="right"/>
                    <w:jc w:val="center"/>
                  </w:pPr>
                  <w:r>
                    <w:t xml:space="preserve">0.01</w:t>
                  </w:r>
                </w:p>
              </w:tc>
            </w:tr>
            <w:tr>
              <w:tc>
                <w:tcPr/>
                <w:p>
                  <w:pPr>
                    <w:pStyle w:val="Compact"/>
                    <w:jc w:val="left"/>
                    <w:jc w:val="center"/>
                  </w:pPr>
                  <w:r>
                    <w:t xml:space="preserve">Non-Hispanic Black</w:t>
                  </w:r>
                </w:p>
              </w:tc>
              <w:tc>
                <w:tcPr/>
                <w:p>
                  <w:pPr>
                    <w:pStyle w:val="Compact"/>
                    <w:jc w:val="left"/>
                    <w:jc w:val="center"/>
                  </w:pPr>
                  <w:r>
                    <w:t xml:space="preserve">Single parent</w:t>
                  </w:r>
                </w:p>
              </w:tc>
              <w:tc>
                <w:tcPr/>
                <w:p>
                  <w:pPr>
                    <w:pStyle w:val="Compact"/>
                    <w:jc w:val="right"/>
                    <w:jc w:val="center"/>
                  </w:pPr>
                  <w:r>
                    <w:t xml:space="preserve">0.20</w:t>
                  </w:r>
                </w:p>
              </w:tc>
              <w:tc>
                <w:tcPr/>
                <w:p>
                  <w:pPr>
                    <w:pStyle w:val="Compact"/>
                    <w:jc w:val="right"/>
                    <w:jc w:val="center"/>
                  </w:pPr>
                  <w:r>
                    <w:t xml:space="preserve">0.16</w:t>
                  </w:r>
                </w:p>
              </w:tc>
            </w:tr>
            <w:tr>
              <w:tc>
                <w:tcPr/>
                <w:p>
                  <w:pPr>
                    <w:pStyle w:val="Compact"/>
                    <w:jc w:val="left"/>
                    <w:jc w:val="center"/>
                  </w:pPr>
                  <w:r>
                    <w:t xml:space="preserve">Ratio of family income to poverty</w:t>
                  </w:r>
                </w:p>
              </w:tc>
              <w:tc>
                <w:tcPr/>
                <w:p>
                  <w:pPr>
                    <w:pStyle w:val="Compact"/>
                    <w:jc w:val="left"/>
                    <w:jc w:val="center"/>
                  </w:pPr>
                  <w:r>
                    <w:t xml:space="preserve">Living in rented housing unit</w:t>
                  </w:r>
                </w:p>
              </w:tc>
              <w:tc>
                <w:tcPr/>
                <w:p>
                  <w:pPr>
                    <w:pStyle w:val="Compact"/>
                    <w:jc w:val="right"/>
                    <w:jc w:val="center"/>
                  </w:pPr>
                  <w:r>
                    <w:t xml:space="preserve">-0.36</w:t>
                  </w:r>
                </w:p>
              </w:tc>
              <w:tc>
                <w:tcPr/>
                <w:p>
                  <w:pPr>
                    <w:pStyle w:val="Compact"/>
                    <w:jc w:val="right"/>
                    <w:jc w:val="center"/>
                  </w:pPr>
                  <w:r>
                    <w:t xml:space="preserve">-0.36</w:t>
                  </w:r>
                </w:p>
              </w:tc>
            </w:tr>
            <w:tr>
              <w:tc>
                <w:tcPr/>
                <w:p>
                  <w:pPr>
                    <w:pStyle w:val="Compact"/>
                    <w:jc w:val="left"/>
                    <w:jc w:val="center"/>
                  </w:pPr>
                  <w:r>
                    <w:t xml:space="preserve">Ratio of family income to poverty</w:t>
                  </w:r>
                </w:p>
              </w:tc>
              <w:tc>
                <w:tcPr/>
                <w:p>
                  <w:pPr>
                    <w:pStyle w:val="Compact"/>
                    <w:jc w:val="left"/>
                    <w:jc w:val="center"/>
                  </w:pPr>
                  <w:r>
                    <w:t xml:space="preserve">Unemployed</w:t>
                  </w:r>
                </w:p>
              </w:tc>
              <w:tc>
                <w:tcPr/>
                <w:p>
                  <w:pPr>
                    <w:pStyle w:val="Compact"/>
                    <w:jc w:val="right"/>
                    <w:jc w:val="center"/>
                  </w:pPr>
                  <w:r>
                    <w:t xml:space="preserve">-0.28</w:t>
                  </w:r>
                </w:p>
              </w:tc>
              <w:tc>
                <w:tcPr/>
                <w:p>
                  <w:pPr>
                    <w:pStyle w:val="Compact"/>
                    <w:jc w:val="right"/>
                    <w:jc w:val="center"/>
                  </w:pPr>
                  <w:r>
                    <w:t xml:space="preserve">-0.21</w:t>
                  </w:r>
                </w:p>
              </w:tc>
            </w:tr>
            <w:tr>
              <w:tc>
                <w:tcPr/>
                <w:p>
                  <w:pPr>
                    <w:pStyle w:val="Compact"/>
                    <w:jc w:val="left"/>
                    <w:jc w:val="center"/>
                  </w:pPr>
                  <w:r>
                    <w:t xml:space="preserve">Ratio of family income to poverty</w:t>
                  </w:r>
                </w:p>
              </w:tc>
              <w:tc>
                <w:tcPr/>
                <w:p>
                  <w:pPr>
                    <w:pStyle w:val="Compact"/>
                    <w:jc w:val="left"/>
                    <w:jc w:val="center"/>
                  </w:pPr>
                  <w:r>
                    <w:t xml:space="preserve">Below poverty threshold</w:t>
                  </w:r>
                </w:p>
              </w:tc>
              <w:tc>
                <w:tcPr/>
                <w:p>
                  <w:pPr>
                    <w:pStyle w:val="Compact"/>
                    <w:jc w:val="right"/>
                    <w:jc w:val="center"/>
                  </w:pPr>
                  <w:r>
                    <w:t xml:space="preserve">-0.58</w:t>
                  </w:r>
                </w:p>
              </w:tc>
              <w:tc>
                <w:tcPr/>
                <w:p>
                  <w:pPr>
                    <w:pStyle w:val="Compact"/>
                    <w:jc w:val="right"/>
                    <w:jc w:val="center"/>
                  </w:pPr>
                  <w:r>
                    <w:t xml:space="preserve">-0.42</w:t>
                  </w:r>
                </w:p>
              </w:tc>
            </w:tr>
            <w:tr>
              <w:tc>
                <w:tcPr/>
                <w:p>
                  <w:pPr>
                    <w:pStyle w:val="Compact"/>
                    <w:jc w:val="left"/>
                    <w:jc w:val="center"/>
                  </w:pPr>
                  <w:r>
                    <w:t xml:space="preserve">Ratio of family income to poverty</w:t>
                  </w:r>
                </w:p>
              </w:tc>
              <w:tc>
                <w:tcPr/>
                <w:p>
                  <w:pPr>
                    <w:pStyle w:val="Compact"/>
                    <w:jc w:val="left"/>
                    <w:jc w:val="center"/>
                  </w:pPr>
                  <w:r>
                    <w:t xml:space="preserve">Has less than 12 years of education</w:t>
                  </w:r>
                </w:p>
              </w:tc>
              <w:tc>
                <w:tcPr/>
                <w:p>
                  <w:pPr>
                    <w:pStyle w:val="Compact"/>
                    <w:jc w:val="right"/>
                    <w:jc w:val="center"/>
                  </w:pPr>
                  <w:r>
                    <w:t xml:space="preserve">-0.26</w:t>
                  </w:r>
                </w:p>
              </w:tc>
              <w:tc>
                <w:tcPr/>
                <w:p>
                  <w:pPr>
                    <w:pStyle w:val="Compact"/>
                    <w:jc w:val="right"/>
                    <w:jc w:val="center"/>
                  </w:pPr>
                  <w:r>
                    <w:t xml:space="preserve">-0.22</w:t>
                  </w:r>
                </w:p>
              </w:tc>
            </w:tr>
            <w:tr>
              <w:tc>
                <w:tcPr/>
                <w:p>
                  <w:pPr>
                    <w:pStyle w:val="Compact"/>
                    <w:jc w:val="left"/>
                    <w:jc w:val="center"/>
                  </w:pPr>
                  <w:r>
                    <w:t xml:space="preserve">Ratio of family income to poverty</w:t>
                  </w:r>
                </w:p>
              </w:tc>
              <w:tc>
                <w:tcPr/>
                <w:p>
                  <w:pPr>
                    <w:pStyle w:val="Compact"/>
                    <w:jc w:val="left"/>
                    <w:jc w:val="center"/>
                  </w:pPr>
                  <w:r>
                    <w:t xml:space="preserve">Diastolic blood pressure</w:t>
                  </w:r>
                </w:p>
              </w:tc>
              <w:tc>
                <w:tcPr/>
                <w:p>
                  <w:pPr>
                    <w:pStyle w:val="Compact"/>
                    <w:jc w:val="right"/>
                    <w:jc w:val="center"/>
                  </w:pPr>
                  <w:r>
                    <w:t xml:space="preserve">0.06</w:t>
                  </w:r>
                </w:p>
              </w:tc>
              <w:tc>
                <w:tcPr/>
                <w:p>
                  <w:pPr>
                    <w:pStyle w:val="Compact"/>
                    <w:jc w:val="right"/>
                    <w:jc w:val="center"/>
                  </w:pPr>
                  <w:r>
                    <w:t xml:space="preserve">0.05</w:t>
                  </w:r>
                </w:p>
              </w:tc>
            </w:tr>
            <w:tr>
              <w:tc>
                <w:tcPr/>
                <w:p>
                  <w:pPr>
                    <w:pStyle w:val="Compact"/>
                    <w:jc w:val="left"/>
                    <w:jc w:val="center"/>
                  </w:pPr>
                  <w:r>
                    <w:t xml:space="preserve">Ratio of family income to poverty</w:t>
                  </w:r>
                </w:p>
              </w:tc>
              <w:tc>
                <w:tcPr/>
                <w:p>
                  <w:pPr>
                    <w:pStyle w:val="Compact"/>
                    <w:jc w:val="left"/>
                    <w:jc w:val="center"/>
                  </w:pPr>
                  <w:r>
                    <w:t xml:space="preserve">Living in a crowded housing unit</w:t>
                  </w:r>
                </w:p>
              </w:tc>
              <w:tc>
                <w:tcPr/>
                <w:p>
                  <w:pPr>
                    <w:pStyle w:val="Compact"/>
                    <w:jc w:val="right"/>
                    <w:jc w:val="center"/>
                  </w:pPr>
                  <w:r>
                    <w:t xml:space="preserve">-0.22</w:t>
                  </w:r>
                </w:p>
              </w:tc>
              <w:tc>
                <w:tcPr/>
                <w:p>
                  <w:pPr>
                    <w:pStyle w:val="Compact"/>
                    <w:jc w:val="right"/>
                    <w:jc w:val="center"/>
                  </w:pPr>
                  <w:r>
                    <w:t xml:space="preserve">-0.15</w:t>
                  </w:r>
                </w:p>
              </w:tc>
            </w:tr>
            <w:tr>
              <w:tc>
                <w:tcPr/>
                <w:p>
                  <w:pPr>
                    <w:pStyle w:val="Compact"/>
                    <w:jc w:val="left"/>
                    <w:jc w:val="center"/>
                  </w:pPr>
                  <w:r>
                    <w:t xml:space="preserve">Ratio of family income to poverty</w:t>
                  </w:r>
                </w:p>
              </w:tc>
              <w:tc>
                <w:tcPr/>
                <w:p>
                  <w:pPr>
                    <w:pStyle w:val="Compact"/>
                    <w:jc w:val="left"/>
                    <w:jc w:val="center"/>
                  </w:pPr>
                  <w:r>
                    <w:t xml:space="preserve">Single parent</w:t>
                  </w:r>
                </w:p>
              </w:tc>
              <w:tc>
                <w:tcPr/>
                <w:p>
                  <w:pPr>
                    <w:pStyle w:val="Compact"/>
                    <w:jc w:val="right"/>
                    <w:jc w:val="center"/>
                  </w:pPr>
                  <w:r>
                    <w:t xml:space="preserve">-0.20</w:t>
                  </w:r>
                </w:p>
              </w:tc>
              <w:tc>
                <w:tcPr/>
                <w:p>
                  <w:pPr>
                    <w:pStyle w:val="Compact"/>
                    <w:jc w:val="right"/>
                    <w:jc w:val="center"/>
                  </w:pPr>
                  <w:r>
                    <w:t xml:space="preserve">-0.18</w:t>
                  </w:r>
                </w:p>
              </w:tc>
            </w:tr>
            <w:tr>
              <w:tc>
                <w:tcPr/>
                <w:p>
                  <w:pPr>
                    <w:pStyle w:val="Compact"/>
                    <w:jc w:val="left"/>
                    <w:jc w:val="center"/>
                  </w:pPr>
                  <w:r>
                    <w:t xml:space="preserve">Ratio of family income to poverty</w:t>
                  </w:r>
                </w:p>
              </w:tc>
              <w:tc>
                <w:tcPr/>
                <w:p>
                  <w:pPr>
                    <w:pStyle w:val="Compact"/>
                    <w:jc w:val="left"/>
                    <w:jc w:val="center"/>
                  </w:pPr>
                  <w:r>
                    <w:t xml:space="preserve">Times receiving healthcare over past year</w:t>
                  </w:r>
                </w:p>
              </w:tc>
              <w:tc>
                <w:tcPr/>
                <w:p>
                  <w:pPr>
                    <w:pStyle w:val="Compact"/>
                    <w:jc w:val="right"/>
                    <w:jc w:val="center"/>
                  </w:pPr>
                  <w:r>
                    <w:t xml:space="preserve">0.01</w:t>
                  </w:r>
                </w:p>
              </w:tc>
              <w:tc>
                <w:tcPr/>
                <w:p>
                  <w:pPr>
                    <w:pStyle w:val="Compact"/>
                    <w:jc w:val="right"/>
                    <w:jc w:val="center"/>
                  </w:pPr>
                  <w:r>
                    <w:t xml:space="preserve">0.01</w:t>
                  </w:r>
                </w:p>
              </w:tc>
            </w:tr>
            <w:tr>
              <w:tc>
                <w:tcPr/>
                <w:p>
                  <w:pPr>
                    <w:pStyle w:val="Compact"/>
                    <w:jc w:val="left"/>
                    <w:jc w:val="center"/>
                  </w:pPr>
                  <w:r>
                    <w:t xml:space="preserve">Ratio of family income to poverty</w:t>
                  </w:r>
                </w:p>
              </w:tc>
              <w:tc>
                <w:tcPr/>
                <w:p>
                  <w:pPr>
                    <w:pStyle w:val="Compact"/>
                    <w:jc w:val="left"/>
                    <w:jc w:val="center"/>
                  </w:pPr>
                  <w:r>
                    <w:t xml:space="preserve">Systolic blood pressure</w:t>
                  </w:r>
                </w:p>
              </w:tc>
              <w:tc>
                <w:tcPr/>
                <w:p>
                  <w:pPr>
                    <w:pStyle w:val="Compact"/>
                    <w:jc w:val="right"/>
                    <w:jc w:val="center"/>
                  </w:pPr>
                  <w:r>
                    <w:t xml:space="preserve">-0.02</w:t>
                  </w:r>
                </w:p>
              </w:tc>
              <w:tc>
                <w:tcPr/>
                <w:p>
                  <w:pPr>
                    <w:pStyle w:val="Compact"/>
                    <w:jc w:val="right"/>
                    <w:jc w:val="center"/>
                  </w:pPr>
                  <w:r>
                    <w:t xml:space="preserve">-0.02</w:t>
                  </w:r>
                </w:p>
              </w:tc>
            </w:tr>
            <w:tr>
              <w:tc>
                <w:tcPr/>
                <w:p>
                  <w:pPr>
                    <w:pStyle w:val="Compact"/>
                    <w:jc w:val="left"/>
                    <w:jc w:val="center"/>
                  </w:pPr>
                  <w:r>
                    <w:t xml:space="preserve">Single parent</w:t>
                  </w:r>
                </w:p>
              </w:tc>
              <w:tc>
                <w:tcPr/>
                <w:p>
                  <w:pPr>
                    <w:pStyle w:val="Compact"/>
                    <w:jc w:val="left"/>
                    <w:jc w:val="center"/>
                  </w:pPr>
                  <w:r>
                    <w:t xml:space="preserve">Age</w:t>
                  </w:r>
                </w:p>
              </w:tc>
              <w:tc>
                <w:tcPr/>
                <w:p>
                  <w:pPr>
                    <w:pStyle w:val="Compact"/>
                    <w:jc w:val="right"/>
                    <w:jc w:val="center"/>
                  </w:pPr>
                  <w:r>
                    <w:t xml:space="preserve">-0.19</w:t>
                  </w:r>
                </w:p>
              </w:tc>
              <w:tc>
                <w:tcPr/>
                <w:p>
                  <w:pPr>
                    <w:pStyle w:val="Compact"/>
                    <w:jc w:val="right"/>
                    <w:jc w:val="center"/>
                  </w:pPr>
                  <w:r>
                    <w:t xml:space="preserve">-0.16</w:t>
                  </w:r>
                </w:p>
              </w:tc>
            </w:tr>
            <w:tr>
              <w:tc>
                <w:tcPr/>
                <w:p>
                  <w:pPr>
                    <w:pStyle w:val="Compact"/>
                    <w:jc w:val="left"/>
                    <w:jc w:val="center"/>
                  </w:pPr>
                  <w:r>
                    <w:t xml:space="preserve">Single parent</w:t>
                  </w:r>
                </w:p>
              </w:tc>
              <w:tc>
                <w:tcPr/>
                <w:p>
                  <w:pPr>
                    <w:pStyle w:val="Compact"/>
                    <w:jc w:val="left"/>
                    <w:jc w:val="center"/>
                  </w:pPr>
                  <w:r>
                    <w:t xml:space="preserve">Has health insurance</w:t>
                  </w:r>
                </w:p>
              </w:tc>
              <w:tc>
                <w:tcPr/>
                <w:p>
                  <w:pPr>
                    <w:pStyle w:val="Compact"/>
                    <w:jc w:val="right"/>
                    <w:jc w:val="center"/>
                  </w:pPr>
                  <w:r>
                    <w:t xml:space="preserve">-0.06</w:t>
                  </w:r>
                </w:p>
              </w:tc>
              <w:tc>
                <w:tcPr/>
                <w:p>
                  <w:pPr>
                    <w:pStyle w:val="Compact"/>
                    <w:jc w:val="right"/>
                    <w:jc w:val="center"/>
                  </w:pPr>
                  <w:r>
                    <w:t xml:space="preserve">-0.03</w:t>
                  </w:r>
                </w:p>
              </w:tc>
            </w:tr>
            <w:tr>
              <w:tc>
                <w:tcPr/>
                <w:p>
                  <w:pPr>
                    <w:pStyle w:val="Compact"/>
                    <w:jc w:val="left"/>
                    <w:jc w:val="center"/>
                  </w:pPr>
                  <w:r>
                    <w:t xml:space="preserve">Single parent</w:t>
                  </w:r>
                </w:p>
              </w:tc>
              <w:tc>
                <w:tcPr/>
                <w:p>
                  <w:pPr>
                    <w:pStyle w:val="Compact"/>
                    <w:jc w:val="left"/>
                    <w:jc w:val="center"/>
                  </w:pPr>
                  <w:r>
                    <w:t xml:space="preserve">Ratio of family income to poverty</w:t>
                  </w:r>
                </w:p>
              </w:tc>
              <w:tc>
                <w:tcPr/>
                <w:p>
                  <w:pPr>
                    <w:pStyle w:val="Compact"/>
                    <w:jc w:val="right"/>
                    <w:jc w:val="center"/>
                  </w:pPr>
                  <w:r>
                    <w:t xml:space="preserve">-0.20</w:t>
                  </w:r>
                </w:p>
              </w:tc>
              <w:tc>
                <w:tcPr/>
                <w:p>
                  <w:pPr>
                    <w:pStyle w:val="Compact"/>
                    <w:jc w:val="right"/>
                    <w:jc w:val="center"/>
                  </w:pPr>
                  <w:r>
                    <w:t xml:space="preserve">-0.18</w:t>
                  </w:r>
                </w:p>
              </w:tc>
            </w:tr>
            <w:tr>
              <w:tc>
                <w:tcPr/>
                <w:p>
                  <w:pPr>
                    <w:pStyle w:val="Compact"/>
                    <w:jc w:val="left"/>
                    <w:jc w:val="center"/>
                  </w:pPr>
                  <w:r>
                    <w:t xml:space="preserve">Single parent</w:t>
                  </w:r>
                </w:p>
              </w:tc>
              <w:tc>
                <w:tcPr/>
                <w:p>
                  <w:pPr>
                    <w:pStyle w:val="Compact"/>
                    <w:jc w:val="left"/>
                    <w:jc w:val="center"/>
                  </w:pPr>
                  <w:r>
                    <w:t xml:space="preserve">Times receiving healthcare over past year</w:t>
                  </w:r>
                </w:p>
              </w:tc>
              <w:tc>
                <w:tcPr/>
                <w:p>
                  <w:pPr>
                    <w:pStyle w:val="Compact"/>
                    <w:jc w:val="right"/>
                    <w:jc w:val="center"/>
                  </w:pPr>
                  <w:r>
                    <w:t xml:space="preserve">-0.02</w:t>
                  </w:r>
                </w:p>
              </w:tc>
              <w:tc>
                <w:tcPr/>
                <w:p>
                  <w:pPr>
                    <w:pStyle w:val="Compact"/>
                    <w:jc w:val="right"/>
                    <w:jc w:val="center"/>
                  </w:pPr>
                  <w:r>
                    <w:t xml:space="preserve">-0.01</w:t>
                  </w:r>
                </w:p>
              </w:tc>
            </w:tr>
            <w:tr>
              <w:tc>
                <w:tcPr/>
                <w:p>
                  <w:pPr>
                    <w:pStyle w:val="Compact"/>
                    <w:jc w:val="left"/>
                    <w:jc w:val="center"/>
                  </w:pPr>
                  <w:r>
                    <w:t xml:space="preserve">Single parent</w:t>
                  </w:r>
                </w:p>
              </w:tc>
              <w:tc>
                <w:tcPr/>
                <w:p>
                  <w:pPr>
                    <w:pStyle w:val="Compact"/>
                    <w:jc w:val="left"/>
                    <w:jc w:val="center"/>
                  </w:pPr>
                  <w:r>
                    <w:t xml:space="preserve">Living in rented housing unit</w:t>
                  </w:r>
                </w:p>
              </w:tc>
              <w:tc>
                <w:tcPr/>
                <w:p>
                  <w:pPr>
                    <w:pStyle w:val="Compact"/>
                    <w:jc w:val="right"/>
                    <w:jc w:val="center"/>
                  </w:pPr>
                  <w:r>
                    <w:t xml:space="preserve">0.12</w:t>
                  </w:r>
                </w:p>
              </w:tc>
              <w:tc>
                <w:tcPr/>
                <w:p>
                  <w:pPr>
                    <w:pStyle w:val="Compact"/>
                    <w:jc w:val="right"/>
                    <w:jc w:val="center"/>
                  </w:pPr>
                  <w:r>
                    <w:t xml:space="preserve">0.11</w:t>
                  </w:r>
                </w:p>
              </w:tc>
            </w:tr>
            <w:tr>
              <w:tc>
                <w:tcPr/>
                <w:p>
                  <w:pPr>
                    <w:pStyle w:val="Compact"/>
                    <w:jc w:val="left"/>
                    <w:jc w:val="center"/>
                  </w:pPr>
                  <w:r>
                    <w:t xml:space="preserve">Single parent</w:t>
                  </w:r>
                </w:p>
              </w:tc>
              <w:tc>
                <w:tcPr/>
                <w:p>
                  <w:pPr>
                    <w:pStyle w:val="Compact"/>
                    <w:jc w:val="left"/>
                    <w:jc w:val="center"/>
                  </w:pPr>
                  <w:r>
                    <w:t xml:space="preserve">Below poverty threshold</w:t>
                  </w:r>
                </w:p>
              </w:tc>
              <w:tc>
                <w:tcPr/>
                <w:p>
                  <w:pPr>
                    <w:pStyle w:val="Compact"/>
                    <w:jc w:val="right"/>
                    <w:jc w:val="center"/>
                  </w:pPr>
                  <w:r>
                    <w:t xml:space="preserve">0.16</w:t>
                  </w:r>
                </w:p>
              </w:tc>
              <w:tc>
                <w:tcPr/>
                <w:p>
                  <w:pPr>
                    <w:pStyle w:val="Compact"/>
                    <w:jc w:val="right"/>
                    <w:jc w:val="center"/>
                  </w:pPr>
                  <w:r>
                    <w:t xml:space="preserve">0.11</w:t>
                  </w:r>
                </w:p>
              </w:tc>
            </w:tr>
            <w:tr>
              <w:tc>
                <w:tcPr/>
                <w:p>
                  <w:pPr>
                    <w:pStyle w:val="Compact"/>
                    <w:jc w:val="left"/>
                    <w:jc w:val="center"/>
                  </w:pPr>
                  <w:r>
                    <w:t xml:space="preserve">Systolic blood pressure</w:t>
                  </w:r>
                </w:p>
              </w:tc>
              <w:tc>
                <w:tcPr/>
                <w:p>
                  <w:pPr>
                    <w:pStyle w:val="Compact"/>
                    <w:jc w:val="left"/>
                    <w:jc w:val="center"/>
                  </w:pPr>
                  <w:r>
                    <w:t xml:space="preserve">Age</w:t>
                  </w:r>
                </w:p>
              </w:tc>
              <w:tc>
                <w:tcPr/>
                <w:p>
                  <w:pPr>
                    <w:pStyle w:val="Compact"/>
                    <w:jc w:val="right"/>
                    <w:jc w:val="center"/>
                  </w:pPr>
                  <w:r>
                    <w:t xml:space="preserve">0.36</w:t>
                  </w:r>
                </w:p>
              </w:tc>
              <w:tc>
                <w:tcPr/>
                <w:p>
                  <w:pPr>
                    <w:pStyle w:val="Compact"/>
                    <w:jc w:val="right"/>
                    <w:jc w:val="center"/>
                  </w:pPr>
                  <w:r>
                    <w:t xml:space="preserve">0.35</w:t>
                  </w:r>
                </w:p>
              </w:tc>
            </w:tr>
            <w:tr>
              <w:tc>
                <w:tcPr/>
                <w:p>
                  <w:pPr>
                    <w:pStyle w:val="Compact"/>
                    <w:jc w:val="left"/>
                    <w:jc w:val="center"/>
                  </w:pPr>
                  <w:r>
                    <w:t xml:space="preserve">Systolic blood pressure</w:t>
                  </w:r>
                </w:p>
              </w:tc>
              <w:tc>
                <w:tcPr/>
                <w:p>
                  <w:pPr>
                    <w:pStyle w:val="Compact"/>
                    <w:jc w:val="left"/>
                    <w:jc w:val="center"/>
                  </w:pPr>
                  <w:r>
                    <w:t xml:space="preserve">Living in a crowded housing unit</w:t>
                  </w:r>
                </w:p>
              </w:tc>
              <w:tc>
                <w:tcPr/>
                <w:p>
                  <w:pPr>
                    <w:pStyle w:val="Compact"/>
                    <w:jc w:val="right"/>
                    <w:jc w:val="center"/>
                  </w:pPr>
                  <w:r>
                    <w:t xml:space="preserve">-0.03</w:t>
                  </w:r>
                </w:p>
              </w:tc>
              <w:tc>
                <w:tcPr/>
                <w:p>
                  <w:pPr>
                    <w:pStyle w:val="Compact"/>
                    <w:jc w:val="right"/>
                    <w:jc w:val="center"/>
                  </w:pPr>
                  <w:r>
                    <w:t xml:space="preserve">-0.01</w:t>
                  </w:r>
                </w:p>
              </w:tc>
            </w:tr>
            <w:tr>
              <w:tc>
                <w:tcPr/>
                <w:p>
                  <w:pPr>
                    <w:pStyle w:val="Compact"/>
                    <w:jc w:val="left"/>
                    <w:jc w:val="center"/>
                  </w:pPr>
                  <w:r>
                    <w:t xml:space="preserve">Systolic blood pressure</w:t>
                  </w:r>
                </w:p>
              </w:tc>
              <w:tc>
                <w:tcPr/>
                <w:p>
                  <w:pPr>
                    <w:pStyle w:val="Compact"/>
                    <w:jc w:val="left"/>
                    <w:jc w:val="center"/>
                  </w:pPr>
                  <w:r>
                    <w:t xml:space="preserve">Unemployed</w:t>
                  </w:r>
                </w:p>
              </w:tc>
              <w:tc>
                <w:tcPr/>
                <w:p>
                  <w:pPr>
                    <w:pStyle w:val="Compact"/>
                    <w:jc w:val="right"/>
                    <w:jc w:val="center"/>
                  </w:pPr>
                  <w:r>
                    <w:t xml:space="preserve">0.03</w:t>
                  </w:r>
                </w:p>
              </w:tc>
              <w:tc>
                <w:tcPr/>
                <w:p>
                  <w:pPr>
                    <w:pStyle w:val="Compact"/>
                    <w:jc w:val="right"/>
                    <w:jc w:val="center"/>
                  </w:pPr>
                  <w:r>
                    <w:t xml:space="preserve">0.02</w:t>
                  </w:r>
                </w:p>
              </w:tc>
            </w:tr>
            <w:tr>
              <w:tc>
                <w:tcPr/>
                <w:p>
                  <w:pPr>
                    <w:pStyle w:val="Compact"/>
                    <w:jc w:val="left"/>
                    <w:jc w:val="center"/>
                  </w:pPr>
                  <w:r>
                    <w:t xml:space="preserve">Systolic blood pressure</w:t>
                  </w:r>
                </w:p>
              </w:tc>
              <w:tc>
                <w:tcPr/>
                <w:p>
                  <w:pPr>
                    <w:pStyle w:val="Compact"/>
                    <w:jc w:val="left"/>
                    <w:jc w:val="center"/>
                  </w:pPr>
                  <w:r>
                    <w:t xml:space="preserve">Times receiving healthcare over past year</w:t>
                  </w:r>
                </w:p>
              </w:tc>
              <w:tc>
                <w:tcPr/>
                <w:p>
                  <w:pPr>
                    <w:pStyle w:val="Compact"/>
                    <w:jc w:val="right"/>
                    <w:jc w:val="center"/>
                  </w:pPr>
                  <w:r>
                    <w:t xml:space="preserve">-0.03</w:t>
                  </w:r>
                </w:p>
              </w:tc>
              <w:tc>
                <w:tcPr/>
                <w:p>
                  <w:pPr>
                    <w:pStyle w:val="Compact"/>
                    <w:jc w:val="right"/>
                    <w:jc w:val="center"/>
                  </w:pPr>
                  <w:r>
                    <w:t xml:space="preserve">-0.03</w:t>
                  </w:r>
                </w:p>
              </w:tc>
            </w:tr>
            <w:tr>
              <w:tc>
                <w:tcPr/>
                <w:p>
                  <w:pPr>
                    <w:pStyle w:val="Compact"/>
                    <w:jc w:val="left"/>
                    <w:jc w:val="center"/>
                  </w:pPr>
                  <w:r>
                    <w:t xml:space="preserve">Systolic blood pressure</w:t>
                  </w:r>
                </w:p>
              </w:tc>
              <w:tc>
                <w:tcPr/>
                <w:p>
                  <w:pPr>
                    <w:pStyle w:val="Compact"/>
                    <w:jc w:val="left"/>
                    <w:jc w:val="center"/>
                  </w:pPr>
                  <w:r>
                    <w:t xml:space="preserve">Living in rented housing unit</w:t>
                  </w:r>
                </w:p>
              </w:tc>
              <w:tc>
                <w:tcPr/>
                <w:p>
                  <w:pPr>
                    <w:pStyle w:val="Compact"/>
                    <w:jc w:val="right"/>
                    <w:jc w:val="center"/>
                  </w:pPr>
                  <w:r>
                    <w:t xml:space="preserve">-0.06</w:t>
                  </w:r>
                </w:p>
              </w:tc>
              <w:tc>
                <w:tcPr/>
                <w:p>
                  <w:pPr>
                    <w:pStyle w:val="Compact"/>
                    <w:jc w:val="right"/>
                    <w:jc w:val="center"/>
                  </w:pPr>
                  <w:r>
                    <w:t xml:space="preserve">-0.05</w:t>
                  </w:r>
                </w:p>
              </w:tc>
            </w:tr>
            <w:tr>
              <w:tc>
                <w:tcPr/>
                <w:p>
                  <w:pPr>
                    <w:pStyle w:val="Compact"/>
                    <w:jc w:val="left"/>
                    <w:jc w:val="center"/>
                  </w:pPr>
                  <w:r>
                    <w:t xml:space="preserve">Systolic blood pressure</w:t>
                  </w:r>
                </w:p>
              </w:tc>
              <w:tc>
                <w:tcPr/>
                <w:p>
                  <w:pPr>
                    <w:pStyle w:val="Compact"/>
                    <w:jc w:val="left"/>
                    <w:jc w:val="center"/>
                  </w:pPr>
                  <w:r>
                    <w:t xml:space="preserve">Has less than 12 years of education</w:t>
                  </w:r>
                </w:p>
              </w:tc>
              <w:tc>
                <w:tcPr/>
                <w:p>
                  <w:pPr>
                    <w:pStyle w:val="Compact"/>
                    <w:jc w:val="right"/>
                    <w:jc w:val="center"/>
                  </w:pPr>
                  <w:r>
                    <w:t xml:space="preserve">0.05</w:t>
                  </w:r>
                </w:p>
              </w:tc>
              <w:tc>
                <w:tcPr/>
                <w:p>
                  <w:pPr>
                    <w:pStyle w:val="Compact"/>
                    <w:jc w:val="right"/>
                    <w:jc w:val="center"/>
                  </w:pPr>
                  <w:r>
                    <w:t xml:space="preserve">0.03</w:t>
                  </w:r>
                </w:p>
              </w:tc>
            </w:tr>
            <w:tr>
              <w:tc>
                <w:tcPr/>
                <w:p>
                  <w:pPr>
                    <w:pStyle w:val="Compact"/>
                    <w:jc w:val="left"/>
                    <w:jc w:val="center"/>
                  </w:pPr>
                  <w:r>
                    <w:t xml:space="preserve">Systolic blood pressure</w:t>
                  </w:r>
                </w:p>
              </w:tc>
              <w:tc>
                <w:tcPr/>
                <w:p>
                  <w:pPr>
                    <w:pStyle w:val="Compact"/>
                    <w:jc w:val="left"/>
                    <w:jc w:val="center"/>
                  </w:pPr>
                  <w:r>
                    <w:t xml:space="preserve">Below poverty threshold</w:t>
                  </w:r>
                </w:p>
              </w:tc>
              <w:tc>
                <w:tcPr/>
                <w:p>
                  <w:pPr>
                    <w:pStyle w:val="Compact"/>
                    <w:jc w:val="right"/>
                    <w:jc w:val="center"/>
                  </w:pPr>
                  <w:r>
                    <w:t xml:space="preserve">-0.00</w:t>
                  </w:r>
                </w:p>
              </w:tc>
              <w:tc>
                <w:tcPr/>
                <w:p>
                  <w:pPr>
                    <w:pStyle w:val="Compact"/>
                    <w:jc w:val="right"/>
                    <w:jc w:val="center"/>
                  </w:pPr>
                  <w:r>
                    <w:t xml:space="preserve">-0.00</w:t>
                  </w:r>
                </w:p>
              </w:tc>
            </w:tr>
            <w:tr>
              <w:tc>
                <w:tcPr/>
                <w:p>
                  <w:pPr>
                    <w:pStyle w:val="Compact"/>
                    <w:jc w:val="left"/>
                    <w:jc w:val="center"/>
                  </w:pPr>
                  <w:r>
                    <w:t xml:space="preserve">Systolic blood pressure</w:t>
                  </w:r>
                </w:p>
              </w:tc>
              <w:tc>
                <w:tcPr/>
                <w:p>
                  <w:pPr>
                    <w:pStyle w:val="Compact"/>
                    <w:jc w:val="left"/>
                    <w:jc w:val="center"/>
                  </w:pPr>
                  <w:r>
                    <w:t xml:space="preserve">Diastolic blood pressure</w:t>
                  </w:r>
                </w:p>
              </w:tc>
              <w:tc>
                <w:tcPr/>
                <w:p>
                  <w:pPr>
                    <w:pStyle w:val="Compact"/>
                    <w:jc w:val="right"/>
                    <w:jc w:val="center"/>
                  </w:pPr>
                  <w:r>
                    <w:t xml:space="preserve">0.48</w:t>
                  </w:r>
                </w:p>
              </w:tc>
              <w:tc>
                <w:tcPr/>
                <w:p>
                  <w:pPr>
                    <w:pStyle w:val="Compact"/>
                    <w:jc w:val="right"/>
                    <w:jc w:val="center"/>
                  </w:pPr>
                  <w:r>
                    <w:t xml:space="preserve">0.48</w:t>
                  </w:r>
                </w:p>
              </w:tc>
            </w:tr>
            <w:tr>
              <w:tc>
                <w:tcPr/>
                <w:p>
                  <w:pPr>
                    <w:pStyle w:val="Compact"/>
                    <w:jc w:val="left"/>
                    <w:jc w:val="center"/>
                  </w:pPr>
                  <w:r>
                    <w:t xml:space="preserve">Systolic blood pressure</w:t>
                  </w:r>
                </w:p>
              </w:tc>
              <w:tc>
                <w:tcPr/>
                <w:p>
                  <w:pPr>
                    <w:pStyle w:val="Compact"/>
                    <w:jc w:val="left"/>
                    <w:jc w:val="center"/>
                  </w:pPr>
                  <w:r>
                    <w:t xml:space="preserve">Ratio of family income to poverty</w:t>
                  </w:r>
                </w:p>
              </w:tc>
              <w:tc>
                <w:tcPr/>
                <w:p>
                  <w:pPr>
                    <w:pStyle w:val="Compact"/>
                    <w:jc w:val="right"/>
                    <w:jc w:val="center"/>
                  </w:pPr>
                  <w:r>
                    <w:t xml:space="preserve">-0.02</w:t>
                  </w:r>
                </w:p>
              </w:tc>
              <w:tc>
                <w:tcPr/>
                <w:p>
                  <w:pPr>
                    <w:pStyle w:val="Compact"/>
                    <w:jc w:val="right"/>
                    <w:jc w:val="center"/>
                  </w:pPr>
                  <w:r>
                    <w:t xml:space="preserve">-0.02</w:t>
                  </w:r>
                </w:p>
              </w:tc>
            </w:tr>
            <w:tr>
              <w:tc>
                <w:tcPr/>
                <w:p>
                  <w:pPr>
                    <w:pStyle w:val="Compact"/>
                    <w:jc w:val="left"/>
                    <w:jc w:val="center"/>
                  </w:pPr>
                  <w:r>
                    <w:t xml:space="preserve">Systolic blood pressure</w:t>
                  </w:r>
                </w:p>
              </w:tc>
              <w:tc>
                <w:tcPr/>
                <w:p>
                  <w:pPr>
                    <w:pStyle w:val="Compact"/>
                    <w:jc w:val="left"/>
                    <w:jc w:val="center"/>
                  </w:pPr>
                  <w:r>
                    <w:t xml:space="preserve">Single parent</w:t>
                  </w:r>
                </w:p>
              </w:tc>
              <w:tc>
                <w:tcPr/>
                <w:p>
                  <w:pPr>
                    <w:pStyle w:val="Compact"/>
                    <w:jc w:val="right"/>
                    <w:jc w:val="center"/>
                  </w:pPr>
                  <w:r>
                    <w:t xml:space="preserve">-0.08</w:t>
                  </w:r>
                </w:p>
              </w:tc>
              <w:tc>
                <w:tcPr/>
                <w:p>
                  <w:pPr>
                    <w:pStyle w:val="Compact"/>
                    <w:jc w:val="right"/>
                    <w:jc w:val="center"/>
                  </w:pPr>
                  <w:r>
                    <w:t xml:space="preserve">-0.05</w:t>
                  </w:r>
                </w:p>
              </w:tc>
            </w:tr>
            <w:tr>
              <w:tc>
                <w:tcPr/>
                <w:p>
                  <w:pPr>
                    <w:pStyle w:val="Compact"/>
                    <w:jc w:val="left"/>
                    <w:jc w:val="center"/>
                  </w:pPr>
                  <w:r>
                    <w:t xml:space="preserve">Times receiving healthcare over past year</w:t>
                  </w:r>
                </w:p>
              </w:tc>
              <w:tc>
                <w:tcPr/>
                <w:p>
                  <w:pPr>
                    <w:pStyle w:val="Compact"/>
                    <w:jc w:val="left"/>
                    <w:jc w:val="center"/>
                  </w:pPr>
                  <w:r>
                    <w:t xml:space="preserve">Ratio of family income to poverty</w:t>
                  </w:r>
                </w:p>
              </w:tc>
              <w:tc>
                <w:tcPr/>
                <w:p>
                  <w:pPr>
                    <w:pStyle w:val="Compact"/>
                    <w:jc w:val="right"/>
                    <w:jc w:val="center"/>
                  </w:pPr>
                  <w:r>
                    <w:t xml:space="preserve">0.01</w:t>
                  </w:r>
                </w:p>
              </w:tc>
              <w:tc>
                <w:tcPr/>
                <w:p>
                  <w:pPr>
                    <w:pStyle w:val="Compact"/>
                    <w:jc w:val="right"/>
                    <w:jc w:val="center"/>
                  </w:pPr>
                  <w:r>
                    <w:t xml:space="preserve">0.01</w:t>
                  </w:r>
                </w:p>
              </w:tc>
            </w:tr>
            <w:tr>
              <w:tc>
                <w:tcPr/>
                <w:p>
                  <w:pPr>
                    <w:pStyle w:val="Compact"/>
                    <w:jc w:val="left"/>
                    <w:jc w:val="center"/>
                  </w:pPr>
                  <w:r>
                    <w:t xml:space="preserve">Times receiving healthcare over past year</w:t>
                  </w:r>
                </w:p>
              </w:tc>
              <w:tc>
                <w:tcPr/>
                <w:p>
                  <w:pPr>
                    <w:pStyle w:val="Compact"/>
                    <w:jc w:val="left"/>
                    <w:jc w:val="center"/>
                  </w:pPr>
                  <w:r>
                    <w:t xml:space="preserve">Single parent</w:t>
                  </w:r>
                </w:p>
              </w:tc>
              <w:tc>
                <w:tcPr/>
                <w:p>
                  <w:pPr>
                    <w:pStyle w:val="Compact"/>
                    <w:jc w:val="right"/>
                    <w:jc w:val="center"/>
                  </w:pPr>
                  <w:r>
                    <w:t xml:space="preserve">-0.02</w:t>
                  </w:r>
                </w:p>
              </w:tc>
              <w:tc>
                <w:tcPr/>
                <w:p>
                  <w:pPr>
                    <w:pStyle w:val="Compact"/>
                    <w:jc w:val="right"/>
                    <w:jc w:val="center"/>
                  </w:pPr>
                  <w:r>
                    <w:t xml:space="preserve">-0.01</w:t>
                  </w:r>
                </w:p>
              </w:tc>
            </w:tr>
            <w:tr>
              <w:tc>
                <w:tcPr/>
                <w:p>
                  <w:pPr>
                    <w:pStyle w:val="Compact"/>
                    <w:jc w:val="left"/>
                    <w:jc w:val="center"/>
                  </w:pPr>
                  <w:r>
                    <w:t xml:space="preserve">Times receiving healthcare over past year</w:t>
                  </w:r>
                </w:p>
              </w:tc>
              <w:tc>
                <w:tcPr/>
                <w:p>
                  <w:pPr>
                    <w:pStyle w:val="Compact"/>
                    <w:jc w:val="left"/>
                    <w:jc w:val="center"/>
                  </w:pPr>
                  <w:r>
                    <w:t xml:space="preserve">Has less than 12 years of education</w:t>
                  </w:r>
                </w:p>
              </w:tc>
              <w:tc>
                <w:tcPr/>
                <w:p>
                  <w:pPr>
                    <w:pStyle w:val="Compact"/>
                    <w:jc w:val="right"/>
                    <w:jc w:val="center"/>
                  </w:pPr>
                  <w:r>
                    <w:t xml:space="preserve">-0.00</w:t>
                  </w:r>
                </w:p>
              </w:tc>
              <w:tc>
                <w:tcPr/>
                <w:p>
                  <w:pPr>
                    <w:pStyle w:val="Compact"/>
                    <w:jc w:val="right"/>
                    <w:jc w:val="center"/>
                  </w:pPr>
                  <w:r>
                    <w:t xml:space="preserve">-0.00</w:t>
                  </w:r>
                </w:p>
              </w:tc>
            </w:tr>
            <w:tr>
              <w:tc>
                <w:tcPr/>
                <w:p>
                  <w:pPr>
                    <w:pStyle w:val="Compact"/>
                    <w:jc w:val="left"/>
                    <w:jc w:val="center"/>
                  </w:pPr>
                  <w:r>
                    <w:t xml:space="preserve">Unemployed</w:t>
                  </w:r>
                </w:p>
              </w:tc>
              <w:tc>
                <w:tcPr/>
                <w:p>
                  <w:pPr>
                    <w:pStyle w:val="Compact"/>
                    <w:jc w:val="left"/>
                    <w:jc w:val="center"/>
                  </w:pPr>
                  <w:r>
                    <w:t xml:space="preserve">Single parent</w:t>
                  </w:r>
                </w:p>
              </w:tc>
              <w:tc>
                <w:tcPr/>
                <w:p>
                  <w:pPr>
                    <w:pStyle w:val="Compact"/>
                    <w:jc w:val="right"/>
                    <w:jc w:val="center"/>
                  </w:pPr>
                  <w:r>
                    <w:t xml:space="preserve">0.04</w:t>
                  </w:r>
                </w:p>
              </w:tc>
              <w:tc>
                <w:tcPr/>
                <w:p>
                  <w:pPr>
                    <w:pStyle w:val="Compact"/>
                    <w:jc w:val="right"/>
                    <w:jc w:val="center"/>
                  </w:pPr>
                  <w:r>
                    <w:t xml:space="preserve">0.01</w:t>
                  </w:r>
                </w:p>
              </w:tc>
            </w:tr>
            <w:tr>
              <w:tc>
                <w:tcPr/>
                <w:p>
                  <w:pPr>
                    <w:pStyle w:val="Compact"/>
                    <w:jc w:val="left"/>
                    <w:jc w:val="center"/>
                  </w:pPr>
                  <w:r>
                    <w:t xml:space="preserve">Unemployed</w:t>
                  </w:r>
                </w:p>
              </w:tc>
              <w:tc>
                <w:tcPr/>
                <w:p>
                  <w:pPr>
                    <w:pStyle w:val="Compact"/>
                    <w:jc w:val="left"/>
                    <w:jc w:val="center"/>
                  </w:pPr>
                  <w:r>
                    <w:t xml:space="preserve">Living in a crowded housing unit</w:t>
                  </w:r>
                </w:p>
              </w:tc>
              <w:tc>
                <w:tcPr/>
                <w:p>
                  <w:pPr>
                    <w:pStyle w:val="Compact"/>
                    <w:jc w:val="right"/>
                    <w:jc w:val="center"/>
                  </w:pPr>
                  <w:r>
                    <w:t xml:space="preserve">0.04</w:t>
                  </w:r>
                </w:p>
              </w:tc>
              <w:tc>
                <w:tcPr/>
                <w:p>
                  <w:pPr>
                    <w:pStyle w:val="Compact"/>
                    <w:jc w:val="right"/>
                    <w:jc w:val="center"/>
                  </w:pPr>
                  <w:r>
                    <w:t xml:space="preserve">0.01</w:t>
                  </w:r>
                </w:p>
              </w:tc>
            </w:tr>
            <w:tr>
              <w:tc>
                <w:tcPr/>
                <w:p>
                  <w:pPr>
                    <w:pStyle w:val="Compact"/>
                    <w:jc w:val="left"/>
                    <w:jc w:val="center"/>
                  </w:pPr>
                  <w:r>
                    <w:t xml:space="preserve">Unemployed</w:t>
                  </w:r>
                </w:p>
              </w:tc>
              <w:tc>
                <w:tcPr/>
                <w:p>
                  <w:pPr>
                    <w:pStyle w:val="Compact"/>
                    <w:jc w:val="left"/>
                    <w:jc w:val="center"/>
                  </w:pPr>
                  <w:r>
                    <w:t xml:space="preserve">Living in rented housing unit</w:t>
                  </w:r>
                </w:p>
              </w:tc>
              <w:tc>
                <w:tcPr/>
                <w:p>
                  <w:pPr>
                    <w:pStyle w:val="Compact"/>
                    <w:jc w:val="right"/>
                    <w:jc w:val="center"/>
                  </w:pPr>
                  <w:r>
                    <w:t xml:space="preserve">0.07</w:t>
                  </w:r>
                </w:p>
              </w:tc>
              <w:tc>
                <w:tcPr/>
                <w:p>
                  <w:pPr>
                    <w:pStyle w:val="Compact"/>
                    <w:jc w:val="right"/>
                    <w:jc w:val="center"/>
                  </w:pPr>
                  <w:r>
                    <w:t xml:space="preserve">0.03</w:t>
                  </w:r>
                </w:p>
              </w:tc>
            </w:tr>
            <w:tr>
              <w:tc>
                <w:tcPr/>
                <w:p>
                  <w:pPr>
                    <w:pStyle w:val="Compact"/>
                    <w:jc w:val="left"/>
                    <w:jc w:val="center"/>
                  </w:pPr>
                  <w:r>
                    <w:t xml:space="preserve">Unemployed</w:t>
                  </w:r>
                </w:p>
              </w:tc>
              <w:tc>
                <w:tcPr/>
                <w:p>
                  <w:pPr>
                    <w:pStyle w:val="Compact"/>
                    <w:jc w:val="left"/>
                    <w:jc w:val="center"/>
                  </w:pPr>
                  <w:r>
                    <w:t xml:space="preserve">Systolic blood pressure</w:t>
                  </w:r>
                </w:p>
              </w:tc>
              <w:tc>
                <w:tcPr/>
                <w:p>
                  <w:pPr>
                    <w:pStyle w:val="Compact"/>
                    <w:jc w:val="right"/>
                    <w:jc w:val="center"/>
                  </w:pPr>
                  <w:r>
                    <w:t xml:space="preserve">0.03</w:t>
                  </w:r>
                </w:p>
              </w:tc>
              <w:tc>
                <w:tcPr/>
                <w:p>
                  <w:pPr>
                    <w:pStyle w:val="Compact"/>
                    <w:jc w:val="right"/>
                    <w:jc w:val="center"/>
                  </w:pPr>
                  <w:r>
                    <w:t xml:space="preserve">0.02</w:t>
                  </w:r>
                </w:p>
              </w:tc>
            </w:tr>
            <w:tr>
              <w:tc>
                <w:tcPr/>
                <w:p>
                  <w:pPr>
                    <w:pStyle w:val="Compact"/>
                    <w:jc w:val="left"/>
                    <w:jc w:val="center"/>
                  </w:pPr>
                  <w:r>
                    <w:t xml:space="preserve">Unemployed</w:t>
                  </w:r>
                </w:p>
              </w:tc>
              <w:tc>
                <w:tcPr/>
                <w:p>
                  <w:pPr>
                    <w:pStyle w:val="Compact"/>
                    <w:jc w:val="left"/>
                    <w:jc w:val="center"/>
                  </w:pPr>
                  <w:r>
                    <w:t xml:space="preserve">Has health insurance</w:t>
                  </w:r>
                </w:p>
              </w:tc>
              <w:tc>
                <w:tcPr/>
                <w:p>
                  <w:pPr>
                    <w:pStyle w:val="Compact"/>
                    <w:jc w:val="right"/>
                    <w:jc w:val="center"/>
                  </w:pPr>
                  <w:r>
                    <w:t xml:space="preserve">-0.05</w:t>
                  </w:r>
                </w:p>
              </w:tc>
              <w:tc>
                <w:tcPr/>
                <w:p>
                  <w:pPr>
                    <w:pStyle w:val="Compact"/>
                    <w:jc w:val="right"/>
                    <w:jc w:val="center"/>
                  </w:pPr>
                  <w:r>
                    <w:t xml:space="preserve">-0.02</w:t>
                  </w:r>
                </w:p>
              </w:tc>
            </w:tr>
            <w:tr>
              <w:tc>
                <w:tcPr/>
                <w:p>
                  <w:pPr>
                    <w:pStyle w:val="Compact"/>
                    <w:jc w:val="left"/>
                    <w:jc w:val="center"/>
                  </w:pPr>
                  <w:r>
                    <w:t xml:space="preserve">Unemployed</w:t>
                  </w:r>
                </w:p>
              </w:tc>
              <w:tc>
                <w:tcPr/>
                <w:p>
                  <w:pPr>
                    <w:pStyle w:val="Compact"/>
                    <w:jc w:val="left"/>
                    <w:jc w:val="center"/>
                  </w:pPr>
                  <w:r>
                    <w:t xml:space="preserve">Times receiving healthcare over past year</w:t>
                  </w:r>
                </w:p>
              </w:tc>
              <w:tc>
                <w:tcPr/>
                <w:p>
                  <w:pPr>
                    <w:pStyle w:val="Compact"/>
                    <w:jc w:val="right"/>
                    <w:jc w:val="center"/>
                  </w:pPr>
                  <w:r>
                    <w:t xml:space="preserve">0.06</w:t>
                  </w:r>
                </w:p>
              </w:tc>
              <w:tc>
                <w:tcPr/>
                <w:p>
                  <w:pPr>
                    <w:pStyle w:val="Compact"/>
                    <w:jc w:val="right"/>
                    <w:jc w:val="center"/>
                  </w:pPr>
                  <w:r>
                    <w:t xml:space="preserve">0.03</w:t>
                  </w:r>
                </w:p>
              </w:tc>
            </w:tr>
            <w:tr>
              <w:tc>
                <w:tcPr/>
                <w:p>
                  <w:pPr>
                    <w:pStyle w:val="Compact"/>
                    <w:jc w:val="left"/>
                    <w:jc w:val="center"/>
                  </w:pPr>
                  <w:r>
                    <w:t xml:space="preserve">Unemployed</w:t>
                  </w:r>
                </w:p>
              </w:tc>
              <w:tc>
                <w:tcPr/>
                <w:p>
                  <w:pPr>
                    <w:pStyle w:val="Compact"/>
                    <w:jc w:val="left"/>
                    <w:jc w:val="center"/>
                  </w:pPr>
                  <w:r>
                    <w:t xml:space="preserve">Has less than 12 years of education</w:t>
                  </w:r>
                </w:p>
              </w:tc>
              <w:tc>
                <w:tcPr/>
                <w:p>
                  <w:pPr>
                    <w:pStyle w:val="Compact"/>
                    <w:jc w:val="right"/>
                    <w:jc w:val="center"/>
                  </w:pPr>
                  <w:r>
                    <w:t xml:space="preserve">0.13</w:t>
                  </w:r>
                </w:p>
              </w:tc>
              <w:tc>
                <w:tcPr/>
                <w:p>
                  <w:pPr>
                    <w:pStyle w:val="Compact"/>
                    <w:jc w:val="right"/>
                    <w:jc w:val="center"/>
                  </w:pPr>
                  <w:r>
                    <w:t xml:space="preserve">0.08</w:t>
                  </w:r>
                </w:p>
              </w:tc>
            </w:tr>
          </w:tbl>
          <w:p>
            <w:pPr>
              <w:jc w:val="center"/>
            </w:pPr>
            <w:pPr>
              <w:jc w:val="left"/>
              <w:spacing w:before="200"/>
              <w:pStyle w:val="ImageCaption"/>
            </w:pPr>
            <w:r>
              <w:t xml:space="preserve">Table S3: Demographic and clinical correlation matrices in NHANES and multivariate copula synthetic cohorts (NHANES: National Health and Nutrition Examination Survey)</w:t>
            </w:r>
          </w:p>
          <w:bookmarkEnd w:id="7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2" w:name="supptbl-cohort-characteristics"/>
          <w:tbl>
            <w:tblPr>
              <w:tblStyle w:val="Table"/>
              <w:tblW w:type="pct" w:w="5000"/>
              <w:tblLayout w:type="fixed"/>
              <w:tblLook w:firstRow="1" w:lastRow="0" w:firstColumn="0" w:lastColumn="0" w:noHBand="0" w:noVBand="0" w:val="0020"/>
            </w:tblPr>
            <w:tblGrid>
              <w:gridCol w:w="2200"/>
              <w:gridCol w:w="2860"/>
              <w:gridCol w:w="2860"/>
            </w:tblGrid>
            <w:tr>
              <w:trPr>
                <w:tblHeader w:val="on"/>
              </w:trPr>
              <w:tc>
                <w:tcPr/>
                <w:p>
                  <w:pPr>
                    <w:pStyle w:val="Compact"/>
                    <w:jc w:val="center"/>
                  </w:pPr>
                  <w:r>
                    <w:t xml:space="preserve">Variable</w:t>
                  </w:r>
                </w:p>
              </w:tc>
              <w:tc>
                <w:tcPr/>
                <w:p>
                  <w:pPr>
                    <w:pStyle w:val="Compact"/>
                    <w:jc w:val="center"/>
                  </w:pPr>
                  <w:r>
                    <w:t xml:space="preserve">Non-Hispanic Black (%)</w:t>
                  </w:r>
                </w:p>
              </w:tc>
              <w:tc>
                <w:tcPr/>
                <w:p>
                  <w:pPr>
                    <w:pStyle w:val="Compact"/>
                    <w:jc w:val="center"/>
                  </w:pPr>
                  <w:r>
                    <w:t xml:space="preserve">Non-Hispanic white (%)</w:t>
                  </w:r>
                </w:p>
              </w:tc>
            </w:tr>
            <w:tr>
              <w:tc>
                <w:tcPr/>
                <w:p>
                  <w:pPr>
                    <w:pStyle w:val="Compact"/>
                    <w:jc w:val="center"/>
                  </w:pPr>
                  <w:r>
                    <w:t xml:space="preserve">Female</w:t>
                  </w:r>
                </w:p>
              </w:tc>
              <w:tc>
                <w:tcPr/>
                <w:p>
                  <w:pPr>
                    <w:pStyle w:val="Compact"/>
                    <w:jc w:val="center"/>
                  </w:pPr>
                  <w:r>
                    <w:t xml:space="preserve">52%</w:t>
                  </w:r>
                </w:p>
              </w:tc>
              <w:tc>
                <w:tcPr/>
                <w:p>
                  <w:pPr>
                    <w:pStyle w:val="Compact"/>
                    <w:jc w:val="center"/>
                  </w:pPr>
                  <w:r>
                    <w:t xml:space="preserve">51%</w:t>
                  </w:r>
                </w:p>
              </w:tc>
            </w:tr>
            <w:tr>
              <w:tc>
                <w:tcPr/>
                <w:p>
                  <w:pPr>
                    <w:pStyle w:val="Compact"/>
                    <w:jc w:val="center"/>
                  </w:pPr>
                  <w:r>
                    <w:t xml:space="preserve">Has place for routine healthcare</w:t>
                  </w:r>
                </w:p>
              </w:tc>
              <w:tc>
                <w:tcPr/>
                <w:p>
                  <w:pPr>
                    <w:pStyle w:val="Compact"/>
                    <w:jc w:val="center"/>
                  </w:pPr>
                  <w:r>
                    <w:t xml:space="preserve">79%</w:t>
                  </w:r>
                </w:p>
              </w:tc>
              <w:tc>
                <w:tcPr/>
                <w:p>
                  <w:pPr>
                    <w:pStyle w:val="Compact"/>
                    <w:jc w:val="center"/>
                  </w:pPr>
                  <w:r>
                    <w:t xml:space="preserve">79%</w:t>
                  </w:r>
                </w:p>
              </w:tc>
            </w:tr>
            <w:tr>
              <w:tc>
                <w:tcPr/>
                <w:p>
                  <w:pPr>
                    <w:pStyle w:val="Compact"/>
                    <w:jc w:val="center"/>
                  </w:pPr>
                  <w:r>
                    <w:t xml:space="preserve">Has health insurance</w:t>
                  </w:r>
                </w:p>
              </w:tc>
              <w:tc>
                <w:tcPr/>
                <w:p>
                  <w:pPr>
                    <w:pStyle w:val="Compact"/>
                    <w:jc w:val="center"/>
                  </w:pPr>
                  <w:r>
                    <w:t xml:space="preserve">79%</w:t>
                  </w:r>
                </w:p>
              </w:tc>
              <w:tc>
                <w:tcPr/>
                <w:p>
                  <w:pPr>
                    <w:pStyle w:val="Compact"/>
                    <w:jc w:val="center"/>
                  </w:pPr>
                  <w:r>
                    <w:t xml:space="preserve">86%</w:t>
                  </w:r>
                </w:p>
              </w:tc>
            </w:tr>
            <w:tr>
              <w:tc>
                <w:tcPr/>
                <w:p>
                  <w:pPr>
                    <w:pStyle w:val="Compact"/>
                    <w:jc w:val="center"/>
                  </w:pPr>
                  <w:r>
                    <w:t xml:space="preserve">Below poverty threshold</w:t>
                  </w:r>
                </w:p>
              </w:tc>
              <w:tc>
                <w:tcPr/>
                <w:p>
                  <w:pPr>
                    <w:pStyle w:val="Compact"/>
                    <w:jc w:val="center"/>
                  </w:pPr>
                  <w:r>
                    <w:t xml:space="preserve">26%</w:t>
                  </w:r>
                </w:p>
              </w:tc>
              <w:tc>
                <w:tcPr/>
                <w:p>
                  <w:pPr>
                    <w:pStyle w:val="Compact"/>
                    <w:jc w:val="center"/>
                  </w:pPr>
                  <w:r>
                    <w:t xml:space="preserve">11%</w:t>
                  </w:r>
                </w:p>
              </w:tc>
            </w:tr>
            <w:tr>
              <w:tc>
                <w:tcPr/>
                <w:p>
                  <w:pPr>
                    <w:pStyle w:val="Compact"/>
                    <w:jc w:val="center"/>
                  </w:pPr>
                  <w:r>
                    <w:t xml:space="preserve">Less than 12 years of education</w:t>
                  </w:r>
                </w:p>
              </w:tc>
              <w:tc>
                <w:tcPr/>
                <w:p>
                  <w:pPr>
                    <w:pStyle w:val="Compact"/>
                    <w:jc w:val="center"/>
                  </w:pPr>
                  <w:r>
                    <w:t xml:space="preserve">14%</w:t>
                  </w:r>
                </w:p>
              </w:tc>
              <w:tc>
                <w:tcPr/>
                <w:p>
                  <w:pPr>
                    <w:pStyle w:val="Compact"/>
                    <w:jc w:val="center"/>
                  </w:pPr>
                  <w:r>
                    <w:t xml:space="preserve">7%</w:t>
                  </w:r>
                </w:p>
              </w:tc>
            </w:tr>
            <w:tr>
              <w:tc>
                <w:tcPr/>
                <w:p>
                  <w:pPr>
                    <w:pStyle w:val="Compact"/>
                    <w:jc w:val="center"/>
                  </w:pPr>
                  <w:r>
                    <w:t xml:space="preserve">Rented housing unit</w:t>
                  </w:r>
                </w:p>
              </w:tc>
              <w:tc>
                <w:tcPr/>
                <w:p>
                  <w:pPr>
                    <w:pStyle w:val="Compact"/>
                    <w:jc w:val="center"/>
                  </w:pPr>
                  <w:r>
                    <w:t xml:space="preserve">57%</w:t>
                  </w:r>
                </w:p>
              </w:tc>
              <w:tc>
                <w:tcPr/>
                <w:p>
                  <w:pPr>
                    <w:pStyle w:val="Compact"/>
                    <w:jc w:val="center"/>
                  </w:pPr>
                  <w:r>
                    <w:t xml:space="preserve">31%</w:t>
                  </w:r>
                </w:p>
              </w:tc>
            </w:tr>
            <w:tr>
              <w:tc>
                <w:tcPr/>
                <w:p>
                  <w:pPr>
                    <w:pStyle w:val="Compact"/>
                    <w:jc w:val="center"/>
                  </w:pPr>
                  <w:r>
                    <w:t xml:space="preserve">Unemployed</w:t>
                  </w:r>
                </w:p>
              </w:tc>
              <w:tc>
                <w:tcPr/>
                <w:p>
                  <w:pPr>
                    <w:pStyle w:val="Compact"/>
                    <w:jc w:val="center"/>
                  </w:pPr>
                  <w:r>
                    <w:t xml:space="preserve">7%</w:t>
                  </w:r>
                </w:p>
              </w:tc>
              <w:tc>
                <w:tcPr/>
                <w:p>
                  <w:pPr>
                    <w:pStyle w:val="Compact"/>
                    <w:jc w:val="center"/>
                  </w:pPr>
                  <w:r>
                    <w:t xml:space="preserve">6%</w:t>
                  </w:r>
                </w:p>
              </w:tc>
            </w:tr>
            <w:tr>
              <w:tc>
                <w:tcPr/>
                <w:p>
                  <w:pPr>
                    <w:pStyle w:val="Compact"/>
                    <w:jc w:val="center"/>
                  </w:pPr>
                  <w:r>
                    <w:t xml:space="preserve">Living in a crowded housing unit</w:t>
                  </w:r>
                </w:p>
              </w:tc>
              <w:tc>
                <w:tcPr/>
                <w:p>
                  <w:pPr>
                    <w:pStyle w:val="Compact"/>
                    <w:jc w:val="center"/>
                  </w:pPr>
                  <w:r>
                    <w:t xml:space="preserve">8%</w:t>
                  </w:r>
                </w:p>
              </w:tc>
              <w:tc>
                <w:tcPr/>
                <w:p>
                  <w:pPr>
                    <w:pStyle w:val="Compact"/>
                    <w:jc w:val="center"/>
                  </w:pPr>
                  <w:r>
                    <w:t xml:space="preserve">4%</w:t>
                  </w:r>
                </w:p>
              </w:tc>
            </w:tr>
            <w:tr>
              <w:tc>
                <w:tcPr/>
                <w:p>
                  <w:pPr>
                    <w:pStyle w:val="Compact"/>
                    <w:jc w:val="center"/>
                  </w:pPr>
                  <w:r>
                    <w:t xml:space="preserve">Single parent</w:t>
                  </w:r>
                </w:p>
              </w:tc>
              <w:tc>
                <w:tcPr/>
                <w:p>
                  <w:pPr>
                    <w:pStyle w:val="Compact"/>
                    <w:jc w:val="center"/>
                  </w:pPr>
                  <w:r>
                    <w:t xml:space="preserve">22%</w:t>
                  </w:r>
                </w:p>
              </w:tc>
              <w:tc>
                <w:tcPr/>
                <w:p>
                  <w:pPr>
                    <w:pStyle w:val="Compact"/>
                    <w:jc w:val="center"/>
                  </w:pPr>
                  <w:r>
                    <w:t xml:space="preserve">9%</w:t>
                  </w:r>
                </w:p>
              </w:tc>
            </w:tr>
            <w:tr>
              <w:tc>
                <w:tcPr/>
                <w:p>
                  <w:pPr>
                    <w:pStyle w:val="Compact"/>
                    <w:jc w:val="center"/>
                  </w:pPr>
                  <w:r>
                    <w:t xml:space="preserve">Variable</w:t>
                  </w:r>
                </w:p>
              </w:tc>
              <w:tc>
                <w:tcPr/>
                <w:p>
                  <w:pPr>
                    <w:pStyle w:val="Compact"/>
                    <w:jc w:val="center"/>
                  </w:pPr>
                  <w:r>
                    <w:t xml:space="preserve">Non-Hispanic Black (Mean [SD])</w:t>
                  </w:r>
                </w:p>
              </w:tc>
              <w:tc>
                <w:tcPr/>
                <w:p>
                  <w:pPr>
                    <w:pStyle w:val="Compact"/>
                    <w:jc w:val="center"/>
                  </w:pPr>
                  <w:r>
                    <w:t xml:space="preserve">Non-Hispanic white (Mean [SD])</w:t>
                  </w:r>
                </w:p>
              </w:tc>
            </w:tr>
            <w:tr>
              <w:tc>
                <w:tcPr/>
                <w:p>
                  <w:pPr>
                    <w:pStyle w:val="Compact"/>
                    <w:jc w:val="center"/>
                  </w:pPr>
                  <w:r>
                    <w:t xml:space="preserve">Age</w:t>
                  </w:r>
                </w:p>
              </w:tc>
              <w:tc>
                <w:tcPr/>
                <w:p>
                  <w:pPr>
                    <w:pStyle w:val="Compact"/>
                    <w:jc w:val="center"/>
                  </w:pPr>
                  <w:r>
                    <w:t xml:space="preserve">39.9 [2.9]</w:t>
                  </w:r>
                </w:p>
              </w:tc>
              <w:tc>
                <w:tcPr/>
                <w:p>
                  <w:pPr>
                    <w:pStyle w:val="Compact"/>
                    <w:jc w:val="center"/>
                  </w:pPr>
                  <w:r>
                    <w:t xml:space="preserve">40.0 [2.9]</w:t>
                  </w:r>
                </w:p>
              </w:tc>
            </w:tr>
            <w:tr>
              <w:tc>
                <w:tcPr/>
                <w:p>
                  <w:pPr>
                    <w:pStyle w:val="Compact"/>
                    <w:jc w:val="center"/>
                  </w:pPr>
                  <w:r>
                    <w:t xml:space="preserve">Ratio of family income to poverty</w:t>
                  </w:r>
                </w:p>
              </w:tc>
              <w:tc>
                <w:tcPr/>
                <w:p>
                  <w:pPr>
                    <w:pStyle w:val="Compact"/>
                    <w:jc w:val="center"/>
                  </w:pPr>
                  <w:r>
                    <w:t xml:space="preserve">2.7 [1.4]</w:t>
                  </w:r>
                </w:p>
              </w:tc>
              <w:tc>
                <w:tcPr/>
                <w:p>
                  <w:pPr>
                    <w:pStyle w:val="Compact"/>
                    <w:jc w:val="center"/>
                  </w:pPr>
                  <w:r>
                    <w:t xml:space="preserve">3.5 [1.4]</w:t>
                  </w:r>
                </w:p>
              </w:tc>
            </w:tr>
            <w:tr>
              <w:tc>
                <w:tcPr/>
                <w:p>
                  <w:pPr>
                    <w:pStyle w:val="Compact"/>
                    <w:jc w:val="center"/>
                  </w:pPr>
                  <w:r>
                    <w:t xml:space="preserve">Times receiving healthcare over the past year</w:t>
                  </w:r>
                </w:p>
              </w:tc>
              <w:tc>
                <w:tcPr/>
                <w:p>
                  <w:pPr>
                    <w:pStyle w:val="Compact"/>
                    <w:jc w:val="center"/>
                  </w:pPr>
                  <w:r>
                    <w:t xml:space="preserve">3.3 [2.4]</w:t>
                  </w:r>
                </w:p>
              </w:tc>
              <w:tc>
                <w:tcPr/>
                <w:p>
                  <w:pPr>
                    <w:pStyle w:val="Compact"/>
                    <w:jc w:val="center"/>
                  </w:pPr>
                  <w:r>
                    <w:t xml:space="preserve">3.6 [2.5]</w:t>
                  </w:r>
                </w:p>
              </w:tc>
            </w:tr>
            <w:tr>
              <w:tc>
                <w:tcPr/>
                <w:p>
                  <w:pPr>
                    <w:pStyle w:val="Compact"/>
                    <w:jc w:val="center"/>
                  </w:pPr>
                  <w:r>
                    <w:t xml:space="preserve">Systolic blood pressure</w:t>
                  </w:r>
                </w:p>
              </w:tc>
              <w:tc>
                <w:tcPr/>
                <w:p>
                  <w:pPr>
                    <w:pStyle w:val="Compact"/>
                    <w:jc w:val="center"/>
                  </w:pPr>
                  <w:r>
                    <w:t xml:space="preserve">120.9 [14.4]</w:t>
                  </w:r>
                </w:p>
              </w:tc>
              <w:tc>
                <w:tcPr/>
                <w:p>
                  <w:pPr>
                    <w:pStyle w:val="Compact"/>
                    <w:jc w:val="center"/>
                  </w:pPr>
                  <w:r>
                    <w:t xml:space="preserve">117.2 [14.5]</w:t>
                  </w:r>
                </w:p>
              </w:tc>
            </w:tr>
            <w:tr>
              <w:tc>
                <w:tcPr/>
                <w:p>
                  <w:pPr>
                    <w:pStyle w:val="Compact"/>
                    <w:jc w:val="center"/>
                  </w:pPr>
                  <w:r>
                    <w:t xml:space="preserve">Diastolic blood pressure</w:t>
                  </w:r>
                </w:p>
              </w:tc>
              <w:tc>
                <w:tcPr/>
                <w:p>
                  <w:pPr>
                    <w:pStyle w:val="Compact"/>
                    <w:jc w:val="center"/>
                  </w:pPr>
                  <w:r>
                    <w:t xml:space="preserve">71.0 [11.0]</w:t>
                  </w:r>
                </w:p>
              </w:tc>
              <w:tc>
                <w:tcPr/>
                <w:p>
                  <w:pPr>
                    <w:pStyle w:val="Compact"/>
                    <w:jc w:val="center"/>
                  </w:pPr>
                  <w:r>
                    <w:t xml:space="preserve">70.4 [10.8]</w:t>
                  </w:r>
                </w:p>
              </w:tc>
            </w:tr>
          </w:tbl>
          <w:p>
            <w:pPr>
              <w:jc w:val="center"/>
            </w:pPr>
            <w:pPr>
              <w:jc w:val="left"/>
              <w:spacing w:before="200"/>
              <w:pStyle w:val="ImageCaption"/>
            </w:pPr>
            <w:r>
              <w:t xml:space="preserve">Table S4: Simulation cohort characteristics by racial group (SD: standard deviation)</w:t>
            </w:r>
          </w:p>
          <w:bookmarkEnd w:id="72"/>
        </w:tc>
      </w:tr>
    </w:tbl>
    <w:bookmarkEnd w:id="73"/>
    <w:bookmarkStart w:id="74" w:name="sec-sys-dia-regressions"/>
    <w:p>
      <w:pPr>
        <w:pStyle w:val="Heading3"/>
      </w:pPr>
      <w:r>
        <w:t xml:space="preserve">6.3 Systolic and diastolic quantile regression estimation</w:t>
      </w:r>
    </w:p>
    <w:p>
      <w:pPr>
        <w:pStyle w:val="FirstParagraph"/>
      </w:pPr>
      <w:r>
        <w:t xml:space="preserve">We estimated systolic and diastolic blood pressure trajectories using the American Board of Family Medicine PRIME registry. From the PRIME registry data, we identified all systolic and diastolic blood pressure measurements between January 2018 and June 2024 prior to any antihypertensive medication exposure (23 million measurements for 3.6 million patients). The following first-line antihypertensive drugs were used to identify exposure: chlorthalidone, hydrochlorothiazide, indapamide, metolazone, benazepril, captopril, fosinopril, lisinopril, moexipril, perindopril, ramipril, quinapril, trandolapril, azilsartan, candesartan, eprosartan, irbesartan, losartan, olmesartan, telmisartan, valsartan, amlodipine, felodipine, isradipine, nicardipine, nifedipine, nisoldipine, diltiazem, and verapamil.</w:t>
      </w:r>
      <w:r>
        <w:rPr>
          <w:vertAlign w:val="superscript"/>
        </w:rPr>
        <w:t xml:space="preserve">52</w:t>
      </w:r>
    </w:p>
    <w:p>
      <w:pPr>
        <w:pStyle w:val="BodyText"/>
      </w:pPr>
      <w:r>
        <w:t xml:space="preserve">A subset of one million blood pressure observations (n=695,714 patients) was randomly selected to fit quantile regressions for predicting systolic and diastolic blood pressure values. Quantile regressions ranged between the 1st and 99th quantiles, as the 0th and 100th quantiles were not supported by the Python statsmodels package. In the simulation, each individual was assigned systolic and diastolic quantiles, and the corresponding quantile regression model was used to generate that individual’s predicted blood pressure value at each simulated age.</w:t>
      </w:r>
    </w:p>
    <w:p>
      <w:pPr>
        <w:pStyle w:val="BodyText"/>
      </w:pPr>
      <w:r>
        <w:t xml:space="preserve">Systolic blood pressure</w:t>
      </w:r>
      <w:r>
        <w:t xml:space="preserve"> </w:t>
      </w:r>
      <m:oMath>
        <m:sSub>
          <m:e>
            <m:r>
              <m:t>Y</m:t>
            </m:r>
          </m:e>
          <m:sub>
            <m:r>
              <m:t>i</m:t>
            </m:r>
            <m:r>
              <m:t>t</m:t>
            </m:r>
          </m:sub>
        </m:sSub>
      </m:oMath>
      <w:r>
        <w:t xml:space="preserve"> </w:t>
      </w:r>
      <w:r>
        <w:t xml:space="preserve">was estimated as a function of age (</w:t>
      </w:r>
      <m:oMath>
        <m:sSub>
          <m:e>
            <m:r>
              <m:t>X</m:t>
            </m:r>
          </m:e>
          <m:sub>
            <m:r>
              <m:t>i</m:t>
            </m:r>
            <m:r>
              <m:t>t</m:t>
            </m:r>
          </m:sub>
        </m:sSub>
      </m:oMath>
      <w:r>
        <w:t xml:space="preserve">), sex (</w:t>
      </w:r>
      <m:oMath>
        <m:sSub>
          <m:e>
            <m:r>
              <m:t>F</m:t>
            </m:r>
          </m:e>
          <m:sub>
            <m:r>
              <m:t>i</m:t>
            </m:r>
          </m:sub>
        </m:sSub>
      </m:oMath>
      <w:r>
        <w:t xml:space="preserve">), and an interaction between patient age and sex (</w:t>
      </w:r>
      <m:oMath>
        <m:sSub>
          <m:e>
            <m:r>
              <m:t>F</m:t>
            </m:r>
          </m:e>
          <m:sub>
            <m:r>
              <m:t>i</m:t>
            </m:r>
          </m:sub>
        </m:sSub>
        <m:sSub>
          <m:e>
            <m:r>
              <m:t>X</m:t>
            </m:r>
          </m:e>
          <m:sub>
            <m:r>
              <m:t>i</m:t>
            </m:r>
            <m:r>
              <m:t>t</m:t>
            </m:r>
          </m:sub>
        </m:sSub>
      </m:oMath>
      <w:r>
        <w:t xml:space="preserve">) for an individual</w:t>
      </w:r>
      <w:r>
        <w:t xml:space="preserve"> </w:t>
      </w:r>
      <m:oMath>
        <m:r>
          <m:t>i</m:t>
        </m:r>
      </m:oMath>
      <w:r>
        <w:t xml:space="preserve"> </w:t>
      </w:r>
      <w:r>
        <w:t xml:space="preserve">at time</w:t>
      </w:r>
      <w:r>
        <w:t xml:space="preserve"> </w:t>
      </w:r>
      <m:oMath>
        <m:r>
          <m:t>t</m:t>
        </m:r>
      </m:oMath>
      <w:r>
        <w:t xml:space="preserve">:</w:t>
      </w:r>
    </w:p>
    <w:p>
      <w:pPr>
        <w:pStyle w:val="BodyText"/>
      </w:pPr>
      <m:oMathPara>
        <m:oMathParaPr>
          <m:jc m:val="center"/>
        </m:oMathParaPr>
        <m:oMath>
          <m:sSub>
            <m:e>
              <m:r>
                <m:t>Y</m:t>
              </m:r>
            </m:e>
            <m:sub>
              <m:r>
                <m:t>i</m:t>
              </m:r>
              <m:r>
                <m:t>t</m:t>
              </m:r>
            </m:sub>
          </m:sSub>
          <m:r>
            <m:rPr>
              <m:sty m:val="p"/>
            </m:rPr>
            <m:t>=</m:t>
          </m:r>
          <m:sSub>
            <m:e>
              <m:r>
                <m:t>β</m:t>
              </m:r>
            </m:e>
            <m:sub>
              <m:r>
                <m:t>0</m:t>
              </m:r>
            </m:sub>
          </m:sSub>
          <m:r>
            <m:rPr>
              <m:sty m:val="p"/>
            </m:rPr>
            <m:t>+</m:t>
          </m:r>
          <m:nary>
            <m:naryPr>
              <m:chr m:val="∑"/>
              <m:limLoc m:val="undOvr"/>
              <m:subHide m:val="off"/>
              <m:supHide m:val="off"/>
            </m:naryPr>
            <m:sub>
              <m:r>
                <m:t>j</m:t>
              </m:r>
              <m:r>
                <m:rPr>
                  <m:sty m:val="p"/>
                </m:rPr>
                <m:t>=</m:t>
              </m:r>
              <m:r>
                <m:t>1</m:t>
              </m:r>
            </m:sub>
            <m:sup>
              <m:r>
                <m:t>k</m:t>
              </m:r>
              <m:r>
                <m:rPr>
                  <m:sty m:val="p"/>
                </m:rPr>
                <m:t>=</m:t>
              </m:r>
              <m:r>
                <m:t>6</m:t>
              </m:r>
            </m:sup>
            <m:e>
              <m:sSub>
                <m:e>
                  <m:r>
                    <m:t>β</m:t>
                  </m:r>
                </m:e>
                <m:sub>
                  <m:r>
                    <m:t>j</m:t>
                  </m:r>
                </m:sub>
              </m:sSub>
            </m:e>
          </m:nary>
          <m:r>
            <m:t>B</m:t>
          </m:r>
          <m:r>
            <m:rPr>
              <m:sty m:val="p"/>
            </m:rPr>
            <m:t>(</m:t>
          </m:r>
          <m:sSub>
            <m:e>
              <m:r>
                <m:t>X</m:t>
              </m:r>
            </m:e>
            <m:sub>
              <m:r>
                <m:t>i</m:t>
              </m:r>
              <m:r>
                <m:t>t</m:t>
              </m:r>
            </m:sub>
          </m:sSub>
          <m:r>
            <m:rPr>
              <m:sty m:val="p"/>
            </m:rPr>
            <m:t>)</m:t>
          </m:r>
          <m:r>
            <m:rPr>
              <m:sty m:val="p"/>
            </m:rPr>
            <m:t>+</m:t>
          </m:r>
          <m:sSub>
            <m:e>
              <m:r>
                <m:t>β</m:t>
              </m:r>
            </m:e>
            <m:sub>
              <m:r>
                <m:t>6</m:t>
              </m:r>
            </m:sub>
          </m:sSub>
          <m:sSub>
            <m:e>
              <m:r>
                <m:t>F</m:t>
              </m:r>
            </m:e>
            <m:sub>
              <m:r>
                <m:t>i</m:t>
              </m:r>
            </m:sub>
          </m:sSub>
          <m:r>
            <m:rPr>
              <m:sty m:val="p"/>
            </m:rPr>
            <m:t>+</m:t>
          </m:r>
          <m:nary>
            <m:naryPr>
              <m:chr m:val="∑"/>
              <m:limLoc m:val="undOvr"/>
              <m:subHide m:val="off"/>
              <m:supHide m:val="off"/>
            </m:naryPr>
            <m:sub>
              <m:r>
                <m:t>j</m:t>
              </m:r>
              <m:r>
                <m:rPr>
                  <m:sty m:val="p"/>
                </m:rPr>
                <m:t>=</m:t>
              </m:r>
              <m:r>
                <m:t>5</m:t>
              </m:r>
            </m:sub>
            <m:sup>
              <m:r>
                <m:t>k</m:t>
              </m:r>
              <m:r>
                <m:rPr>
                  <m:sty m:val="p"/>
                </m:rPr>
                <m:t>=</m:t>
              </m:r>
              <m:r>
                <m:t>11</m:t>
              </m:r>
            </m:sup>
            <m:e>
              <m:sSub>
                <m:e>
                  <m:r>
                    <m:t>β</m:t>
                  </m:r>
                </m:e>
                <m:sub>
                  <m:r>
                    <m:t>j</m:t>
                  </m:r>
                </m:sub>
              </m:sSub>
            </m:e>
          </m:nary>
          <m:sSub>
            <m:e>
              <m:r>
                <m:t>F</m:t>
              </m:r>
            </m:e>
            <m:sub>
              <m:r>
                <m:t>i</m:t>
              </m:r>
            </m:sub>
          </m:sSub>
          <m:r>
            <m:t>B</m:t>
          </m:r>
          <m:r>
            <m:rPr>
              <m:sty m:val="p"/>
            </m:rPr>
            <m:t>(</m:t>
          </m:r>
          <m:sSub>
            <m:e>
              <m:r>
                <m:t>X</m:t>
              </m:r>
            </m:e>
            <m:sub>
              <m:r>
                <m:t>i</m:t>
              </m:r>
              <m:r>
                <m:t>t</m:t>
              </m:r>
            </m:sub>
          </m:sSub>
          <m:r>
            <m:rPr>
              <m:sty m:val="p"/>
            </m:rPr>
            <m:t>)</m:t>
          </m:r>
          <m:r>
            <m:rPr>
              <m:sty m:val="p"/>
            </m:rPr>
            <m:t>.</m:t>
          </m:r>
        </m:oMath>
      </m:oMathPara>
    </w:p>
    <w:p>
      <w:pPr>
        <w:pStyle w:val="FirstParagraph"/>
      </w:pPr>
      <w:r>
        <w:t xml:space="preserve">Age was modeled using a linear B-spline basis with 5 degrees of freedom. Spline specification and degrees of freedom were selected via 5-fold cross-validation to minimize quantile loss.</w:t>
      </w:r>
    </w:p>
    <w:p>
      <w:pPr>
        <w:pStyle w:val="BodyText"/>
      </w:pPr>
      <w:r>
        <w:t xml:space="preserve">We estimated quantile regressions to predict diastolic blood pressure values</w:t>
      </w:r>
      <w:r>
        <w:t xml:space="preserve"> </w:t>
      </w:r>
      <m:oMath>
        <m:sSub>
          <m:e>
            <m:r>
              <m:t>Z</m:t>
            </m:r>
          </m:e>
          <m:sub>
            <m:r>
              <m:t>i</m:t>
            </m:r>
            <m:r>
              <m:t>t</m:t>
            </m:r>
          </m:sub>
        </m:sSub>
      </m:oMath>
      <w:r>
        <w:t xml:space="preserve"> </w:t>
      </w:r>
      <w:r>
        <w:t xml:space="preserve">as a function of age, sex, and an interaction between patient age and sex:</w:t>
      </w:r>
    </w:p>
    <w:p>
      <w:pPr>
        <w:pStyle w:val="BodyText"/>
      </w:pPr>
      <m:oMathPara>
        <m:oMathParaPr>
          <m:jc m:val="center"/>
        </m:oMathParaPr>
        <m:oMath>
          <m:sSub>
            <m:e>
              <m:r>
                <m:t>Z</m:t>
              </m:r>
            </m:e>
            <m:sub>
              <m:r>
                <m:t>i</m:t>
              </m:r>
              <m:r>
                <m:t>t</m:t>
              </m:r>
            </m:sub>
          </m:sSub>
          <m:r>
            <m:rPr>
              <m:sty m:val="p"/>
            </m:rPr>
            <m:t>=</m:t>
          </m:r>
          <m:sSub>
            <m:e>
              <m:r>
                <m:t>β</m:t>
              </m:r>
            </m:e>
            <m:sub>
              <m:r>
                <m:t>0</m:t>
              </m:r>
            </m:sub>
          </m:sSub>
          <m:r>
            <m:rPr>
              <m:sty m:val="p"/>
            </m:rPr>
            <m:t>+</m:t>
          </m:r>
          <m:nary>
            <m:naryPr>
              <m:chr m:val="∑"/>
              <m:limLoc m:val="undOvr"/>
              <m:subHide m:val="off"/>
              <m:supHide m:val="off"/>
            </m:naryPr>
            <m:sub>
              <m:r>
                <m:t>j</m:t>
              </m:r>
              <m:r>
                <m:rPr>
                  <m:sty m:val="p"/>
                </m:rPr>
                <m:t>=</m:t>
              </m:r>
              <m:r>
                <m:t>1</m:t>
              </m:r>
            </m:sub>
            <m:sup>
              <m:r>
                <m:t>k</m:t>
              </m:r>
              <m:r>
                <m:rPr>
                  <m:sty m:val="p"/>
                </m:rPr>
                <m:t>=</m:t>
              </m:r>
              <m:r>
                <m:t>6</m:t>
              </m:r>
            </m:sup>
            <m:e>
              <m:sSub>
                <m:e>
                  <m:r>
                    <m:t>β</m:t>
                  </m:r>
                </m:e>
                <m:sub>
                  <m:r>
                    <m:t>j</m:t>
                  </m:r>
                </m:sub>
              </m:sSub>
            </m:e>
          </m:nary>
          <m:r>
            <m:t>B</m:t>
          </m:r>
          <m:r>
            <m:rPr>
              <m:sty m:val="p"/>
            </m:rPr>
            <m:t>(</m:t>
          </m:r>
          <m:sSub>
            <m:e>
              <m:r>
                <m:t>X</m:t>
              </m:r>
            </m:e>
            <m:sub>
              <m:r>
                <m:t>i</m:t>
              </m:r>
              <m:r>
                <m:t>t</m:t>
              </m:r>
            </m:sub>
          </m:sSub>
          <m:r>
            <m:rPr>
              <m:sty m:val="p"/>
            </m:rPr>
            <m:t>)</m:t>
          </m:r>
          <m:r>
            <m:rPr>
              <m:sty m:val="p"/>
            </m:rPr>
            <m:t>+</m:t>
          </m:r>
          <m:sSub>
            <m:e>
              <m:r>
                <m:t>β</m:t>
              </m:r>
            </m:e>
            <m:sub>
              <m:r>
                <m:t>7</m:t>
              </m:r>
            </m:sub>
          </m:sSub>
          <m:sSub>
            <m:e>
              <m:r>
                <m:t>F</m:t>
              </m:r>
            </m:e>
            <m:sub>
              <m:r>
                <m:t>i</m:t>
              </m:r>
            </m:sub>
          </m:sSub>
          <m:r>
            <m:rPr>
              <m:sty m:val="p"/>
            </m:rPr>
            <m:t>+</m:t>
          </m:r>
          <m:nary>
            <m:naryPr>
              <m:chr m:val="∑"/>
              <m:limLoc m:val="undOvr"/>
              <m:subHide m:val="off"/>
              <m:supHide m:val="off"/>
            </m:naryPr>
            <m:sub>
              <m:r>
                <m:t>j</m:t>
              </m:r>
              <m:r>
                <m:rPr>
                  <m:sty m:val="p"/>
                </m:rPr>
                <m:t>=</m:t>
              </m:r>
              <m:r>
                <m:t>8</m:t>
              </m:r>
            </m:sub>
            <m:sup>
              <m:r>
                <m:t>k</m:t>
              </m:r>
              <m:r>
                <m:rPr>
                  <m:sty m:val="p"/>
                </m:rPr>
                <m:t>=</m:t>
              </m:r>
              <m:r>
                <m:t>13</m:t>
              </m:r>
            </m:sup>
            <m:e>
              <m:sSub>
                <m:e>
                  <m:r>
                    <m:t>β</m:t>
                  </m:r>
                </m:e>
                <m:sub>
                  <m:r>
                    <m:t>j</m:t>
                  </m:r>
                </m:sub>
              </m:sSub>
            </m:e>
          </m:nary>
          <m:sSub>
            <m:e>
              <m:r>
                <m:t>F</m:t>
              </m:r>
            </m:e>
            <m:sub>
              <m:r>
                <m:t>i</m:t>
              </m:r>
            </m:sub>
          </m:sSub>
          <m:r>
            <m:t>B</m:t>
          </m:r>
          <m:r>
            <m:rPr>
              <m:sty m:val="p"/>
            </m:rPr>
            <m:t>(</m:t>
          </m:r>
          <m:sSub>
            <m:e>
              <m:r>
                <m:t>X</m:t>
              </m:r>
            </m:e>
            <m:sub>
              <m:r>
                <m:t>i</m:t>
              </m:r>
              <m:r>
                <m:t>t</m:t>
              </m:r>
            </m:sub>
          </m:sSub>
          <m:r>
            <m:rPr>
              <m:sty m:val="p"/>
            </m:rPr>
            <m:t>)</m:t>
          </m:r>
        </m:oMath>
      </m:oMathPara>
    </w:p>
    <w:p>
      <w:pPr>
        <w:pStyle w:val="FirstParagraph"/>
      </w:pPr>
      <w:r>
        <w:t xml:space="preserve">Age was modeled using a cubic B-spline basis with 6 degrees of freedom, selected via 5-fold cross-validation</w:t>
      </w:r>
    </w:p>
    <w:p>
      <w:pPr>
        <w:pStyle w:val="BodyText"/>
      </w:pPr>
      <w:r>
        <w:t xml:space="preserve">In our secondary analysis, we incorporated census tract-level SDI (</w:t>
      </w:r>
      <m:oMath>
        <m:sSub>
          <m:e>
            <m:r>
              <m:t>S</m:t>
            </m:r>
          </m:e>
          <m:sub>
            <m:r>
              <m:t>i</m:t>
            </m:r>
          </m:sub>
        </m:sSub>
      </m:oMath>
      <w:r>
        <w:t xml:space="preserve">) in predicting systolic blood pressure values:</w:t>
      </w:r>
    </w:p>
    <w:p>
      <w:pPr>
        <w:pStyle w:val="BodyText"/>
      </w:pPr>
      <m:oMathPara>
        <m:oMathParaPr>
          <m:jc m:val="center"/>
        </m:oMathParaPr>
        <m:oMath>
          <m:sSub>
            <m:e>
              <m:r>
                <m:t>Y</m:t>
              </m:r>
            </m:e>
            <m:sub>
              <m:r>
                <m:t>i</m:t>
              </m:r>
              <m:r>
                <m:t>t</m:t>
              </m:r>
            </m:sub>
          </m:sSub>
          <m:r>
            <m:rPr>
              <m:sty m:val="p"/>
            </m:rPr>
            <m:t>=</m:t>
          </m:r>
          <m:sSub>
            <m:e>
              <m:r>
                <m:t>β</m:t>
              </m:r>
            </m:e>
            <m:sub>
              <m:r>
                <m:t>0</m:t>
              </m:r>
            </m:sub>
          </m:sSub>
          <m:r>
            <m:rPr>
              <m:sty m:val="p"/>
            </m:rPr>
            <m:t>+</m:t>
          </m:r>
          <m:nary>
            <m:naryPr>
              <m:chr m:val="∑"/>
              <m:limLoc m:val="undOvr"/>
              <m:subHide m:val="off"/>
              <m:supHide m:val="off"/>
            </m:naryPr>
            <m:sub>
              <m:r>
                <m:t>j</m:t>
              </m:r>
              <m:r>
                <m:rPr>
                  <m:sty m:val="p"/>
                </m:rPr>
                <m:t>=</m:t>
              </m:r>
              <m:r>
                <m:t>1</m:t>
              </m:r>
            </m:sub>
            <m:sup>
              <m:r>
                <m:t>k</m:t>
              </m:r>
              <m:r>
                <m:rPr>
                  <m:sty m:val="p"/>
                </m:rPr>
                <m:t>=</m:t>
              </m:r>
              <m:r>
                <m:t>5</m:t>
              </m:r>
            </m:sup>
            <m:e>
              <m:sSub>
                <m:e>
                  <m:r>
                    <m:t>β</m:t>
                  </m:r>
                </m:e>
                <m:sub>
                  <m:r>
                    <m:t>j</m:t>
                  </m:r>
                </m:sub>
              </m:sSub>
            </m:e>
          </m:nary>
          <m:r>
            <m:t>B</m:t>
          </m:r>
          <m:r>
            <m:rPr>
              <m:sty m:val="p"/>
            </m:rPr>
            <m:t>(</m:t>
          </m:r>
          <m:sSub>
            <m:e>
              <m:r>
                <m:t>X</m:t>
              </m:r>
            </m:e>
            <m:sub>
              <m:r>
                <m:t>i</m:t>
              </m:r>
              <m:r>
                <m:t>t</m:t>
              </m:r>
            </m:sub>
          </m:sSub>
          <m:r>
            <m:rPr>
              <m:sty m:val="p"/>
            </m:rPr>
            <m:t>)</m:t>
          </m:r>
          <m:r>
            <m:rPr>
              <m:sty m:val="p"/>
            </m:rPr>
            <m:t>+</m:t>
          </m:r>
          <m:sSub>
            <m:e>
              <m:r>
                <m:t>β</m:t>
              </m:r>
            </m:e>
            <m:sub>
              <m:r>
                <m:t>6</m:t>
              </m:r>
            </m:sub>
          </m:sSub>
          <m:sSub>
            <m:e>
              <m:r>
                <m:t>F</m:t>
              </m:r>
            </m:e>
            <m:sub>
              <m:r>
                <m:t>i</m:t>
              </m:r>
            </m:sub>
          </m:sSub>
          <m:r>
            <m:rPr>
              <m:sty m:val="p"/>
            </m:rPr>
            <m:t>+</m:t>
          </m:r>
          <m:sSub>
            <m:e>
              <m:r>
                <m:t>β</m:t>
              </m:r>
            </m:e>
            <m:sub>
              <m:r>
                <m:t>7</m:t>
              </m:r>
            </m:sub>
          </m:sSub>
          <m:sSub>
            <m:e>
              <m:r>
                <m:t>S</m:t>
              </m:r>
            </m:e>
            <m:sub>
              <m:r>
                <m:t>i</m:t>
              </m:r>
            </m:sub>
          </m:sSub>
          <m:r>
            <m:rPr>
              <m:sty m:val="p"/>
            </m:rPr>
            <m:t>+</m:t>
          </m:r>
          <m:nary>
            <m:naryPr>
              <m:chr m:val="∑"/>
              <m:limLoc m:val="undOvr"/>
              <m:subHide m:val="off"/>
              <m:supHide m:val="off"/>
            </m:naryPr>
            <m:sub>
              <m:r>
                <m:t>j</m:t>
              </m:r>
              <m:r>
                <m:rPr>
                  <m:sty m:val="p"/>
                </m:rPr>
                <m:t>=</m:t>
              </m:r>
              <m:r>
                <m:t>8</m:t>
              </m:r>
            </m:sub>
            <m:sup>
              <m:r>
                <m:t>k</m:t>
              </m:r>
              <m:r>
                <m:rPr>
                  <m:sty m:val="p"/>
                </m:rPr>
                <m:t>=</m:t>
              </m:r>
              <m:r>
                <m:t>12</m:t>
              </m:r>
            </m:sup>
            <m:e>
              <m:sSub>
                <m:e>
                  <m:r>
                    <m:t>β</m:t>
                  </m:r>
                </m:e>
                <m:sub>
                  <m:r>
                    <m:t>j</m:t>
                  </m:r>
                </m:sub>
              </m:sSub>
            </m:e>
          </m:nary>
          <m:sSub>
            <m:e>
              <m:r>
                <m:t>F</m:t>
              </m:r>
            </m:e>
            <m:sub>
              <m:r>
                <m:t>i</m:t>
              </m:r>
            </m:sub>
          </m:sSub>
          <m:r>
            <m:t>B</m:t>
          </m:r>
          <m:r>
            <m:rPr>
              <m:sty m:val="p"/>
            </m:rPr>
            <m:t>(</m:t>
          </m:r>
          <m:sSub>
            <m:e>
              <m:r>
                <m:t>X</m:t>
              </m:r>
            </m:e>
            <m:sub>
              <m:r>
                <m:t>i</m:t>
              </m:r>
              <m:r>
                <m:t>t</m:t>
              </m:r>
            </m:sub>
          </m:sSub>
          <m:r>
            <m:rPr>
              <m:sty m:val="p"/>
            </m:rPr>
            <m:t>)</m:t>
          </m:r>
        </m:oMath>
      </m:oMathPara>
    </w:p>
    <w:p>
      <w:pPr>
        <w:pStyle w:val="FirstParagraph"/>
      </w:pPr>
      <w:r>
        <w:t xml:space="preserve">and diastolic blood pressure values:</w:t>
      </w:r>
    </w:p>
    <w:p>
      <w:pPr>
        <w:pStyle w:val="BodyText"/>
      </w:pPr>
      <m:oMathPara>
        <m:oMathParaPr>
          <m:jc m:val="center"/>
        </m:oMathParaPr>
        <m:oMath>
          <m:sSub>
            <m:e>
              <m:r>
                <m:t>Z</m:t>
              </m:r>
            </m:e>
            <m:sub>
              <m:r>
                <m:t>i</m:t>
              </m:r>
              <m:r>
                <m:t>t</m:t>
              </m:r>
            </m:sub>
          </m:sSub>
          <m:r>
            <m:rPr>
              <m:sty m:val="p"/>
            </m:rPr>
            <m:t>=</m:t>
          </m:r>
          <m:sSub>
            <m:e>
              <m:r>
                <m:t>β</m:t>
              </m:r>
            </m:e>
            <m:sub>
              <m:r>
                <m:t>0</m:t>
              </m:r>
            </m:sub>
          </m:sSub>
          <m:r>
            <m:rPr>
              <m:sty m:val="p"/>
            </m:rPr>
            <m:t>+</m:t>
          </m:r>
          <m:nary>
            <m:naryPr>
              <m:chr m:val="∑"/>
              <m:limLoc m:val="undOvr"/>
              <m:subHide m:val="off"/>
              <m:supHide m:val="off"/>
            </m:naryPr>
            <m:sub>
              <m:r>
                <m:t>j</m:t>
              </m:r>
              <m:r>
                <m:rPr>
                  <m:sty m:val="p"/>
                </m:rPr>
                <m:t>=</m:t>
              </m:r>
              <m:r>
                <m:t>1</m:t>
              </m:r>
            </m:sub>
            <m:sup>
              <m:r>
                <m:t>k</m:t>
              </m:r>
              <m:r>
                <m:rPr>
                  <m:sty m:val="p"/>
                </m:rPr>
                <m:t>=</m:t>
              </m:r>
              <m:r>
                <m:t>6</m:t>
              </m:r>
            </m:sup>
            <m:e>
              <m:sSub>
                <m:e>
                  <m:r>
                    <m:t>β</m:t>
                  </m:r>
                </m:e>
                <m:sub>
                  <m:r>
                    <m:t>j</m:t>
                  </m:r>
                </m:sub>
              </m:sSub>
            </m:e>
          </m:nary>
          <m:r>
            <m:t>B</m:t>
          </m:r>
          <m:r>
            <m:rPr>
              <m:sty m:val="p"/>
            </m:rPr>
            <m:t>(</m:t>
          </m:r>
          <m:sSub>
            <m:e>
              <m:r>
                <m:t>X</m:t>
              </m:r>
            </m:e>
            <m:sub>
              <m:r>
                <m:t>i</m:t>
              </m:r>
              <m:r>
                <m:t>t</m:t>
              </m:r>
            </m:sub>
          </m:sSub>
          <m:r>
            <m:rPr>
              <m:sty m:val="p"/>
            </m:rPr>
            <m:t>)</m:t>
          </m:r>
          <m:r>
            <m:rPr>
              <m:sty m:val="p"/>
            </m:rPr>
            <m:t>+</m:t>
          </m:r>
          <m:sSub>
            <m:e>
              <m:r>
                <m:t>β</m:t>
              </m:r>
            </m:e>
            <m:sub>
              <m:r>
                <m:t>7</m:t>
              </m:r>
            </m:sub>
          </m:sSub>
          <m:sSub>
            <m:e>
              <m:r>
                <m:t>F</m:t>
              </m:r>
            </m:e>
            <m:sub>
              <m:r>
                <m:t>i</m:t>
              </m:r>
            </m:sub>
          </m:sSub>
          <m:r>
            <m:rPr>
              <m:sty m:val="p"/>
            </m:rPr>
            <m:t>+</m:t>
          </m:r>
          <m:sSub>
            <m:e>
              <m:r>
                <m:t>β</m:t>
              </m:r>
            </m:e>
            <m:sub>
              <m:r>
                <m:t>8</m:t>
              </m:r>
            </m:sub>
          </m:sSub>
          <m:sSub>
            <m:e>
              <m:r>
                <m:t>S</m:t>
              </m:r>
            </m:e>
            <m:sub>
              <m:r>
                <m:t>i</m:t>
              </m:r>
            </m:sub>
          </m:sSub>
          <m:r>
            <m:rPr>
              <m:sty m:val="p"/>
            </m:rPr>
            <m:t>+</m:t>
          </m:r>
          <m:nary>
            <m:naryPr>
              <m:chr m:val="∑"/>
              <m:limLoc m:val="undOvr"/>
              <m:subHide m:val="off"/>
              <m:supHide m:val="off"/>
            </m:naryPr>
            <m:sub>
              <m:r>
                <m:t>j</m:t>
              </m:r>
              <m:r>
                <m:rPr>
                  <m:sty m:val="p"/>
                </m:rPr>
                <m:t>=</m:t>
              </m:r>
              <m:r>
                <m:t>9</m:t>
              </m:r>
            </m:sub>
            <m:sup>
              <m:r>
                <m:t>k</m:t>
              </m:r>
              <m:r>
                <m:rPr>
                  <m:sty m:val="p"/>
                </m:rPr>
                <m:t>=</m:t>
              </m:r>
              <m:r>
                <m:t>14</m:t>
              </m:r>
            </m:sup>
            <m:e>
              <m:sSub>
                <m:e>
                  <m:r>
                    <m:t>β</m:t>
                  </m:r>
                </m:e>
                <m:sub>
                  <m:r>
                    <m:t>j</m:t>
                  </m:r>
                </m:sub>
              </m:sSub>
            </m:e>
          </m:nary>
          <m:sSub>
            <m:e>
              <m:r>
                <m:t>F</m:t>
              </m:r>
            </m:e>
            <m:sub>
              <m:r>
                <m:t>i</m:t>
              </m:r>
            </m:sub>
          </m:sSub>
          <m:r>
            <m:t>B</m:t>
          </m:r>
          <m:r>
            <m:rPr>
              <m:sty m:val="p"/>
            </m:rPr>
            <m:t>(</m:t>
          </m:r>
          <m:sSub>
            <m:e>
              <m:r>
                <m:t>X</m:t>
              </m:r>
            </m:e>
            <m:sub>
              <m:r>
                <m:t>i</m:t>
              </m:r>
              <m:r>
                <m:t>t</m:t>
              </m:r>
            </m:sub>
          </m:sSub>
          <m:r>
            <m:rPr>
              <m:sty m:val="p"/>
            </m:rPr>
            <m:t>)</m:t>
          </m:r>
        </m:oMath>
      </m:oMathPara>
    </w:p>
    <w:p>
      <w:pPr>
        <w:pStyle w:val="FirstParagraph"/>
      </w:pPr>
      <w:r>
        <w:t xml:space="preserve">Selected using 5-fold cross-validation, we modeled age using a quadratic B-spline basis with 5 degrees of freedom and a cubic B-spline basis with 6 degrees of freedom for our systolic and diastolic quantile regressions, respectively.</w:t>
      </w:r>
      <w:r>
        <w:t xml:space="preserve"> </w:t>
      </w:r>
      <w:r>
        <w:t xml:space="preserve">The average R-squared values for the systolic and diastolic blood pressure regressions were 0.11 and 0.08, respectively.</w:t>
      </w:r>
      <w:r>
        <w:rPr>
          <w:vertAlign w:val="superscript"/>
        </w:rPr>
        <w:t xml:space="preserve">53</w:t>
      </w:r>
    </w:p>
    <w:p>
      <w:pPr>
        <w:pStyle w:val="BodyText"/>
      </w:pPr>
      <w:r>
        <w:t xml:space="preserve">Our quantile regression approach has several limitations. First, we estimated the quantile regressions using PRIME registry data with repeated measurements from individuals, assuming independence between observations. Ignoring dependence between repeated measurements can impact standard error estimates of our regression model predictions. However, our simulation analysis does not rely on these standard error estimates. An alternative approach could consider the use of hierarchical quantile regression models. Second, while census tract-level SDI can vary over time given individual mobility and neighborhood changes, we only had one census tract-level SDI value per individual in the PRIME registry data. Thus, census tract-level SDI is time-invariant in the quantile regressions pertaining to our secondary analysis.</w:t>
      </w:r>
    </w:p>
    <w:bookmarkEnd w:id="74"/>
    <w:bookmarkStart w:id="76" w:name="sec-sys-dia-correlations"/>
    <w:p>
      <w:pPr>
        <w:pStyle w:val="Heading3"/>
      </w:pPr>
      <w:r>
        <w:t xml:space="preserve">6.4 Systolic and diastolic blood pressure quantile sampling</w:t>
      </w:r>
    </w:p>
    <w:p>
      <w:pPr>
        <w:pStyle w:val="FirstParagraph"/>
      </w:pPr>
      <w:r>
        <w:t xml:space="preserve">To simulate individual blood pressure trajectories, we assumed that individual systolic and diastolic blood pressure quantiles varied over time. These sampled quantiles determined which quantile regression model was used to predict a simulated individual’s monthly systolic and diastolic blood pressure values. To allow for individual variation in quantile switching, we updated person-specific quantiles using a stochastic process with a mean interval of five years.</w:t>
      </w:r>
    </w:p>
    <w:p>
      <w:pPr>
        <w:pStyle w:val="BodyText"/>
      </w:pPr>
      <w:r>
        <w:t xml:space="preserve">Correlations between updated quantiles were estimated using PRIME data. Using all systolic and diastolic blood pressure measurements prior to any antihypertensive medication exposure in the PRIME registry, we ordered blood pressure measurements by measurement date and identified the previously recorded blood pressure value for each patient. To focus on regularly spaced measurements, we excluded all blood pressure measurements for which the previous measurement occurred more than six months earlier (n=1.9 million patients). From this dataset, we randomly sampled one million observations (n=205,608 patients) to estimate blood pressure quantile correlations.</w:t>
      </w:r>
    </w:p>
    <w:p>
      <w:pPr>
        <w:pStyle w:val="BodyText"/>
      </w:pPr>
      <w:r>
        <w:t xml:space="preserve">We estimated correlations using the following procedure. First, for each blood pressure observation, we calculated the number of years since the patient’s first recorded measurement (</w:t>
      </w:r>
      <m:oMath>
        <m:r>
          <m:t>t</m:t>
        </m:r>
        <m:r>
          <m:rPr>
            <m:sty m:val="p"/>
          </m:rPr>
          <m:t>=</m:t>
        </m:r>
        <m:r>
          <m:t>0</m:t>
        </m:r>
      </m:oMath>
      <w:r>
        <w:t xml:space="preserve">). Second, for each observation, we computed the systolic and diastolic blood pressure percentiles relative to observations from patients of the same age and sex. Third, we transformed the data such that each patient had a single row, with columns representing their average age-sex-specific blood pressure percentiles for each observed year. For example, a patient</w:t>
      </w:r>
      <w:r>
        <w:t xml:space="preserve"> </w:t>
      </w:r>
      <m:oMath>
        <m:r>
          <m:t>i</m:t>
        </m:r>
      </m:oMath>
      <w:r>
        <w:t xml:space="preserve"> </w:t>
      </w:r>
      <w:r>
        <w:t xml:space="preserve">with four years of blood pressure measurements would have eight percentiles: one systolic (</w:t>
      </w:r>
      <m:oMath>
        <m:r>
          <m:t>S</m:t>
        </m:r>
        <m:sSub>
          <m:e>
            <m:r>
              <m:t>P</m:t>
            </m:r>
          </m:e>
          <m:sub>
            <m:r>
              <m:t>i</m:t>
            </m:r>
            <m:r>
              <m:rPr>
                <m:sty m:val="p"/>
              </m:rPr>
              <m:t>,</m:t>
            </m:r>
            <m:r>
              <m:t>t</m:t>
            </m:r>
          </m:sub>
        </m:sSub>
      </m:oMath>
      <w:r>
        <w:t xml:space="preserve">) and diastolic percentile (</w:t>
      </w:r>
      <m:oMath>
        <m:r>
          <m:t>D</m:t>
        </m:r>
        <m:sSub>
          <m:e>
            <m:r>
              <m:t>P</m:t>
            </m:r>
          </m:e>
          <m:sub>
            <m:r>
              <m:t>i</m:t>
            </m:r>
            <m:r>
              <m:rPr>
                <m:sty m:val="p"/>
              </m:rPr>
              <m:t>,</m:t>
            </m:r>
            <m:r>
              <m:t>t</m:t>
            </m:r>
          </m:sub>
        </m:sSub>
      </m:oMath>
      <w:r>
        <w:t xml:space="preserve">) for each year</w:t>
      </w:r>
      <w:r>
        <w:t xml:space="preserve"> </w:t>
      </w:r>
      <m:oMath>
        <m:r>
          <m:t>t</m:t>
        </m:r>
      </m:oMath>
      <w:r>
        <w:t xml:space="preserve">. Fourth, we estimated correlation matrices for patient-specific percentiles across 11 age groups, divided into four-year intervals (e.g., 40–43 years, 44–47 years). Finally, to assign percentile changes over time, we assumed that correlations from different age cohorts replicated those of a single cohort observed over time. In</w:t>
      </w:r>
      <w:r>
        <w:t xml:space="preserve"> </w:t>
      </w:r>
      <w:hyperlink w:anchor="supptbl-blood-pressure-correlations-AFC">
        <w:r>
          <w:rPr>
            <w:rStyle w:val="Hyperlink"/>
          </w:rPr>
          <w:t xml:space="preserve">Table S5</w:t>
        </w:r>
      </w:hyperlink>
      <w:r>
        <w:t xml:space="preserve">, we reported observed correlations between systolic percentiles at year one and systolic and diastolic percentiles in the following three years.</w:t>
      </w:r>
    </w:p>
    <w:p>
      <w:pPr>
        <w:pStyle w:val="BodyText"/>
      </w:pPr>
      <w:r>
        <w:t xml:space="preserve">We assigned each individual a sequence of systolic and diastolic quantile update months by randomly sampling quantile switching intervals from an exponential distribution with a mean of five years. This resulted in individual-specific quantile update schedules over the lifetime horizon. In our secondary analysis, we followed the same procedure, but computed blood pressure percentile correlations based on age, sex, and census tract-level SDI.</w:t>
      </w:r>
    </w:p>
    <w:tbl>
      <w:tblPr>
        <w:tblStyle w:val="Table"/>
        <w:tblW w:type="pct" w:w="5000"/>
        <w:tblLayout w:type="fixed"/>
        <w:tblLook w:firstRow="0" w:lastRow="0" w:firstColumn="0" w:lastColumn="0" w:noHBand="0" w:noVBand="0" w:val="0000"/>
      </w:tblPr>
      <w:tblGrid>
        <w:gridCol w:w="7920"/>
      </w:tblGrid>
      <w:tr>
        <w:tc>
          <w:tcPr/>
          <w:bookmarkStart w:id="75" w:name="supptbl-blood-pressure-correlations-AFC"/>
          <w:tbl>
            <w:tblPr>
              <w:tblStyle w:val="Table"/>
              <w:tblW w:type="pct" w:w="5000"/>
              <w:tblLayout w:type="fixed"/>
              <w:tblLook w:firstRow="1" w:lastRow="0" w:firstColumn="0" w:lastColumn="0" w:noHBand="0" w:noVBand="0" w:val="0020"/>
            </w:tblPr>
            <w:tblGrid>
              <w:gridCol w:w="2090"/>
              <w:gridCol w:w="2090"/>
              <w:gridCol w:w="3740"/>
            </w:tblGrid>
            <w:tr>
              <w:trPr>
                <w:tblHeader w:val="on"/>
              </w:trPr>
              <w:tc>
                <w:tcPr/>
                <w:p>
                  <w:pPr>
                    <w:pStyle w:val="Compact"/>
                    <w:jc w:val="center"/>
                  </w:pPr>
                  <w:r>
                    <w:t xml:space="preserve">Variable 1</w:t>
                  </w:r>
                </w:p>
              </w:tc>
              <w:tc>
                <w:tcPr/>
                <w:p>
                  <w:pPr>
                    <w:pStyle w:val="Compact"/>
                    <w:jc w:val="center"/>
                  </w:pPr>
                  <w:r>
                    <w:t xml:space="preserve">Variable 2</w:t>
                  </w:r>
                </w:p>
              </w:tc>
              <w:tc>
                <w:tcPr/>
                <w:p>
                  <w:pPr>
                    <w:pStyle w:val="Compact"/>
                    <w:jc w:val="center"/>
                  </w:pPr>
                  <w:r>
                    <w:t xml:space="preserve">Value</w:t>
                  </w:r>
                </w:p>
              </w:tc>
            </w:tr>
            <w:tr>
              <w:tc>
                <w:tcPr/>
                <w:p>
                  <w:pPr>
                    <w:pStyle w:val="Compact"/>
                    <w:jc w:val="center"/>
                  </w:pPr>
                  <w:r>
                    <w:t xml:space="preserve">Systolic blood pressure (year 1)</w:t>
                  </w:r>
                </w:p>
              </w:tc>
              <w:tc>
                <w:tcPr/>
                <w:p>
                  <w:pPr>
                    <w:pStyle w:val="Compact"/>
                    <w:jc w:val="center"/>
                  </w:pPr>
                  <w:r>
                    <w:t xml:space="preserve">Systolic blood pressure (year 2)</w:t>
                  </w:r>
                </w:p>
              </w:tc>
              <w:tc>
                <w:tcPr/>
                <w:p>
                  <w:pPr>
                    <w:pStyle w:val="Compact"/>
                    <w:jc w:val="center"/>
                  </w:pPr>
                  <w:r>
                    <w:t xml:space="preserve">0.57</w:t>
                  </w:r>
                </w:p>
              </w:tc>
            </w:tr>
            <w:tr>
              <w:tc>
                <w:tcPr/>
                <w:p>
                  <w:pPr>
                    <w:pStyle w:val="Compact"/>
                    <w:jc w:val="center"/>
                  </w:pPr>
                  <w:r>
                    <w:t xml:space="preserve">Systolic blood pressure (year 1)</w:t>
                  </w:r>
                </w:p>
              </w:tc>
              <w:tc>
                <w:tcPr/>
                <w:p>
                  <w:pPr>
                    <w:pStyle w:val="Compact"/>
                    <w:jc w:val="center"/>
                  </w:pPr>
                  <w:r>
                    <w:t xml:space="preserve">Systolic blood pressure (year 3)</w:t>
                  </w:r>
                </w:p>
              </w:tc>
              <w:tc>
                <w:tcPr/>
                <w:p>
                  <w:pPr>
                    <w:pStyle w:val="Compact"/>
                    <w:jc w:val="center"/>
                  </w:pPr>
                  <w:r>
                    <w:t xml:space="preserve">0.49</w:t>
                  </w:r>
                </w:p>
              </w:tc>
            </w:tr>
            <w:tr>
              <w:tc>
                <w:tcPr/>
                <w:p>
                  <w:pPr>
                    <w:pStyle w:val="Compact"/>
                    <w:jc w:val="center"/>
                  </w:pPr>
                  <w:r>
                    <w:t xml:space="preserve">Systolic blood pressure (year 1)</w:t>
                  </w:r>
                </w:p>
              </w:tc>
              <w:tc>
                <w:tcPr/>
                <w:p>
                  <w:pPr>
                    <w:pStyle w:val="Compact"/>
                    <w:jc w:val="center"/>
                  </w:pPr>
                  <w:r>
                    <w:t xml:space="preserve">Systolic blood pressure (year 4)</w:t>
                  </w:r>
                </w:p>
              </w:tc>
              <w:tc>
                <w:tcPr/>
                <w:p>
                  <w:pPr>
                    <w:pStyle w:val="Compact"/>
                    <w:jc w:val="center"/>
                  </w:pPr>
                  <w:r>
                    <w:t xml:space="preserve">0.48</w:t>
                  </w:r>
                </w:p>
              </w:tc>
            </w:tr>
            <w:tr>
              <w:tc>
                <w:tcPr/>
                <w:p>
                  <w:pPr>
                    <w:pStyle w:val="Compact"/>
                    <w:jc w:val="center"/>
                  </w:pPr>
                  <w:r>
                    <w:t xml:space="preserve">Systolic blood pressure (year 1)</w:t>
                  </w:r>
                </w:p>
              </w:tc>
              <w:tc>
                <w:tcPr/>
                <w:p>
                  <w:pPr>
                    <w:pStyle w:val="Compact"/>
                    <w:jc w:val="center"/>
                  </w:pPr>
                  <w:r>
                    <w:t xml:space="preserve">Diastolic blood pressure (year 1)</w:t>
                  </w:r>
                </w:p>
              </w:tc>
              <w:tc>
                <w:tcPr/>
                <w:p>
                  <w:pPr>
                    <w:pStyle w:val="Compact"/>
                    <w:jc w:val="center"/>
                  </w:pPr>
                  <w:r>
                    <w:t xml:space="preserve">0.68</w:t>
                  </w:r>
                </w:p>
              </w:tc>
            </w:tr>
            <w:tr>
              <w:tc>
                <w:tcPr/>
                <w:p>
                  <w:pPr>
                    <w:pStyle w:val="Compact"/>
                    <w:jc w:val="center"/>
                  </w:pPr>
                  <w:r>
                    <w:t xml:space="preserve">Systolic blood pressure (year 1)</w:t>
                  </w:r>
                </w:p>
              </w:tc>
              <w:tc>
                <w:tcPr/>
                <w:p>
                  <w:pPr>
                    <w:pStyle w:val="Compact"/>
                    <w:jc w:val="center"/>
                  </w:pPr>
                  <w:r>
                    <w:t xml:space="preserve">Diastolic blood pressure (year 2)</w:t>
                  </w:r>
                </w:p>
              </w:tc>
              <w:tc>
                <w:tcPr/>
                <w:p>
                  <w:pPr>
                    <w:pStyle w:val="Compact"/>
                    <w:jc w:val="center"/>
                  </w:pPr>
                  <w:r>
                    <w:t xml:space="preserve">0.46</w:t>
                  </w:r>
                </w:p>
              </w:tc>
            </w:tr>
            <w:tr>
              <w:tc>
                <w:tcPr/>
                <w:p>
                  <w:pPr>
                    <w:pStyle w:val="Compact"/>
                    <w:jc w:val="center"/>
                  </w:pPr>
                  <w:r>
                    <w:t xml:space="preserve">Systolic blood pressure (year 1)</w:t>
                  </w:r>
                </w:p>
              </w:tc>
              <w:tc>
                <w:tcPr/>
                <w:p>
                  <w:pPr>
                    <w:pStyle w:val="Compact"/>
                    <w:jc w:val="center"/>
                  </w:pPr>
                  <w:r>
                    <w:t xml:space="preserve">Diastolic blood pressure (year 3)</w:t>
                  </w:r>
                </w:p>
              </w:tc>
              <w:tc>
                <w:tcPr/>
                <w:p>
                  <w:pPr>
                    <w:pStyle w:val="Compact"/>
                    <w:jc w:val="center"/>
                  </w:pPr>
                  <w:r>
                    <w:t xml:space="preserve">0.40</w:t>
                  </w:r>
                </w:p>
              </w:tc>
            </w:tr>
            <w:tr>
              <w:tc>
                <w:tcPr/>
                <w:p>
                  <w:pPr>
                    <w:pStyle w:val="Compact"/>
                    <w:jc w:val="center"/>
                  </w:pPr>
                  <w:r>
                    <w:t xml:space="preserve">Systolic blood pressure (year 1)</w:t>
                  </w:r>
                </w:p>
              </w:tc>
              <w:tc>
                <w:tcPr/>
                <w:p>
                  <w:pPr>
                    <w:pStyle w:val="Compact"/>
                    <w:jc w:val="center"/>
                  </w:pPr>
                  <w:r>
                    <w:t xml:space="preserve">Diastolic blood pressure (year 4)</w:t>
                  </w:r>
                </w:p>
              </w:tc>
              <w:tc>
                <w:tcPr/>
                <w:p>
                  <w:pPr>
                    <w:pStyle w:val="Compact"/>
                    <w:jc w:val="center"/>
                  </w:pPr>
                  <w:r>
                    <w:t xml:space="preserve">0.36</w:t>
                  </w:r>
                </w:p>
              </w:tc>
            </w:tr>
          </w:tbl>
          <w:p>
            <w:pPr>
              <w:jc w:val="center"/>
            </w:pPr>
            <w:pPr>
              <w:jc w:val="left"/>
              <w:spacing w:before="200"/>
              <w:pStyle w:val="ImageCaption"/>
            </w:pPr>
            <w:r>
              <w:t xml:space="preserve">Table S5: Correlations between age-sex-specific systolic and diastolic percentiles during four years of observation in PRIME registry</w:t>
            </w:r>
          </w:p>
          <w:bookmarkEnd w:id="75"/>
        </w:tc>
      </w:tr>
    </w:tbl>
    <w:bookmarkEnd w:id="76"/>
    <w:bookmarkStart w:id="78" w:name="sec-mortality-adjustments"/>
    <w:p>
      <w:pPr>
        <w:pStyle w:val="Heading3"/>
      </w:pPr>
      <w:r>
        <w:t xml:space="preserve">6.5 Mortality adjustments by systolic and diastolic blood pressure values </w:t>
      </w:r>
    </w:p>
    <w:p>
      <w:pPr>
        <w:pStyle w:val="FirstParagraph"/>
      </w:pPr>
      <w:r>
        <w:t xml:space="preserve">Baseline mortality rates were obtained from age-sex-racial/ethnic-group-specific 2021 U.S. life tables.</w:t>
      </w:r>
      <w:r>
        <w:rPr>
          <w:vertAlign w:val="superscript"/>
        </w:rPr>
        <w:t xml:space="preserve">25</w:t>
      </w:r>
      <w:r>
        <w:t xml:space="preserve"> </w:t>
      </w:r>
      <w:r>
        <w:t xml:space="preserve">We adjusted baseline mortality rates by systolic and diastolic blood pressure values using previously published all-cause mortality hazard ratio estimates (</w:t>
      </w:r>
      <w:hyperlink w:anchor="supptbl-systolic-diastolic-hazard-ratios">
        <w:r>
          <w:rPr>
            <w:rStyle w:val="Hyperlink"/>
          </w:rPr>
          <w:t xml:space="preserve">Table S6</w:t>
        </w:r>
      </w:hyperlink>
      <w:r>
        <w:t xml:space="preserve">).</w:t>
      </w:r>
      <w:r>
        <w:rPr>
          <w:vertAlign w:val="superscript"/>
        </w:rPr>
        <w:t xml:space="preserve">27</w:t>
      </w:r>
      <w:r>
        <w:t xml:space="preserve"> </w:t>
      </w:r>
      <w:r>
        <w:t xml:space="preserve">We assumed that hazard ratios remained constant outside the ranges estimated in this study: above 90 mm Hg for diastolic blood pressure and above 160 mm Hg for systolic blood pressure. Because the published estimates reported separate univariate hazard ratios for systolic and diastolic blood pressure, we used their average as an approximation of blood pressure-related mortality risk.</w:t>
      </w:r>
      <w:r>
        <w:rPr>
          <w:vertAlign w:val="superscript"/>
        </w:rPr>
        <w:t xml:space="preserve">27</w:t>
      </w:r>
    </w:p>
    <w:p>
      <w:pPr>
        <w:pStyle w:val="BodyText"/>
      </w:pPr>
      <w:r>
        <w:t xml:space="preserve">To account for the high prevalence of hypertension in the U.S. population, we estimated age-group-specific mean systolic and diastolic blood pressures in five-year intervals (e.g., 40-to-44 year-olds, 45-to-49 year-olds, etc.) using NHANES data among U.S. adults who self-reported as non-Hispanic Black or non-Hispanic white. We then linearly interpolated these estimates to obtain age-specific mean systolic and diastolic blood pressure values for each simulated age. We assumed constant mean systolic and diastolic blood pressure values for individuals aged 80 years and older, given limited sample sizes of older individuals in NHANES. Using these average systolic and diastolic values, we calculated the average blood-pressure-related hazard increase at each age. For each simulated individual, we scaled their blood-pressure-related hazard increase by dividing it by the age-specific average blood pressure hazard increase. This scaling ensured that the average mortality rate at each age remained anchored to the U.S. life table. Individuals with higher or lower blood pressure than the age-specific average experienced correspondingly higher or lower mortality risk.</w:t>
      </w:r>
    </w:p>
    <w:tbl>
      <w:tblPr>
        <w:tblStyle w:val="Table"/>
        <w:tblW w:type="pct" w:w="5000"/>
        <w:tblLayout w:type="fixed"/>
        <w:tblLook w:firstRow="0" w:lastRow="0" w:firstColumn="0" w:lastColumn="0" w:noHBand="0" w:noVBand="0" w:val="0000"/>
      </w:tblPr>
      <w:tblGrid>
        <w:gridCol w:w="7920"/>
      </w:tblGrid>
      <w:tr>
        <w:tc>
          <w:tcPr/>
          <w:bookmarkStart w:id="77" w:name="supptbl-systolic-diastolic-hazard-ratios"/>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Systolic Blood Pressure</w:t>
                  </w:r>
                </w:p>
              </w:tc>
              <w:tc>
                <w:tcPr/>
                <w:p>
                  <w:pPr>
                    <w:pStyle w:val="Compact"/>
                    <w:jc w:val="center"/>
                  </w:pPr>
                  <w:r>
                    <w:t xml:space="preserve">Hazard Ratio</w:t>
                  </w:r>
                </w:p>
              </w:tc>
              <w:tc>
                <w:tcPr/>
                <w:p>
                  <w:pPr>
                    <w:pStyle w:val="Compact"/>
                    <w:jc w:val="center"/>
                  </w:pPr>
                  <w:r>
                    <w:t xml:space="preserve">Diastolic Blood Pressure</w:t>
                  </w:r>
                </w:p>
              </w:tc>
              <w:tc>
                <w:tcPr/>
                <w:p>
                  <w:pPr>
                    <w:pStyle w:val="Compact"/>
                    <w:jc w:val="center"/>
                  </w:pPr>
                  <w:r>
                    <w:t xml:space="preserve">Hazard Ratio</w:t>
                  </w:r>
                </w:p>
              </w:tc>
            </w:tr>
            <w:tr>
              <w:tc>
                <w:tcPr/>
                <w:p>
                  <w:pPr>
                    <w:pStyle w:val="Compact"/>
                    <w:jc w:val="center"/>
                  </w:pPr>
                  <w:r>
                    <w:t xml:space="preserve">115</w:t>
                  </w:r>
                </w:p>
              </w:tc>
              <w:tc>
                <w:tcPr/>
                <w:p>
                  <w:pPr>
                    <w:pStyle w:val="Compact"/>
                    <w:jc w:val="center"/>
                  </w:pPr>
                  <w:r>
                    <w:t xml:space="preserve">1.0</w:t>
                  </w:r>
                </w:p>
              </w:tc>
              <w:tc>
                <w:tcPr/>
                <w:p>
                  <w:pPr>
                    <w:pStyle w:val="Compact"/>
                    <w:jc w:val="center"/>
                  </w:pPr>
                  <w:r>
                    <w:t xml:space="preserve">65</w:t>
                  </w:r>
                </w:p>
              </w:tc>
              <w:tc>
                <w:tcPr/>
                <w:p>
                  <w:pPr>
                    <w:pStyle w:val="Compact"/>
                    <w:jc w:val="center"/>
                  </w:pPr>
                  <w:r>
                    <w:t xml:space="preserve">1.0</w:t>
                  </w:r>
                </w:p>
              </w:tc>
            </w:tr>
            <w:tr>
              <w:tc>
                <w:tcPr/>
                <w:p>
                  <w:pPr>
                    <w:pStyle w:val="Compact"/>
                    <w:jc w:val="center"/>
                  </w:pPr>
                  <w:r>
                    <w:t xml:space="preserve">124</w:t>
                  </w:r>
                </w:p>
              </w:tc>
              <w:tc>
                <w:tcPr/>
                <w:p>
                  <w:pPr>
                    <w:pStyle w:val="Compact"/>
                    <w:jc w:val="center"/>
                  </w:pPr>
                  <w:r>
                    <w:t xml:space="preserve">2.0</w:t>
                  </w:r>
                </w:p>
              </w:tc>
              <w:tc>
                <w:tcPr/>
                <w:p>
                  <w:pPr>
                    <w:pStyle w:val="Compact"/>
                    <w:jc w:val="center"/>
                  </w:pPr>
                  <w:r>
                    <w:t xml:space="preserve">72</w:t>
                  </w:r>
                </w:p>
              </w:tc>
              <w:tc>
                <w:tcPr/>
                <w:p>
                  <w:pPr>
                    <w:pStyle w:val="Compact"/>
                    <w:jc w:val="center"/>
                  </w:pPr>
                  <w:r>
                    <w:t xml:space="preserve">1.8</w:t>
                  </w:r>
                </w:p>
              </w:tc>
            </w:tr>
            <w:tr>
              <w:tc>
                <w:tcPr/>
                <w:p>
                  <w:pPr>
                    <w:pStyle w:val="Compact"/>
                    <w:jc w:val="center"/>
                  </w:pPr>
                  <w:r>
                    <w:t xml:space="preserve">130</w:t>
                  </w:r>
                </w:p>
              </w:tc>
              <w:tc>
                <w:tcPr/>
                <w:p>
                  <w:pPr>
                    <w:pStyle w:val="Compact"/>
                    <w:jc w:val="center"/>
                  </w:pPr>
                  <w:r>
                    <w:t xml:space="preserve">2.0</w:t>
                  </w:r>
                </w:p>
              </w:tc>
              <w:tc>
                <w:tcPr/>
                <w:p>
                  <w:pPr>
                    <w:pStyle w:val="Compact"/>
                    <w:jc w:val="center"/>
                  </w:pPr>
                  <w:r>
                    <w:t xml:space="preserve">76</w:t>
                  </w:r>
                </w:p>
              </w:tc>
              <w:tc>
                <w:tcPr/>
                <w:p>
                  <w:pPr>
                    <w:pStyle w:val="Compact"/>
                    <w:jc w:val="center"/>
                  </w:pPr>
                  <w:r>
                    <w:t xml:space="preserve">2.0</w:t>
                  </w:r>
                </w:p>
              </w:tc>
            </w:tr>
            <w:tr>
              <w:tc>
                <w:tcPr/>
                <w:p>
                  <w:pPr>
                    <w:pStyle w:val="Compact"/>
                    <w:jc w:val="center"/>
                  </w:pPr>
                  <w:r>
                    <w:t xml:space="preserve">140</w:t>
                  </w:r>
                </w:p>
              </w:tc>
              <w:tc>
                <w:tcPr/>
                <w:p>
                  <w:pPr>
                    <w:pStyle w:val="Compact"/>
                    <w:jc w:val="center"/>
                  </w:pPr>
                  <w:r>
                    <w:t xml:space="preserve">2.4</w:t>
                  </w:r>
                </w:p>
              </w:tc>
              <w:tc>
                <w:tcPr/>
                <w:p>
                  <w:pPr>
                    <w:pStyle w:val="Compact"/>
                    <w:jc w:val="center"/>
                  </w:pPr>
                  <w:r>
                    <w:t xml:space="preserve">82</w:t>
                  </w:r>
                </w:p>
              </w:tc>
              <w:tc>
                <w:tcPr/>
                <w:p>
                  <w:pPr>
                    <w:pStyle w:val="Compact"/>
                    <w:jc w:val="center"/>
                  </w:pPr>
                  <w:r>
                    <w:t xml:space="preserve">2.0</w:t>
                  </w:r>
                </w:p>
              </w:tc>
            </w:tr>
            <w:tr>
              <w:tc>
                <w:tcPr/>
                <w:p>
                  <w:pPr>
                    <w:pStyle w:val="Compact"/>
                    <w:jc w:val="center"/>
                  </w:pPr>
                  <w:r>
                    <w:t xml:space="preserve">155</w:t>
                  </w:r>
                </w:p>
              </w:tc>
              <w:tc>
                <w:tcPr/>
                <w:p>
                  <w:pPr>
                    <w:pStyle w:val="Compact"/>
                    <w:jc w:val="center"/>
                  </w:pPr>
                  <w:r>
                    <w:t xml:space="preserve">4.0</w:t>
                  </w:r>
                </w:p>
              </w:tc>
              <w:tc>
                <w:tcPr/>
                <w:p>
                  <w:pPr>
                    <w:pStyle w:val="Compact"/>
                    <w:jc w:val="center"/>
                  </w:pPr>
                  <w:r>
                    <w:t xml:space="preserve">90</w:t>
                  </w:r>
                </w:p>
              </w:tc>
              <w:tc>
                <w:tcPr/>
                <w:p>
                  <w:pPr>
                    <w:pStyle w:val="Compact"/>
                    <w:jc w:val="center"/>
                  </w:pPr>
                  <w:r>
                    <w:t xml:space="preserve">3.0</w:t>
                  </w:r>
                </w:p>
              </w:tc>
            </w:tr>
          </w:tbl>
          <w:p>
            <w:pPr>
              <w:jc w:val="center"/>
            </w:pPr>
            <w:pPr>
              <w:jc w:val="left"/>
              <w:spacing w:before="200"/>
              <w:pStyle w:val="ImageCaption"/>
            </w:pPr>
            <w:r>
              <w:t xml:space="preserve">Table S6: Univariate hazard ratios for all-cause mortality risk by systolic and diastolic blood pressure values (mm Hg)</w:t>
            </w:r>
            <w:r>
              <w:rPr>
                <w:vertAlign w:val="superscript"/>
              </w:rPr>
              <w:t xml:space="preserve">27</w:t>
            </w:r>
          </w:p>
          <w:bookmarkEnd w:id="77"/>
        </w:tc>
      </w:tr>
    </w:tbl>
    <w:bookmarkEnd w:id="78"/>
    <w:bookmarkStart w:id="98" w:name="sec-treatment-prob"/>
    <w:p>
      <w:pPr>
        <w:pStyle w:val="Heading3"/>
      </w:pPr>
      <w:r>
        <w:t xml:space="preserve">6.6 Receiving antihypertensive treatment</w:t>
      </w:r>
    </w:p>
    <w:p>
      <w:pPr>
        <w:pStyle w:val="FirstParagraph"/>
      </w:pPr>
      <w:r>
        <w:t xml:space="preserve">Treatment initiation was modeled as a two-step process: simulated individuals first had to have a blood pressure measurement, and then, during that visit, could initiate antihypertensive therapy. Our model assumed that only patients who were in the health system with blood pressure values corresponding to at least stage 1 hypertension (systolic blood pressure:</w:t>
      </w:r>
      <w:r>
        <w:t xml:space="preserve"> </w:t>
      </w:r>
      <m:oMath>
        <m:r>
          <m:rPr>
            <m:sty m:val="p"/>
          </m:rPr>
          <m:t>≥</m:t>
        </m:r>
      </m:oMath>
      <w:r>
        <w:t xml:space="preserve"> </w:t>
      </w:r>
      <w:r>
        <w:t xml:space="preserve">130mm Hg or diastolic blood pressure:</w:t>
      </w:r>
      <w:r>
        <w:t xml:space="preserve"> </w:t>
      </w:r>
      <m:oMath>
        <m:r>
          <m:rPr>
            <m:sty m:val="p"/>
          </m:rPr>
          <m:t>≥</m:t>
        </m:r>
      </m:oMath>
      <w:r>
        <w:t xml:space="preserve"> </w:t>
      </w:r>
      <w:r>
        <w:t xml:space="preserve">80 mm Hg) were eligible to receive antihypertensive treatment. We predicted the number of months until the next measurement visit (</w:t>
      </w:r>
      <m:oMath>
        <m:sSub>
          <m:e>
            <m:r>
              <m:t>M</m:t>
            </m:r>
          </m:e>
          <m:sub>
            <m:r>
              <m:t>i</m:t>
            </m:r>
            <m:r>
              <m:rPr>
                <m:sty m:val="p"/>
              </m:rPr>
              <m:t>,</m:t>
            </m:r>
            <m:r>
              <m:t>t</m:t>
            </m:r>
            <m:r>
              <m:rPr>
                <m:sty m:val="p"/>
              </m:rPr>
              <m:t>+</m:t>
            </m:r>
            <m:r>
              <m:t>1</m:t>
            </m:r>
          </m:sub>
        </m:sSub>
      </m:oMath>
      <w:r>
        <w:t xml:space="preserve">) using quantile regressions as a function of age, sex, systolic blood pressure, and diastolic blood pressure:</w:t>
      </w:r>
    </w:p>
    <w:p>
      <w:pPr>
        <w:pStyle w:val="BodyText"/>
      </w:pPr>
      <m:oMathPara>
        <m:oMathParaPr>
          <m:jc m:val="center"/>
        </m:oMathParaPr>
        <m:oMath>
          <m:sSub>
            <m:e>
              <m:r>
                <m:t>M</m:t>
              </m:r>
            </m:e>
            <m:sub>
              <m:r>
                <m:t>i</m:t>
              </m:r>
              <m:r>
                <m:rPr>
                  <m:sty m:val="p"/>
                </m:rPr>
                <m:t>,</m:t>
              </m:r>
              <m:r>
                <m:t>t</m:t>
              </m:r>
              <m:r>
                <m:rPr>
                  <m:sty m:val="p"/>
                </m:rPr>
                <m:t>+</m:t>
              </m:r>
              <m:r>
                <m:t>1</m:t>
              </m:r>
            </m:sub>
          </m:sSub>
          <m:r>
            <m:rPr>
              <m:sty m:val="p"/>
            </m:rPr>
            <m:t>=</m:t>
          </m:r>
          <m:sSub>
            <m:e>
              <m:r>
                <m:t>β</m:t>
              </m:r>
            </m:e>
            <m:sub>
              <m:r>
                <m:t>0</m:t>
              </m:r>
            </m:sub>
          </m:sSub>
          <m:r>
            <m:rPr>
              <m:sty m:val="p"/>
            </m:rPr>
            <m:t>+</m:t>
          </m:r>
          <m:sSub>
            <m:e>
              <m:r>
                <m:t>β</m:t>
              </m:r>
            </m:e>
            <m:sub>
              <m:r>
                <m:t>1</m:t>
              </m:r>
            </m:sub>
          </m:sSub>
          <m:sSub>
            <m:e>
              <m:r>
                <m:t>X</m:t>
              </m:r>
            </m:e>
            <m:sub>
              <m:r>
                <m:t>i</m:t>
              </m:r>
              <m:r>
                <m:t>t</m:t>
              </m:r>
            </m:sub>
          </m:sSub>
          <m:r>
            <m:rPr>
              <m:sty m:val="p"/>
            </m:rPr>
            <m:t>+</m:t>
          </m:r>
          <m:sSub>
            <m:e>
              <m:r>
                <m:t>β</m:t>
              </m:r>
            </m:e>
            <m:sub>
              <m:r>
                <m:t>2</m:t>
              </m:r>
            </m:sub>
          </m:sSub>
          <m:sSub>
            <m:e>
              <m:r>
                <m:t>F</m:t>
              </m:r>
            </m:e>
            <m:sub>
              <m:r>
                <m:t>i</m:t>
              </m:r>
            </m:sub>
          </m:sSub>
          <m:r>
            <m:rPr>
              <m:sty m:val="p"/>
            </m:rPr>
            <m:t>+</m:t>
          </m:r>
          <m:sSub>
            <m:e>
              <m:r>
                <m:t>β</m:t>
              </m:r>
            </m:e>
            <m:sub>
              <m:r>
                <m:t>3</m:t>
              </m:r>
            </m:sub>
          </m:sSub>
          <m:sSub>
            <m:e>
              <m:r>
                <m:t>Y</m:t>
              </m:r>
            </m:e>
            <m:sub>
              <m:r>
                <m:t>i</m:t>
              </m:r>
              <m:r>
                <m:t>t</m:t>
              </m:r>
            </m:sub>
          </m:sSub>
          <m:r>
            <m:rPr>
              <m:sty m:val="p"/>
            </m:rPr>
            <m:t>+</m:t>
          </m:r>
          <m:sSub>
            <m:e>
              <m:r>
                <m:t>β</m:t>
              </m:r>
            </m:e>
            <m:sub>
              <m:r>
                <m:t>4</m:t>
              </m:r>
            </m:sub>
          </m:sSub>
          <m:sSub>
            <m:e>
              <m:r>
                <m:t>Z</m:t>
              </m:r>
            </m:e>
            <m:sub>
              <m:r>
                <m:t>i</m:t>
              </m:r>
              <m:r>
                <m:t>t</m:t>
              </m:r>
            </m:sub>
          </m:sSub>
        </m:oMath>
      </m:oMathPara>
    </w:p>
    <w:p>
      <w:pPr>
        <w:pStyle w:val="FirstParagraph"/>
      </w:pPr>
      <w:r>
        <w:t xml:space="preserve">We fit our quantile regressions to PRIME registry data, using a similar approach described in</w:t>
      </w:r>
      <w:r>
        <w:t xml:space="preserve"> </w:t>
      </w:r>
      <w:hyperlink w:anchor="sec-sys-dia-correlations">
        <w:r>
          <w:rPr>
            <w:rStyle w:val="Hyperlink"/>
          </w:rPr>
          <w:t xml:space="preserve">Section 6.4</w:t>
        </w:r>
      </w:hyperlink>
      <w:r>
        <w:t xml:space="preserve">. One million observations from 662,095 patients were randomly sampled, including measures that occurred more than six months apart. The number of months between blood pressure measurements was on average 5.5 months [6.0]. The average pseudo R-squared value of our quantile regression was less than 0.01.</w:t>
      </w:r>
    </w:p>
    <w:p>
      <w:pPr>
        <w:pStyle w:val="BodyText"/>
      </w:pPr>
      <w:r>
        <w:t xml:space="preserve">We assigned each simulated individual a measurement frequency quantile to predict the number of months until their next measurement using NHANES data. Because NHANES does not provide longitudinal blood pressure measurement frequencies, self-reported healthcare visits were used to assign individuals to relative measurement-frequency quantiles. We used the NHANES survey question,</w:t>
      </w:r>
      <w:r>
        <w:t xml:space="preserve"> </w:t>
      </w:r>
      <w:r>
        <w:t xml:space="preserve">“How many times have you seen a doctor or other healthcare professional about your health at a doctor’s office, a clinic or some other place? Do not include times you were hospitalized overnight, visits to hospital emergency rooms, home visits or telephone calls.”</w:t>
      </w:r>
      <w:r>
        <w:t xml:space="preserve"> </w:t>
      </w:r>
      <w:r>
        <w:t xml:space="preserve">In our NHANES cohort, the average number of self-reported healthcare visits was 3.4 [2.4] per year. We assumed that blood pressure measurements occurred during these visits and transformed visit frequencies into months between measurements. After transformation, the average number of assigned months between measurements was 4.7 months [4.6].</w:t>
      </w:r>
    </w:p>
    <w:p>
      <w:pPr>
        <w:pStyle w:val="BodyText"/>
      </w:pPr>
      <w:r>
        <w:t xml:space="preserve">For each simulated individual, we determined the measurement frequency quantile regression that most closely approximated their assigned number of months since their previous measurement. This quantile was then used to predict the simulated frequency of measurement visits over their lifetime. We compared the distribution of months between measurements in our simulated cohort and a random subset of 10,000 observations corresponding to 40-year-old adults in the PRIME registry (</w:t>
      </w:r>
      <w:hyperlink w:anchor="suppfig-measurement-month-comparison">
        <w:r>
          <w:rPr>
            <w:rStyle w:val="Hyperlink"/>
          </w:rPr>
          <w:t xml:space="preserve">Figure S1</w:t>
        </w:r>
      </w:hyperlink>
      <w:r>
        <w:t xml:space="preserve">).</w:t>
      </w:r>
    </w:p>
    <w:bookmarkStart w:id="89" w:name="suppfig-measurement-month-comparison"/>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83" w:name="X809a32b6b9799fd4c7ce1fcaa2ed35fccd209a3"/>
                <w:p>
                  <w:pPr>
                    <w:pStyle w:val="Compact"/>
                    <w:jc w:val="center"/>
                    <w:jc w:val="left"/>
                  </w:pPr>
                  <w:bookmarkStart w:id="82" w:name="X809a32b6b9799fd4c7ce1fcaa2ed35fccd209a3"/>
                  <w:r>
                    <w:drawing>
                      <wp:inline>
                        <wp:extent cx="2971800" cy="2233582"/>
                        <wp:effectExtent b="0" l="0" r="0" t="0"/>
                        <wp:docPr descr="" title="" id="80" name="Picture"/>
                        <a:graphic>
                          <a:graphicData uri="http://schemas.openxmlformats.org/drawingml/2006/picture">
                            <pic:pic>
                              <pic:nvPicPr>
                                <pic:cNvPr descr="figures/supplement/cohort_predicted_month_difference.png" id="81" name="Picture"/>
                                <pic:cNvPicPr>
                                  <a:picLocks noChangeArrowheads="1" noChangeAspect="1"/>
                                </pic:cNvPicPr>
                              </pic:nvPicPr>
                              <pic:blipFill>
                                <a:blip r:embed="rId79"/>
                                <a:stretch>
                                  <a:fillRect/>
                                </a:stretch>
                              </pic:blipFill>
                              <pic:spPr bwMode="auto">
                                <a:xfrm>
                                  <a:off x="0" y="0"/>
                                  <a:ext cx="2971800" cy="2233582"/>
                                </a:xfrm>
                                <a:prstGeom prst="rect">
                                  <a:avLst/>
                                </a:prstGeom>
                                <a:noFill/>
                                <a:ln w="9525">
                                  <a:noFill/>
                                  <a:headEnd/>
                                  <a:tailEnd/>
                                </a:ln>
                              </pic:spPr>
                            </pic:pic>
                          </a:graphicData>
                        </a:graphic>
                      </wp:inline>
                    </w:drawing>
                  </w:r>
                  <w:bookmarkEnd w:id="82"/>
                </w:p>
                <w:p>
                  <w:pPr>
                    <w:jc w:val="center"/>
                    <w:jc w:val="left"/>
                  </w:pPr>
                  <w:pPr>
                    <w:jc w:val="left"/>
                    <w:spacing w:before="200"/>
                    <w:pStyle w:val="ImageCaption"/>
                  </w:pPr>
                  <w:r>
                    <w:t xml:space="preserve">(a)</w:t>
                  </w:r>
                </w:p>
                <w:bookmarkEnd w:id="83"/>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88" w:name="suppfig-afc-month-difference"/>
                <w:p>
                  <w:pPr>
                    <w:pStyle w:val="Compact"/>
                    <w:jc w:val="center"/>
                    <w:jc w:val="left"/>
                  </w:pPr>
                  <w:bookmarkStart w:id="87" w:name="suppfig-afc-month-difference"/>
                  <w:r>
                    <w:drawing>
                      <wp:inline>
                        <wp:extent cx="2971800" cy="2269056"/>
                        <wp:effectExtent b="0" l="0" r="0" t="0"/>
                        <wp:docPr descr="" title="" id="85" name="Picture"/>
                        <a:graphic>
                          <a:graphicData uri="http://schemas.openxmlformats.org/drawingml/2006/picture">
                            <pic:pic>
                              <pic:nvPicPr>
                                <pic:cNvPr descr="figures/supplement/afc_subset_month_difference.png" id="86" name="Picture"/>
                                <pic:cNvPicPr>
                                  <a:picLocks noChangeArrowheads="1" noChangeAspect="1"/>
                                </pic:cNvPicPr>
                              </pic:nvPicPr>
                              <pic:blipFill>
                                <a:blip r:embed="rId84"/>
                                <a:stretch>
                                  <a:fillRect/>
                                </a:stretch>
                              </pic:blipFill>
                              <pic:spPr bwMode="auto">
                                <a:xfrm>
                                  <a:off x="0" y="0"/>
                                  <a:ext cx="2971800" cy="2269056"/>
                                </a:xfrm>
                                <a:prstGeom prst="rect">
                                  <a:avLst/>
                                </a:prstGeom>
                                <a:noFill/>
                                <a:ln w="9525">
                                  <a:noFill/>
                                  <a:headEnd/>
                                  <a:tailEnd/>
                                </a:ln>
                              </pic:spPr>
                            </pic:pic>
                          </a:graphicData>
                        </a:graphic>
                      </wp:inline>
                    </w:drawing>
                  </w:r>
                  <w:bookmarkEnd w:id="87"/>
                </w:p>
                <w:p>
                  <w:pPr>
                    <w:jc w:val="center"/>
                    <w:jc w:val="left"/>
                  </w:pPr>
                  <w:pPr>
                    <w:jc w:val="left"/>
                    <w:spacing w:before="200"/>
                    <w:pStyle w:val="ImageCaption"/>
                  </w:pPr>
                  <w:r>
                    <w:t xml:space="preserve">(b)</w:t>
                  </w:r>
                </w:p>
                <w:bookmarkEnd w:id="88"/>
              </w:tc>
            </w:tr>
          </w:tbl>
          <w:p/>
        </w:tc>
      </w:tr>
    </w:tbl>
    <w:p>
      <w:pPr>
        <w:pStyle w:val="BodyText"/>
      </w:pPr>
      <w:pPr>
        <w:spacing w:before="200"/>
        <w:pStyle w:val="ImageCaption"/>
      </w:pPr>
      <w:r>
        <w:t xml:space="preserve">Figure S1: Number of months between blood pressure measurements for 40-year-olds in (a) model simulation cohort and (b) PRIME registry</w:t>
      </w:r>
    </w:p>
    <w:bookmarkEnd w:id="89"/>
    <w:p>
      <w:pPr>
        <w:pStyle w:val="BodyText"/>
      </w:pPr>
      <w:r>
        <w:t xml:space="preserve">At a measurement visit, simulated individuals with a blood pressure value corresponding to at least stage 1 hypertension may receive antihypertensive treatment. We predicted the probability of initiating antihypertensive treatment at a given measurement visit</w:t>
      </w:r>
      <w:r>
        <w:t xml:space="preserve"> </w:t>
      </w:r>
      <m:oMath>
        <m:r>
          <m:t>P</m:t>
        </m:r>
        <m:r>
          <m:rPr>
            <m:sty m:val="p"/>
          </m:rPr>
          <m:t>(</m:t>
        </m:r>
        <m:sSub>
          <m:e>
            <m:r>
              <m:t>A</m:t>
            </m:r>
          </m:e>
          <m:sub>
            <m:r>
              <m:t>i</m:t>
            </m:r>
            <m:r>
              <m:t>t</m:t>
            </m:r>
          </m:sub>
        </m:sSub>
        <m:r>
          <m:rPr>
            <m:sty m:val="p"/>
          </m:rPr>
          <m:t>=</m:t>
        </m:r>
        <m:r>
          <m:t>1</m:t>
        </m:r>
        <m:r>
          <m:rPr>
            <m:sty m:val="p"/>
          </m:rPr>
          <m:t>)</m:t>
        </m:r>
      </m:oMath>
      <w:r>
        <w:t xml:space="preserve"> </w:t>
      </w:r>
      <w:r>
        <w:t xml:space="preserve">using a logistic regression as a function of patient age, sex, and systolic and diastolic blood pressure values:</w:t>
      </w:r>
    </w:p>
    <w:p>
      <w:pPr>
        <w:pStyle w:val="BodyText"/>
      </w:pPr>
      <m:oMathPara>
        <m:oMathParaPr>
          <m:jc m:val="center"/>
        </m:oMathParaPr>
        <m:oMath>
          <m:r>
            <m:rPr>
              <m:nor/>
              <m:sty m:val="p"/>
            </m:rPr>
            <m:t>logit</m:t>
          </m:r>
          <m:r>
            <m:rPr>
              <m:sty m:val="p"/>
            </m:rPr>
            <m:t>(</m:t>
          </m:r>
          <m:r>
            <m:t>P</m:t>
          </m:r>
          <m:r>
            <m:rPr>
              <m:sty m:val="p"/>
            </m:rPr>
            <m:t>(</m:t>
          </m:r>
          <m:sSub>
            <m:e>
              <m:r>
                <m:t>A</m:t>
              </m:r>
            </m:e>
            <m:sub>
              <m:r>
                <m:t>i</m:t>
              </m:r>
              <m:r>
                <m:t>t</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sSub>
            <m:e>
              <m:r>
                <m:t>X</m:t>
              </m:r>
            </m:e>
            <m:sub>
              <m:r>
                <m:t>i</m:t>
              </m:r>
              <m:r>
                <m:t>t</m:t>
              </m:r>
            </m:sub>
          </m:sSub>
          <m:r>
            <m:rPr>
              <m:sty m:val="p"/>
            </m:rPr>
            <m:t>+</m:t>
          </m:r>
          <m:sSub>
            <m:e>
              <m:r>
                <m:t>β</m:t>
              </m:r>
            </m:e>
            <m:sub>
              <m:r>
                <m:t>2</m:t>
              </m:r>
            </m:sub>
          </m:sSub>
          <m:sSub>
            <m:e>
              <m:r>
                <m:t>F</m:t>
              </m:r>
            </m:e>
            <m:sub>
              <m:r>
                <m:t>i</m:t>
              </m:r>
            </m:sub>
          </m:sSub>
          <m:r>
            <m:rPr>
              <m:sty m:val="p"/>
            </m:rPr>
            <m:t>+</m:t>
          </m:r>
          <m:sSub>
            <m:e>
              <m:r>
                <m:t>β</m:t>
              </m:r>
            </m:e>
            <m:sub>
              <m:r>
                <m:t>3</m:t>
              </m:r>
            </m:sub>
          </m:sSub>
          <m:sSub>
            <m:e>
              <m:r>
                <m:t>Y</m:t>
              </m:r>
            </m:e>
            <m:sub>
              <m:r>
                <m:t>i</m:t>
              </m:r>
              <m:r>
                <m:t>t</m:t>
              </m:r>
            </m:sub>
          </m:sSub>
          <m:r>
            <m:rPr>
              <m:sty m:val="p"/>
            </m:rPr>
            <m:t>+</m:t>
          </m:r>
          <m:sSub>
            <m:e>
              <m:r>
                <m:t>β</m:t>
              </m:r>
            </m:e>
            <m:sub>
              <m:r>
                <m:t>4</m:t>
              </m:r>
            </m:sub>
          </m:sSub>
          <m:sSub>
            <m:e>
              <m:r>
                <m:t>Z</m:t>
              </m:r>
            </m:e>
            <m:sub>
              <m:r>
                <m:t>i</m:t>
              </m:r>
              <m:r>
                <m:t>t</m:t>
              </m:r>
            </m:sub>
          </m:sSub>
          <m:r>
            <m:rPr>
              <m:sty m:val="p"/>
            </m:rPr>
            <m:t>.</m:t>
          </m:r>
        </m:oMath>
      </m:oMathPara>
    </w:p>
    <w:p>
      <w:pPr>
        <w:pStyle w:val="FirstParagraph"/>
      </w:pPr>
      <w:r>
        <w:t xml:space="preserve">Our logistic regression was estimated using PRIME registry blood pressure observations with either systolic blood pressure of</w:t>
      </w:r>
      <w:r>
        <w:t xml:space="preserve"> </w:t>
      </w:r>
      <m:oMath>
        <m:r>
          <m:rPr>
            <m:sty m:val="p"/>
          </m:rPr>
          <m:t>≥</m:t>
        </m:r>
      </m:oMath>
      <w:r>
        <w:t xml:space="preserve"> </w:t>
      </w:r>
      <w:r>
        <w:t xml:space="preserve">130 mm Hg or diastolic blood pressure of</w:t>
      </w:r>
      <w:r>
        <w:t xml:space="preserve"> </w:t>
      </w:r>
      <m:oMath>
        <m:r>
          <m:rPr>
            <m:sty m:val="p"/>
          </m:rPr>
          <m:t>≥</m:t>
        </m:r>
      </m:oMath>
      <w:r>
        <w:t xml:space="preserve"> </w:t>
      </w:r>
      <w:r>
        <w:t xml:space="preserve">80 mm Hg prior to antihypertensive treatment. We identified a total of 10.7 million observations for 2.4 million patients and randomly sampled one million observations (n=404,908 patients) to fit the logistic regression. If a simulated individual did not initiate treatment at a measurement visit, we predicted the number of months until their next measurement and repeated this procedure until the simulated individual initiated treatment or died.</w:t>
      </w:r>
    </w:p>
    <w:p>
      <w:pPr>
        <w:pStyle w:val="BodyText"/>
      </w:pPr>
      <w:r>
        <w:t xml:space="preserve">To validate rates of antihypertensive treatment exposure in our model, we estimated a Kaplan-Meier curve of individuals in the PRIME registry receiving antihypertensive treatment over time. Because we only had up to 6 years of follow-up in our data, we constructed a longer-term Kaplan-Meier curve using left-truncated observations. This approach allowed individuals entering observation at older ages to contribute person-time only after their entry age, thereby approximating a longer age-based treatment initiation curve.</w:t>
      </w:r>
    </w:p>
    <w:p>
      <w:pPr>
        <w:pStyle w:val="BodyText"/>
      </w:pPr>
      <w:r>
        <w:t xml:space="preserve">Assuming an index date of January 1, 2018, we followed cohorts of non-Hispanic Black and non-Hispanic white individuals aged 40, 46, 52, 58, 64, or 70 years who had not been exposed to antihypertensive treatment at the index date. We assumed the age of entry was the age of the age-specific cohort (e.g., 40 for the 40-year-old cohort). Exit age was defined as the minimum of the age at antihypertensive treatment exposure, age at last observed blood pressure measurement, and age at death simulated from age-sex-race-specific U.S. life tables. Observations were reweighted so that 50% of the adults were non-Hispanic Black and 50% were non-Hispanic white, matching the composition of our simulation cohort. The cumulative density of the Kaplan-Meier curve was compared with the fraction of alive adults in the detected and treated health system or discontinued health system states in our simulation model. Our model underestimated the cumulative incidence of antihypertensive treatment exposure observed in the PRIME registry. The high observed cumulative incidence in PRIME likely reflects individuals who initiated antihypertensive treatment for other health benefits beyond hypertension control, whereas our simulation model assumed that patients may initiate treatment only with elevated blood pressure values (</w:t>
      </w:r>
      <w:hyperlink w:anchor="suppfig-cum-treatment-exposure">
        <w:r>
          <w:rPr>
            <w:rStyle w:val="Hyperlink"/>
          </w:rPr>
          <w:t xml:space="preserve">Figure S2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3" w:name="suppfig-cum-treatment-exposure"/>
          <w:p>
            <w:pPr>
              <w:pStyle w:val="Compact"/>
              <w:jc w:val="center"/>
            </w:pPr>
            <w:r>
              <w:drawing>
                <wp:inline>
                  <wp:extent cx="5334000" cy="3663944"/>
                  <wp:effectExtent b="0" l="0" r="0" t="0"/>
                  <wp:docPr descr="" title="" id="91" name="Picture"/>
                  <a:graphic>
                    <a:graphicData uri="http://schemas.openxmlformats.org/drawingml/2006/picture">
                      <pic:pic>
                        <pic:nvPicPr>
                          <pic:cNvPr descr="figures/standard/cum_treatment_exposure_hetero_RA.png" id="92" name="Picture"/>
                          <pic:cNvPicPr>
                            <a:picLocks noChangeArrowheads="1" noChangeAspect="1"/>
                          </pic:cNvPicPr>
                        </pic:nvPicPr>
                        <pic:blipFill>
                          <a:blip r:embed="rId90"/>
                          <a:stretch>
                            <a:fillRect/>
                          </a:stretch>
                        </pic:blipFill>
                        <pic:spPr bwMode="auto">
                          <a:xfrm>
                            <a:off x="0" y="0"/>
                            <a:ext cx="5334000" cy="3663944"/>
                          </a:xfrm>
                          <a:prstGeom prst="rect">
                            <a:avLst/>
                          </a:prstGeom>
                          <a:noFill/>
                          <a:ln w="9525">
                            <a:noFill/>
                            <a:headEnd/>
                            <a:tailEnd/>
                          </a:ln>
                        </pic:spPr>
                      </pic:pic>
                    </a:graphicData>
                  </a:graphic>
                </wp:inline>
              </w:drawing>
            </w:r>
          </w:p>
          <w:p>
            <w:pPr>
              <w:jc w:val="center"/>
            </w:pPr>
            <w:pPr>
              <w:jc w:val="left"/>
              <w:spacing w:before="200"/>
              <w:pStyle w:val="ImageCaption"/>
            </w:pPr>
            <w:r>
              <w:t xml:space="preserve">Figure S2: Comparing the cumulative incidence of antihypertensive treatment exposure between PRIME registry and simulation cohort</w:t>
            </w:r>
          </w:p>
          <w:bookmarkEnd w:id="93"/>
        </w:tc>
      </w:tr>
    </w:tbl>
    <w:p>
      <w:pPr>
        <w:pStyle w:val="BodyText"/>
      </w:pPr>
      <w:r>
        <w:t xml:space="preserve">We also compared the cumulative incidence of antihypertensive treatment in our model with published estimates from the Framingham Heart Study.</w:t>
      </w:r>
      <w:r>
        <w:rPr>
          <w:vertAlign w:val="superscript"/>
        </w:rPr>
        <w:t xml:space="preserve">54</w:t>
      </w:r>
      <w:r>
        <w:t xml:space="preserve"> </w:t>
      </w:r>
      <w:r>
        <w:t xml:space="preserve">The study reported the cumulative probability of receiving antihypertensive therapy from age 55 at 10, 15, 20, and 25 years of follow-up. As demonstrated in</w:t>
      </w:r>
      <w:r>
        <w:t xml:space="preserve"> </w:t>
      </w:r>
      <w:hyperlink w:anchor="suppfig-cum-treatment-exposure-external">
        <w:r>
          <w:rPr>
            <w:rStyle w:val="Hyperlink"/>
          </w:rPr>
          <w:t xml:space="preserve">Figure S3</w:t>
        </w:r>
      </w:hyperlink>
      <w:r>
        <w:t xml:space="preserve">, our simulation model’s cumulative incidence aligned closely with the published estimates at 15 and 20 years. However, the simulation model overestimated the cumulative incidence of treatment exposure at 10 years and underestimated it at 25 years.</w:t>
      </w:r>
    </w:p>
    <w:tbl>
      <w:tblPr>
        <w:tblStyle w:val="Table"/>
        <w:tblW w:type="pct" w:w="5000"/>
        <w:tblLayout w:type="fixed"/>
        <w:tblLook w:firstRow="0" w:lastRow="0" w:firstColumn="0" w:lastColumn="0" w:noHBand="0" w:noVBand="0" w:val="0000"/>
      </w:tblPr>
      <w:tblGrid>
        <w:gridCol w:w="7920"/>
      </w:tblGrid>
      <w:tr>
        <w:tc>
          <w:tcPr/>
          <w:bookmarkStart w:id="97" w:name="suppfig-cum-treatment-exposure-external"/>
          <w:p>
            <w:pPr>
              <w:pStyle w:val="Compact"/>
              <w:jc w:val="center"/>
            </w:pPr>
            <w:r>
              <w:drawing>
                <wp:inline>
                  <wp:extent cx="5334000" cy="3308430"/>
                  <wp:effectExtent b="0" l="0" r="0" t="0"/>
                  <wp:docPr descr="" title="" id="95" name="Picture"/>
                  <a:graphic>
                    <a:graphicData uri="http://schemas.openxmlformats.org/drawingml/2006/picture">
                      <pic:pic>
                        <pic:nvPicPr>
                          <pic:cNvPr descr="figures/standard/cum_inc_hyp_55yo_hetero_RA.png" id="96" name="Picture"/>
                          <pic:cNvPicPr>
                            <a:picLocks noChangeArrowheads="1" noChangeAspect="1"/>
                          </pic:cNvPicPr>
                        </pic:nvPicPr>
                        <pic:blipFill>
                          <a:blip r:embed="rId94"/>
                          <a:stretch>
                            <a:fillRect/>
                          </a:stretch>
                        </pic:blipFill>
                        <pic:spPr bwMode="auto">
                          <a:xfrm>
                            <a:off x="0" y="0"/>
                            <a:ext cx="5334000" cy="3308430"/>
                          </a:xfrm>
                          <a:prstGeom prst="rect">
                            <a:avLst/>
                          </a:prstGeom>
                          <a:noFill/>
                          <a:ln w="9525">
                            <a:noFill/>
                            <a:headEnd/>
                            <a:tailEnd/>
                          </a:ln>
                        </pic:spPr>
                      </pic:pic>
                    </a:graphicData>
                  </a:graphic>
                </wp:inline>
              </w:drawing>
            </w:r>
          </w:p>
          <w:p>
            <w:pPr>
              <w:jc w:val="center"/>
            </w:pPr>
            <w:pPr>
              <w:jc w:val="left"/>
              <w:spacing w:before="200"/>
              <w:pStyle w:val="ImageCaption"/>
            </w:pPr>
            <w:r>
              <w:t xml:space="preserve">Figure S3: Comparing the cumulative incidence of antihypertensive treatment exposure in the Framingham Heart Study and simulation cohort</w:t>
            </w:r>
          </w:p>
          <w:bookmarkEnd w:id="97"/>
        </w:tc>
      </w:tr>
    </w:tbl>
    <w:p>
      <w:pPr>
        <w:pStyle w:val="BodyText"/>
      </w:pPr>
      <w:r>
        <w:t xml:space="preserve">In our secondary analysis, we incorporated census tract-level SDI in predicting the number of months until the next measurement visit:</w:t>
      </w:r>
    </w:p>
    <w:p>
      <w:pPr>
        <w:pStyle w:val="BodyText"/>
      </w:pPr>
      <m:oMathPara>
        <m:oMathParaPr>
          <m:jc m:val="center"/>
        </m:oMathParaPr>
        <m:oMath>
          <m:sSub>
            <m:e>
              <m:r>
                <m:t>M</m:t>
              </m:r>
            </m:e>
            <m:sub>
              <m:r>
                <m:t>i</m:t>
              </m:r>
              <m:r>
                <m:rPr>
                  <m:sty m:val="p"/>
                </m:rPr>
                <m:t>,</m:t>
              </m:r>
              <m:r>
                <m:t>t</m:t>
              </m:r>
              <m:r>
                <m:rPr>
                  <m:sty m:val="p"/>
                </m:rPr>
                <m:t>+</m:t>
              </m:r>
              <m:r>
                <m:t>1</m:t>
              </m:r>
            </m:sub>
          </m:sSub>
          <m:r>
            <m:rPr>
              <m:sty m:val="p"/>
            </m:rPr>
            <m:t>=</m:t>
          </m:r>
          <m:sSub>
            <m:e>
              <m:r>
                <m:t>β</m:t>
              </m:r>
            </m:e>
            <m:sub>
              <m:r>
                <m:t>0</m:t>
              </m:r>
            </m:sub>
          </m:sSub>
          <m:r>
            <m:rPr>
              <m:sty m:val="p"/>
            </m:rPr>
            <m:t>+</m:t>
          </m:r>
          <m:sSub>
            <m:e>
              <m:r>
                <m:t>β</m:t>
              </m:r>
            </m:e>
            <m:sub>
              <m:r>
                <m:t>1</m:t>
              </m:r>
            </m:sub>
          </m:sSub>
          <m:sSub>
            <m:e>
              <m:r>
                <m:t>X</m:t>
              </m:r>
            </m:e>
            <m:sub>
              <m:r>
                <m:t>i</m:t>
              </m:r>
              <m:r>
                <m:t>t</m:t>
              </m:r>
            </m:sub>
          </m:sSub>
          <m:r>
            <m:rPr>
              <m:sty m:val="p"/>
            </m:rPr>
            <m:t>+</m:t>
          </m:r>
          <m:sSub>
            <m:e>
              <m:r>
                <m:t>β</m:t>
              </m:r>
            </m:e>
            <m:sub>
              <m:r>
                <m:t>2</m:t>
              </m:r>
            </m:sub>
          </m:sSub>
          <m:sSub>
            <m:e>
              <m:r>
                <m:t>F</m:t>
              </m:r>
            </m:e>
            <m:sub>
              <m:r>
                <m:t>i</m:t>
              </m:r>
            </m:sub>
          </m:sSub>
          <m:r>
            <m:rPr>
              <m:sty m:val="p"/>
            </m:rPr>
            <m:t>+</m:t>
          </m:r>
          <m:sSub>
            <m:e>
              <m:r>
                <m:t>β</m:t>
              </m:r>
            </m:e>
            <m:sub>
              <m:r>
                <m:t>3</m:t>
              </m:r>
            </m:sub>
          </m:sSub>
          <m:sSub>
            <m:e>
              <m:r>
                <m:t>S</m:t>
              </m:r>
            </m:e>
            <m:sub>
              <m:r>
                <m:t>i</m:t>
              </m:r>
            </m:sub>
          </m:sSub>
          <m:r>
            <m:rPr>
              <m:sty m:val="p"/>
            </m:rPr>
            <m:t>+</m:t>
          </m:r>
          <m:sSub>
            <m:e>
              <m:r>
                <m:t>β</m:t>
              </m:r>
            </m:e>
            <m:sub>
              <m:r>
                <m:t>4</m:t>
              </m:r>
            </m:sub>
          </m:sSub>
          <m:sSub>
            <m:e>
              <m:r>
                <m:t>Y</m:t>
              </m:r>
            </m:e>
            <m:sub>
              <m:r>
                <m:t>i</m:t>
              </m:r>
              <m:r>
                <m:t>t</m:t>
              </m:r>
            </m:sub>
          </m:sSub>
          <m:r>
            <m:rPr>
              <m:sty m:val="p"/>
            </m:rPr>
            <m:t>+</m:t>
          </m:r>
          <m:sSub>
            <m:e>
              <m:r>
                <m:t>β</m:t>
              </m:r>
            </m:e>
            <m:sub>
              <m:r>
                <m:t>5</m:t>
              </m:r>
            </m:sub>
          </m:sSub>
          <m:sSub>
            <m:e>
              <m:r>
                <m:t>Z</m:t>
              </m:r>
            </m:e>
            <m:sub>
              <m:r>
                <m:t>i</m:t>
              </m:r>
              <m:r>
                <m:t>t</m:t>
              </m:r>
            </m:sub>
          </m:sSub>
          <m:r>
            <m:rPr>
              <m:sty m:val="p"/>
            </m:rPr>
            <m:t>,</m:t>
          </m:r>
        </m:oMath>
      </m:oMathPara>
    </w:p>
    <w:p>
      <w:pPr>
        <w:pStyle w:val="FirstParagraph"/>
      </w:pPr>
      <w:r>
        <w:t xml:space="preserve">and the probability of initiating antihypertensive treatment:</w:t>
      </w:r>
    </w:p>
    <w:p>
      <w:pPr>
        <w:pStyle w:val="BodyText"/>
      </w:pPr>
      <m:oMathPara>
        <m:oMathParaPr>
          <m:jc m:val="center"/>
        </m:oMathParaPr>
        <m:oMath>
          <m:r>
            <m:rPr>
              <m:nor/>
              <m:sty m:val="p"/>
            </m:rPr>
            <m:t>logit</m:t>
          </m:r>
          <m:r>
            <m:rPr>
              <m:sty m:val="p"/>
            </m:rPr>
            <m:t>(</m:t>
          </m:r>
          <m:r>
            <m:t>P</m:t>
          </m:r>
          <m:r>
            <m:rPr>
              <m:sty m:val="p"/>
            </m:rPr>
            <m:t>(</m:t>
          </m:r>
          <m:sSub>
            <m:e>
              <m:r>
                <m:t>A</m:t>
              </m:r>
            </m:e>
            <m:sub>
              <m:r>
                <m:t>i</m:t>
              </m:r>
              <m:r>
                <m:t>t</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sSub>
            <m:e>
              <m:r>
                <m:t>X</m:t>
              </m:r>
            </m:e>
            <m:sub>
              <m:r>
                <m:t>i</m:t>
              </m:r>
              <m:r>
                <m:t>t</m:t>
              </m:r>
            </m:sub>
          </m:sSub>
          <m:r>
            <m:rPr>
              <m:sty m:val="p"/>
            </m:rPr>
            <m:t>+</m:t>
          </m:r>
          <m:sSub>
            <m:e>
              <m:r>
                <m:t>β</m:t>
              </m:r>
            </m:e>
            <m:sub>
              <m:r>
                <m:t>2</m:t>
              </m:r>
            </m:sub>
          </m:sSub>
          <m:sSub>
            <m:e>
              <m:r>
                <m:t>F</m:t>
              </m:r>
            </m:e>
            <m:sub>
              <m:r>
                <m:t>i</m:t>
              </m:r>
            </m:sub>
          </m:sSub>
          <m:r>
            <m:rPr>
              <m:sty m:val="p"/>
            </m:rPr>
            <m:t>+</m:t>
          </m:r>
          <m:sSub>
            <m:e>
              <m:r>
                <m:t>β</m:t>
              </m:r>
            </m:e>
            <m:sub>
              <m:r>
                <m:t>3</m:t>
              </m:r>
            </m:sub>
          </m:sSub>
          <m:sSub>
            <m:e>
              <m:r>
                <m:t>S</m:t>
              </m:r>
            </m:e>
            <m:sub>
              <m:r>
                <m:t>i</m:t>
              </m:r>
            </m:sub>
          </m:sSub>
          <m:r>
            <m:rPr>
              <m:sty m:val="p"/>
            </m:rPr>
            <m:t>+</m:t>
          </m:r>
          <m:sSub>
            <m:e>
              <m:r>
                <m:t>β</m:t>
              </m:r>
            </m:e>
            <m:sub>
              <m:r>
                <m:t>4</m:t>
              </m:r>
            </m:sub>
          </m:sSub>
          <m:sSub>
            <m:e>
              <m:r>
                <m:t>Y</m:t>
              </m:r>
            </m:e>
            <m:sub>
              <m:r>
                <m:t>i</m:t>
              </m:r>
              <m:r>
                <m:t>t</m:t>
              </m:r>
            </m:sub>
          </m:sSub>
          <m:r>
            <m:rPr>
              <m:sty m:val="p"/>
            </m:rPr>
            <m:t>+</m:t>
          </m:r>
          <m:sSub>
            <m:e>
              <m:r>
                <m:t>β</m:t>
              </m:r>
            </m:e>
            <m:sub>
              <m:r>
                <m:t>5</m:t>
              </m:r>
            </m:sub>
          </m:sSub>
          <m:sSub>
            <m:e>
              <m:r>
                <m:t>Z</m:t>
              </m:r>
            </m:e>
            <m:sub>
              <m:r>
                <m:t>i</m:t>
              </m:r>
              <m:r>
                <m:t>t</m:t>
              </m:r>
            </m:sub>
          </m:sSub>
          <m:r>
            <m:rPr>
              <m:sty m:val="p"/>
            </m:rPr>
            <m:t>.</m:t>
          </m:r>
        </m:oMath>
      </m:oMathPara>
    </w:p>
    <w:bookmarkEnd w:id="98"/>
    <w:bookmarkStart w:id="124" w:name="sec-validation-results"/>
    <w:p>
      <w:pPr>
        <w:pStyle w:val="Heading3"/>
      </w:pPr>
      <w:r>
        <w:t xml:space="preserve">6.7 Validation analysis results</w:t>
      </w:r>
    </w:p>
    <w:p>
      <w:pPr>
        <w:pStyle w:val="FirstParagraph"/>
      </w:pPr>
      <w:r>
        <w:t xml:space="preserve">We validated the baseline simulation model against observed age-specific hypertension stage prevalence among individuals in the PRIME registry prior to antihypertensive medication use. In the baseline version of the model, we did not model health system utilization and thus did not simulate the effect of treatment on blood pressure. We sampled a validation cohort of 10,000 40-year-old patients from the PRIME registry. Demographic and clinical characteristics of our validation cohort are in</w:t>
      </w:r>
      <w:r>
        <w:t xml:space="preserve"> </w:t>
      </w:r>
      <w:hyperlink w:anchor="X6dc0ed938284cf8714bde0133b6eadacb61bb2e">
        <w:r>
          <w:rPr>
            <w:rStyle w:val="Hyperlink"/>
          </w:rPr>
          <w:t xml:space="preserve">Table S7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9" w:name="X6dc0ed938284cf8714bde0133b6eadacb61bb2e"/>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Categorical Variables</w:t>
                  </w:r>
                </w:p>
              </w:tc>
              <w:tc>
                <w:tcPr/>
                <w:p>
                  <w:pPr>
                    <w:pStyle w:val="Compact"/>
                  </w:pPr>
                </w:p>
              </w:tc>
              <w:tc>
                <w:tcPr/>
                <w:p>
                  <w:pPr>
                    <w:pStyle w:val="Compact"/>
                    <w:jc w:val="center"/>
                  </w:pPr>
                  <w:r>
                    <w:t xml:space="preserve">Category (%)</w:t>
                  </w:r>
                </w:p>
              </w:tc>
            </w:tr>
            <w:tr>
              <w:tc>
                <w:tcPr/>
                <w:p>
                  <w:pPr>
                    <w:pStyle w:val="Compact"/>
                    <w:jc w:val="center"/>
                  </w:pPr>
                  <w:r>
                    <w:t xml:space="preserve">Race/ethnicity</w:t>
                  </w:r>
                </w:p>
              </w:tc>
              <w:tc>
                <w:tcPr/>
                <w:p>
                  <w:pPr>
                    <w:pStyle w:val="Compact"/>
                    <w:jc w:val="center"/>
                  </w:pPr>
                  <w:r>
                    <w:t xml:space="preserve">Hispanic</w:t>
                  </w:r>
                </w:p>
              </w:tc>
              <w:tc>
                <w:tcPr/>
                <w:p>
                  <w:pPr>
                    <w:pStyle w:val="Compact"/>
                    <w:jc w:val="center"/>
                  </w:pPr>
                  <w:r>
                    <w:t xml:space="preserve">12%</w:t>
                  </w:r>
                </w:p>
              </w:tc>
            </w:tr>
            <w:tr>
              <w:tc>
                <w:tcPr/>
                <w:p>
                  <w:pPr>
                    <w:pStyle w:val="Compact"/>
                  </w:pPr>
                </w:p>
              </w:tc>
              <w:tc>
                <w:tcPr/>
                <w:p>
                  <w:pPr>
                    <w:pStyle w:val="Compact"/>
                    <w:jc w:val="center"/>
                  </w:pPr>
                  <w:r>
                    <w:t xml:space="preserve">Non-Hispanic Black</w:t>
                  </w:r>
                </w:p>
              </w:tc>
              <w:tc>
                <w:tcPr/>
                <w:p>
                  <w:pPr>
                    <w:pStyle w:val="Compact"/>
                    <w:jc w:val="center"/>
                  </w:pPr>
                  <w:r>
                    <w:t xml:space="preserve">5%</w:t>
                  </w:r>
                </w:p>
              </w:tc>
            </w:tr>
            <w:tr>
              <w:tc>
                <w:tcPr/>
                <w:p>
                  <w:pPr>
                    <w:pStyle w:val="Compact"/>
                  </w:pPr>
                </w:p>
              </w:tc>
              <w:tc>
                <w:tcPr/>
                <w:p>
                  <w:pPr>
                    <w:pStyle w:val="Compact"/>
                    <w:jc w:val="center"/>
                  </w:pPr>
                  <w:r>
                    <w:t xml:space="preserve">Non-Hispanic white</w:t>
                  </w:r>
                </w:p>
              </w:tc>
              <w:tc>
                <w:tcPr/>
                <w:p>
                  <w:pPr>
                    <w:pStyle w:val="Compact"/>
                    <w:jc w:val="center"/>
                  </w:pPr>
                  <w:r>
                    <w:t xml:space="preserve">49%</w:t>
                  </w:r>
                </w:p>
              </w:tc>
            </w:tr>
            <w:tr>
              <w:tc>
                <w:tcPr/>
                <w:p>
                  <w:pPr>
                    <w:pStyle w:val="Compact"/>
                  </w:pPr>
                </w:p>
              </w:tc>
              <w:tc>
                <w:tcPr/>
                <w:p>
                  <w:pPr>
                    <w:pStyle w:val="Compact"/>
                    <w:jc w:val="center"/>
                  </w:pPr>
                  <w:r>
                    <w:t xml:space="preserve">Other race/ethnicity</w:t>
                  </w:r>
                </w:p>
              </w:tc>
              <w:tc>
                <w:tcPr/>
                <w:p>
                  <w:pPr>
                    <w:pStyle w:val="Compact"/>
                    <w:jc w:val="center"/>
                  </w:pPr>
                  <w:r>
                    <w:t xml:space="preserve">34%</w:t>
                  </w:r>
                </w:p>
              </w:tc>
            </w:tr>
            <w:tr>
              <w:tc>
                <w:tcPr/>
                <w:p>
                  <w:pPr>
                    <w:pStyle w:val="Compact"/>
                    <w:jc w:val="center"/>
                  </w:pPr>
                  <w:r>
                    <w:t xml:space="preserve">Sex</w:t>
                  </w:r>
                </w:p>
              </w:tc>
              <w:tc>
                <w:tcPr/>
                <w:p>
                  <w:pPr>
                    <w:pStyle w:val="Compact"/>
                    <w:jc w:val="center"/>
                  </w:pPr>
                  <w:r>
                    <w:t xml:space="preserve">Female</w:t>
                  </w:r>
                </w:p>
              </w:tc>
              <w:tc>
                <w:tcPr/>
                <w:p>
                  <w:pPr>
                    <w:pStyle w:val="Compact"/>
                    <w:jc w:val="center"/>
                  </w:pPr>
                  <w:r>
                    <w:t xml:space="preserve">63%</w:t>
                  </w:r>
                </w:p>
              </w:tc>
            </w:tr>
            <w:tr>
              <w:tc>
                <w:tcPr/>
                <w:p>
                  <w:pPr>
                    <w:pStyle w:val="Compact"/>
                    <w:jc w:val="center"/>
                  </w:pPr>
                  <w:r>
                    <w:t xml:space="preserve">Initial hypertension stage</w:t>
                  </w:r>
                </w:p>
              </w:tc>
              <w:tc>
                <w:tcPr/>
                <w:p>
                  <w:pPr>
                    <w:pStyle w:val="Compact"/>
                    <w:jc w:val="center"/>
                  </w:pPr>
                  <w:r>
                    <w:t xml:space="preserve">Normal</w:t>
                  </w:r>
                </w:p>
              </w:tc>
              <w:tc>
                <w:tcPr/>
                <w:p>
                  <w:pPr>
                    <w:pStyle w:val="Compact"/>
                    <w:jc w:val="center"/>
                  </w:pPr>
                  <w:r>
                    <w:t xml:space="preserve">34%</w:t>
                  </w:r>
                </w:p>
              </w:tc>
            </w:tr>
            <w:tr>
              <w:tc>
                <w:tcPr/>
                <w:p>
                  <w:pPr>
                    <w:pStyle w:val="Compact"/>
                  </w:pPr>
                </w:p>
              </w:tc>
              <w:tc>
                <w:tcPr/>
                <w:p>
                  <w:pPr>
                    <w:pStyle w:val="Compact"/>
                    <w:jc w:val="center"/>
                  </w:pPr>
                  <w:r>
                    <w:t xml:space="preserve">Elevated</w:t>
                  </w:r>
                </w:p>
              </w:tc>
              <w:tc>
                <w:tcPr/>
                <w:p>
                  <w:pPr>
                    <w:pStyle w:val="Compact"/>
                    <w:jc w:val="center"/>
                  </w:pPr>
                  <w:r>
                    <w:t xml:space="preserve">15%</w:t>
                  </w:r>
                </w:p>
              </w:tc>
            </w:tr>
            <w:tr>
              <w:tc>
                <w:tcPr/>
                <w:p>
                  <w:pPr>
                    <w:pStyle w:val="Compact"/>
                  </w:pPr>
                </w:p>
              </w:tc>
              <w:tc>
                <w:tcPr/>
                <w:p>
                  <w:pPr>
                    <w:pStyle w:val="Compact"/>
                    <w:jc w:val="center"/>
                  </w:pPr>
                  <w:r>
                    <w:t xml:space="preserve">Stage 1</w:t>
                  </w:r>
                </w:p>
              </w:tc>
              <w:tc>
                <w:tcPr/>
                <w:p>
                  <w:pPr>
                    <w:pStyle w:val="Compact"/>
                    <w:jc w:val="center"/>
                  </w:pPr>
                  <w:r>
                    <w:t xml:space="preserve">35%</w:t>
                  </w:r>
                </w:p>
              </w:tc>
            </w:tr>
            <w:tr>
              <w:tc>
                <w:tcPr/>
                <w:p>
                  <w:pPr>
                    <w:pStyle w:val="Compact"/>
                  </w:pPr>
                </w:p>
              </w:tc>
              <w:tc>
                <w:tcPr/>
                <w:p>
                  <w:pPr>
                    <w:pStyle w:val="Compact"/>
                    <w:jc w:val="center"/>
                  </w:pPr>
                  <w:r>
                    <w:t xml:space="preserve">Stage 2</w:t>
                  </w:r>
                </w:p>
              </w:tc>
              <w:tc>
                <w:tcPr/>
                <w:p>
                  <w:pPr>
                    <w:pStyle w:val="Compact"/>
                    <w:jc w:val="center"/>
                  </w:pPr>
                  <w:r>
                    <w:t xml:space="preserve">16%</w:t>
                  </w:r>
                </w:p>
              </w:tc>
            </w:tr>
            <w:tr>
              <w:tc>
                <w:tcPr/>
                <w:p>
                  <w:pPr>
                    <w:pStyle w:val="Compact"/>
                    <w:jc w:val="center"/>
                  </w:pPr>
                  <w:r>
                    <w:t xml:space="preserve">Continuous Variables</w:t>
                  </w:r>
                </w:p>
              </w:tc>
              <w:tc>
                <w:tcPr/>
                <w:p>
                  <w:pPr>
                    <w:pStyle w:val="Compact"/>
                  </w:pPr>
                </w:p>
              </w:tc>
              <w:tc>
                <w:tcPr/>
                <w:p>
                  <w:pPr>
                    <w:pStyle w:val="Compact"/>
                    <w:jc w:val="center"/>
                  </w:pPr>
                  <w:r>
                    <w:t xml:space="preserve">Mean [SD]</w:t>
                  </w:r>
                </w:p>
              </w:tc>
            </w:tr>
            <w:tr>
              <w:tc>
                <w:tcPr/>
                <w:p>
                  <w:pPr>
                    <w:pStyle w:val="Compact"/>
                    <w:jc w:val="center"/>
                  </w:pPr>
                  <w:r>
                    <w:t xml:space="preserve">Census tract-level social deprivation index</w:t>
                  </w:r>
                </w:p>
              </w:tc>
              <w:tc>
                <w:tcPr/>
                <w:p>
                  <w:pPr>
                    <w:pStyle w:val="Compact"/>
                  </w:pPr>
                </w:p>
              </w:tc>
              <w:tc>
                <w:tcPr/>
                <w:p>
                  <w:pPr>
                    <w:pStyle w:val="Compact"/>
                    <w:jc w:val="center"/>
                  </w:pPr>
                  <w:r>
                    <w:t xml:space="preserve">14.6 [8.2]</w:t>
                  </w:r>
                </w:p>
              </w:tc>
            </w:tr>
            <w:tr>
              <w:tc>
                <w:tcPr/>
                <w:p>
                  <w:pPr>
                    <w:pStyle w:val="Compact"/>
                    <w:jc w:val="center"/>
                  </w:pPr>
                  <w:r>
                    <w:t xml:space="preserve">Systolic blood pressure</w:t>
                  </w:r>
                </w:p>
              </w:tc>
              <w:tc>
                <w:tcPr/>
                <w:p>
                  <w:pPr>
                    <w:pStyle w:val="Compact"/>
                  </w:pPr>
                </w:p>
              </w:tc>
              <w:tc>
                <w:tcPr/>
                <w:p>
                  <w:pPr>
                    <w:pStyle w:val="Compact"/>
                    <w:jc w:val="center"/>
                  </w:pPr>
                  <w:r>
                    <w:t xml:space="preserve">122.1 [13.3]</w:t>
                  </w:r>
                </w:p>
              </w:tc>
            </w:tr>
            <w:tr>
              <w:tc>
                <w:tcPr/>
                <w:p>
                  <w:pPr>
                    <w:pStyle w:val="Compact"/>
                    <w:jc w:val="center"/>
                  </w:pPr>
                  <w:r>
                    <w:t xml:space="preserve">Diastolic blood pressure</w:t>
                  </w:r>
                </w:p>
              </w:tc>
              <w:tc>
                <w:tcPr/>
                <w:p>
                  <w:pPr>
                    <w:pStyle w:val="Compact"/>
                  </w:pPr>
                </w:p>
              </w:tc>
              <w:tc>
                <w:tcPr/>
                <w:p>
                  <w:pPr>
                    <w:pStyle w:val="Compact"/>
                    <w:jc w:val="center"/>
                  </w:pPr>
                  <w:r>
                    <w:t xml:space="preserve">77.4 [9.3]</w:t>
                  </w:r>
                </w:p>
              </w:tc>
            </w:tr>
          </w:tbl>
          <w:p>
            <w:pPr>
              <w:jc w:val="center"/>
            </w:pPr>
            <w:pPr>
              <w:jc w:val="left"/>
              <w:spacing w:before="200"/>
              <w:pStyle w:val="ImageCaption"/>
            </w:pPr>
            <w:r>
              <w:t xml:space="preserve">Table S7: Demographic and clinical characteristics of PRIME registry validation cohort (SD: standard deviation)</w:t>
            </w:r>
          </w:p>
          <w:bookmarkEnd w:id="99"/>
        </w:tc>
      </w:tr>
    </w:tbl>
    <w:p>
      <w:pPr>
        <w:pStyle w:val="BodyText"/>
      </w:pPr>
      <w:r>
        <w:t xml:space="preserve">The average life expectancy of our 40-year-old cohort was 38.2 years (95% CI: 38.0, 38.5). In</w:t>
      </w:r>
      <w:r>
        <w:t xml:space="preserve"> </w:t>
      </w:r>
      <w:hyperlink w:anchor="supptbl-validation-life-expectancy">
        <w:r>
          <w:rPr>
            <w:rStyle w:val="Hyperlink"/>
          </w:rPr>
          <w:t xml:space="preserve">Table S8</w:t>
        </w:r>
      </w:hyperlink>
      <w:r>
        <w:t xml:space="preserve">, we observed concordance between the average life expectancies computed by our simulation model and life expectancies by race and ethnicity reported in the 2021 U.S. life tables.</w:t>
      </w:r>
      <w:r>
        <w:rPr>
          <w:vertAlign w:val="superscript"/>
        </w:rPr>
        <w:t xml:space="preserve">25</w:t>
      </w:r>
    </w:p>
    <w:tbl>
      <w:tblPr>
        <w:tblStyle w:val="Table"/>
        <w:tblW w:type="pct" w:w="5000"/>
        <w:tblLayout w:type="fixed"/>
        <w:tblLook w:firstRow="0" w:lastRow="0" w:firstColumn="0" w:lastColumn="0" w:noHBand="0" w:noVBand="0" w:val="0000"/>
      </w:tblPr>
      <w:tblGrid>
        <w:gridCol w:w="7920"/>
      </w:tblGrid>
      <w:tr>
        <w:tc>
          <w:tcPr/>
          <w:bookmarkStart w:id="100" w:name="supptbl-validation-life-expectancy"/>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Race/Ethnicity</w:t>
                  </w:r>
                </w:p>
              </w:tc>
              <w:tc>
                <w:tcPr/>
                <w:p>
                  <w:pPr>
                    <w:pStyle w:val="Compact"/>
                    <w:jc w:val="center"/>
                  </w:pPr>
                  <w:r>
                    <w:t xml:space="preserve">Validation Cohort, Mean [MCSE]</w:t>
                  </w:r>
                </w:p>
              </w:tc>
              <w:tc>
                <w:tcPr/>
                <w:p>
                  <w:pPr>
                    <w:pStyle w:val="Compact"/>
                    <w:jc w:val="center"/>
                  </w:pPr>
                  <w:r>
                    <w:t xml:space="preserve">2021 U.S. Life Table</w:t>
                  </w:r>
                </w:p>
              </w:tc>
            </w:tr>
            <w:tr>
              <w:tc>
                <w:tcPr/>
                <w:p>
                  <w:pPr>
                    <w:pStyle w:val="Compact"/>
                    <w:jc w:val="center"/>
                  </w:pPr>
                  <w:r>
                    <w:t xml:space="preserve">Hispanic</w:t>
                  </w:r>
                </w:p>
              </w:tc>
              <w:tc>
                <w:tcPr/>
                <w:p>
                  <w:pPr>
                    <w:pStyle w:val="Compact"/>
                    <w:jc w:val="center"/>
                  </w:pPr>
                  <w:r>
                    <w:t xml:space="preserve">39.4 [&lt;0.01]</w:t>
                  </w:r>
                </w:p>
              </w:tc>
              <w:tc>
                <w:tcPr/>
                <w:p>
                  <w:pPr>
                    <w:pStyle w:val="Compact"/>
                    <w:jc w:val="center"/>
                  </w:pPr>
                  <w:r>
                    <w:t xml:space="preserve">40.1</w:t>
                  </w:r>
                </w:p>
              </w:tc>
            </w:tr>
            <w:tr>
              <w:tc>
                <w:tcPr/>
                <w:p>
                  <w:pPr>
                    <w:pStyle w:val="Compact"/>
                    <w:jc w:val="center"/>
                  </w:pPr>
                  <w:r>
                    <w:t xml:space="preserve">Non-Hispanic Black</w:t>
                  </w:r>
                </w:p>
              </w:tc>
              <w:tc>
                <w:tcPr/>
                <w:p>
                  <w:pPr>
                    <w:pStyle w:val="Compact"/>
                    <w:jc w:val="center"/>
                  </w:pPr>
                  <w:r>
                    <w:t xml:space="preserve">35.3 [&lt;0.01]</w:t>
                  </w:r>
                </w:p>
              </w:tc>
              <w:tc>
                <w:tcPr/>
                <w:p>
                  <w:pPr>
                    <w:pStyle w:val="Compact"/>
                    <w:jc w:val="center"/>
                  </w:pPr>
                  <w:r>
                    <w:t xml:space="preserve">35.3</w:t>
                  </w:r>
                </w:p>
              </w:tc>
            </w:tr>
            <w:tr>
              <w:tc>
                <w:tcPr/>
                <w:p>
                  <w:pPr>
                    <w:pStyle w:val="Compact"/>
                    <w:jc w:val="center"/>
                  </w:pPr>
                  <w:r>
                    <w:t xml:space="preserve">Non-Hispanic white</w:t>
                  </w:r>
                </w:p>
              </w:tc>
              <w:tc>
                <w:tcPr/>
                <w:p>
                  <w:pPr>
                    <w:pStyle w:val="Compact"/>
                    <w:jc w:val="center"/>
                  </w:pPr>
                  <w:r>
                    <w:t xml:space="preserve">38.6 [&lt;0.01]</w:t>
                  </w:r>
                </w:p>
              </w:tc>
              <w:tc>
                <w:tcPr/>
                <w:p>
                  <w:pPr>
                    <w:pStyle w:val="Compact"/>
                    <w:jc w:val="center"/>
                  </w:pPr>
                  <w:r>
                    <w:t xml:space="preserve">38.9</w:t>
                  </w:r>
                </w:p>
              </w:tc>
            </w:tr>
          </w:tbl>
          <w:p>
            <w:pPr>
              <w:jc w:val="center"/>
            </w:pPr>
            <w:pPr>
              <w:jc w:val="left"/>
              <w:spacing w:before="200"/>
              <w:pStyle w:val="ImageCaption"/>
            </w:pPr>
            <w:r>
              <w:t xml:space="preserve">Table S8: Comparison of mean life expectancies in validation cohort with U.S. life table estimates by race/ethnicity (MCSE: Monte Carlo standard error)</w:t>
            </w:r>
          </w:p>
          <w:bookmarkEnd w:id="100"/>
        </w:tc>
      </w:tr>
    </w:tbl>
    <w:p>
      <w:pPr>
        <w:pStyle w:val="BodyText"/>
      </w:pPr>
      <w:hyperlink w:anchor="suppfig-validation-results">
        <w:r>
          <w:rPr>
            <w:rStyle w:val="Hyperlink"/>
          </w:rPr>
          <w:t xml:space="preserve">Figure S4</w:t>
        </w:r>
      </w:hyperlink>
      <w:r>
        <w:t xml:space="preserve"> </w:t>
      </w:r>
      <w:r>
        <w:t xml:space="preserve">shows concordance between age-specific hypertension stage prevalence in the simulation cohort and the observed PRIME registry estimates, with 95% confidence intervals.</w:t>
      </w:r>
    </w:p>
    <w:bookmarkStart w:id="119" w:name="suppfig-validation-results"/>
    <w:tbl>
      <w:tblPr>
        <w:tblStyle w:val="Table"/>
        <w:tblW w:type="pct" w:w="4900"/>
        <w:tblLayout w:type="fixed"/>
        <w:tblLook w:firstRow="0" w:lastRow="0" w:firstColumn="0" w:lastColumn="0" w:noHBand="0" w:noVBand="0" w:val="0000"/>
      </w:tblPr>
      <w:tblGrid>
        <w:gridCol w:w="2587"/>
        <w:gridCol w:w="2587"/>
        <w:gridCol w:w="2587"/>
      </w:tblGrid>
      <w:tr>
        <w:tc>
          <w:tcPr/>
          <w:tbl>
            <w:tblPr>
              <w:tblStyle w:val="Table"/>
              <w:tblW w:type="pct" w:w="4900"/>
              <w:tblLayout w:type="fixed"/>
              <w:tblLook w:firstRow="0" w:lastRow="0" w:firstColumn="0" w:lastColumn="0" w:noHBand="0" w:noVBand="0" w:val="0000"/>
            </w:tblPr>
            <w:tblGrid>
              <w:gridCol w:w="7761"/>
            </w:tblGrid>
            <w:tr>
              <w:tc>
                <w:tcPr/>
                <w:bookmarkStart w:id="105" w:name="fig-validation-normal"/>
                <w:p>
                  <w:pPr>
                    <w:pStyle w:val="Compact"/>
                    <w:jc w:val="center"/>
                    <w:jc w:val="left"/>
                  </w:pPr>
                  <w:bookmarkStart w:id="104" w:name="fig-validation-normal"/>
                  <w:r>
                    <w:drawing>
                      <wp:inline>
                        <wp:extent cx="1975104" cy="1264066"/>
                        <wp:effectExtent b="0" l="0" r="0" t="0"/>
                        <wp:docPr descr="" title="" id="102" name="Picture"/>
                        <a:graphic>
                          <a:graphicData uri="http://schemas.openxmlformats.org/drawingml/2006/picture">
                            <pic:pic>
                              <pic:nvPicPr>
                                <pic:cNvPr descr="figures/supplement/validation_Normal_trace.png" id="103" name="Picture"/>
                                <pic:cNvPicPr>
                                  <a:picLocks noChangeArrowheads="1" noChangeAspect="1"/>
                                </pic:cNvPicPr>
                              </pic:nvPicPr>
                              <pic:blipFill>
                                <a:blip r:embed="rId101"/>
                                <a:stretch>
                                  <a:fillRect/>
                                </a:stretch>
                              </pic:blipFill>
                              <pic:spPr bwMode="auto">
                                <a:xfrm>
                                  <a:off x="0" y="0"/>
                                  <a:ext cx="1975104" cy="1264066"/>
                                </a:xfrm>
                                <a:prstGeom prst="rect">
                                  <a:avLst/>
                                </a:prstGeom>
                                <a:noFill/>
                                <a:ln w="9525">
                                  <a:noFill/>
                                  <a:headEnd/>
                                  <a:tailEnd/>
                                </a:ln>
                              </pic:spPr>
                            </pic:pic>
                          </a:graphicData>
                        </a:graphic>
                      </wp:inline>
                    </w:drawing>
                  </w:r>
                  <w:bookmarkEnd w:id="104"/>
                </w:p>
                <w:p>
                  <w:pPr>
                    <w:jc w:val="center"/>
                    <w:jc w:val="left"/>
                  </w:pPr>
                  <w:pPr>
                    <w:jc w:val="left"/>
                    <w:spacing w:before="200"/>
                    <w:pStyle w:val="ImageCaption"/>
                  </w:pPr>
                  <w:r>
                    <w:t xml:space="preserve">(a)</w:t>
                  </w:r>
                </w:p>
                <w:bookmarkEnd w:id="105"/>
              </w:tc>
            </w:tr>
          </w:tbl>
          <w:p/>
        </w:tc>
        <w:tc>
          <w:tcPr/>
          <w:p>
            <w:pPr>
              <w:jc w:val="left"/>
            </w:pPr>
            <w:r>
              <w:t xml:space="preserve"> </w:t>
            </w:r>
          </w:p>
        </w:tc>
        <w:tc>
          <w:tcPr/>
          <w:tbl>
            <w:tblPr>
              <w:tblStyle w:val="Table"/>
              <w:tblW w:type="pct" w:w="4900"/>
              <w:tblLayout w:type="fixed"/>
              <w:tblLook w:firstRow="0" w:lastRow="0" w:firstColumn="0" w:lastColumn="0" w:noHBand="0" w:noVBand="0" w:val="0000"/>
            </w:tblPr>
            <w:tblGrid>
              <w:gridCol w:w="7761"/>
            </w:tblGrid>
            <w:tr>
              <w:tc>
                <w:tcPr/>
                <w:bookmarkStart w:id="110" w:name="fig-validation-elevated"/>
                <w:p>
                  <w:pPr>
                    <w:pStyle w:val="Compact"/>
                    <w:jc w:val="center"/>
                    <w:jc w:val="left"/>
                  </w:pPr>
                  <w:bookmarkStart w:id="109" w:name="fig-validation-elevated"/>
                  <w:r>
                    <w:drawing>
                      <wp:inline>
                        <wp:extent cx="1975104" cy="1264066"/>
                        <wp:effectExtent b="0" l="0" r="0" t="0"/>
                        <wp:docPr descr="" title="" id="107" name="Picture"/>
                        <a:graphic>
                          <a:graphicData uri="http://schemas.openxmlformats.org/drawingml/2006/picture">
                            <pic:pic>
                              <pic:nvPicPr>
                                <pic:cNvPr descr="figures/supplement/validation_Elevated_trace.png" id="108" name="Picture"/>
                                <pic:cNvPicPr>
                                  <a:picLocks noChangeArrowheads="1" noChangeAspect="1"/>
                                </pic:cNvPicPr>
                              </pic:nvPicPr>
                              <pic:blipFill>
                                <a:blip r:embed="rId106"/>
                                <a:stretch>
                                  <a:fillRect/>
                                </a:stretch>
                              </pic:blipFill>
                              <pic:spPr bwMode="auto">
                                <a:xfrm>
                                  <a:off x="0" y="0"/>
                                  <a:ext cx="1975104" cy="1264066"/>
                                </a:xfrm>
                                <a:prstGeom prst="rect">
                                  <a:avLst/>
                                </a:prstGeom>
                                <a:noFill/>
                                <a:ln w="9525">
                                  <a:noFill/>
                                  <a:headEnd/>
                                  <a:tailEnd/>
                                </a:ln>
                              </pic:spPr>
                            </pic:pic>
                          </a:graphicData>
                        </a:graphic>
                      </wp:inline>
                    </w:drawing>
                  </w:r>
                  <w:bookmarkEnd w:id="109"/>
                </w:p>
                <w:p>
                  <w:pPr>
                    <w:jc w:val="center"/>
                    <w:jc w:val="left"/>
                  </w:pPr>
                  <w:pPr>
                    <w:jc w:val="left"/>
                    <w:spacing w:before="200"/>
                    <w:pStyle w:val="ImageCaption"/>
                  </w:pPr>
                  <w:r>
                    <w:t xml:space="preserve">(b)</w:t>
                  </w:r>
                </w:p>
                <w:bookmarkEnd w:id="110"/>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2587"/>
        <w:gridCol w:w="2587"/>
        <w:gridCol w:w="2587"/>
      </w:tblGrid>
      <w:tr>
        <w:tc>
          <w:tcPr/>
          <w:p>
            <w:pPr>
              <w:jc w:val="left"/>
            </w:pPr>
            <w:r>
              <w:t xml:space="preserve"> </w:t>
            </w:r>
          </w:p>
        </w:tc>
        <w:tc>
          <w:tcPr/>
          <w:tbl>
            <w:tblPr>
              <w:tblStyle w:val="Table"/>
              <w:tblW w:type="pct" w:w="4900"/>
              <w:tblLayout w:type="fixed"/>
              <w:tblLook w:firstRow="0" w:lastRow="0" w:firstColumn="0" w:lastColumn="0" w:noHBand="0" w:noVBand="0" w:val="0000"/>
            </w:tblPr>
            <w:tblGrid>
              <w:gridCol w:w="7761"/>
            </w:tblGrid>
            <w:tr>
              <w:tc>
                <w:tcPr/>
                <w:bookmarkStart w:id="115" w:name="fig-validation-stage1"/>
                <w:p>
                  <w:pPr>
                    <w:pStyle w:val="Compact"/>
                    <w:jc w:val="center"/>
                    <w:jc w:val="left"/>
                  </w:pPr>
                  <w:bookmarkStart w:id="114" w:name="fig-validation-stage1"/>
                  <w:r>
                    <w:drawing>
                      <wp:inline>
                        <wp:extent cx="1975104" cy="1264066"/>
                        <wp:effectExtent b="0" l="0" r="0" t="0"/>
                        <wp:docPr descr="" title="" id="112" name="Picture"/>
                        <a:graphic>
                          <a:graphicData uri="http://schemas.openxmlformats.org/drawingml/2006/picture">
                            <pic:pic>
                              <pic:nvPicPr>
                                <pic:cNvPr descr="figures/supplement/validation_Stage%201_trace.png" id="113" name="Picture"/>
                                <pic:cNvPicPr>
                                  <a:picLocks noChangeArrowheads="1" noChangeAspect="1"/>
                                </pic:cNvPicPr>
                              </pic:nvPicPr>
                              <pic:blipFill>
                                <a:blip r:embed="rId111"/>
                                <a:stretch>
                                  <a:fillRect/>
                                </a:stretch>
                              </pic:blipFill>
                              <pic:spPr bwMode="auto">
                                <a:xfrm>
                                  <a:off x="0" y="0"/>
                                  <a:ext cx="1975104" cy="1264066"/>
                                </a:xfrm>
                                <a:prstGeom prst="rect">
                                  <a:avLst/>
                                </a:prstGeom>
                                <a:noFill/>
                                <a:ln w="9525">
                                  <a:noFill/>
                                  <a:headEnd/>
                                  <a:tailEnd/>
                                </a:ln>
                              </pic:spPr>
                            </pic:pic>
                          </a:graphicData>
                        </a:graphic>
                      </wp:inline>
                    </w:drawing>
                  </w:r>
                  <w:bookmarkEnd w:id="114"/>
                </w:p>
                <w:p>
                  <w:pPr>
                    <w:jc w:val="center"/>
                    <w:jc w:val="left"/>
                  </w:pPr>
                  <w:pPr>
                    <w:jc w:val="left"/>
                    <w:spacing w:before="200"/>
                    <w:pStyle w:val="ImageCaption"/>
                  </w:pPr>
                  <w:r>
                    <w:t xml:space="preserve">(c)</w:t>
                  </w:r>
                </w:p>
                <w:bookmarkEnd w:id="115"/>
              </w:tc>
            </w:tr>
          </w:tbl>
          <w:p/>
        </w:tc>
        <w:tc>
          <w:tcPr/>
          <w:p>
            <w:pPr>
              <w:jc w:val="center"/>
            </w:pPr>
            <w:r>
              <w:drawing>
                <wp:inline>
                  <wp:extent cx="1975104" cy="1264066"/>
                  <wp:effectExtent b="0" l="0" r="0" t="0"/>
                  <wp:docPr descr="" title="" id="117" name="Picture"/>
                  <a:graphic>
                    <a:graphicData uri="http://schemas.openxmlformats.org/drawingml/2006/picture">
                      <pic:pic>
                        <pic:nvPicPr>
                          <pic:cNvPr descr="figures/supplement/validation_Stage%202_trace.png" id="118" name="Picture"/>
                          <pic:cNvPicPr>
                            <a:picLocks noChangeArrowheads="1" noChangeAspect="1"/>
                          </pic:cNvPicPr>
                        </pic:nvPicPr>
                        <pic:blipFill>
                          <a:blip r:embed="rId116"/>
                          <a:stretch>
                            <a:fillRect/>
                          </a:stretch>
                        </pic:blipFill>
                        <pic:spPr bwMode="auto">
                          <a:xfrm>
                            <a:off x="0" y="0"/>
                            <a:ext cx="1975104" cy="1264066"/>
                          </a:xfrm>
                          <a:prstGeom prst="rect">
                            <a:avLst/>
                          </a:prstGeom>
                          <a:noFill/>
                          <a:ln w="9525">
                            <a:noFill/>
                            <a:headEnd/>
                            <a:tailEnd/>
                          </a:ln>
                        </pic:spPr>
                      </pic:pic>
                    </a:graphicData>
                  </a:graphic>
                </wp:inline>
              </w:drawing>
            </w:r>
          </w:p>
        </w:tc>
      </w:tr>
    </w:tbl>
    <w:p>
      <w:pPr>
        <w:pStyle w:val="BodyText"/>
      </w:pPr>
      <w:pPr>
        <w:spacing w:before="200"/>
        <w:pStyle w:val="ImageCaption"/>
      </w:pPr>
      <w:r>
        <w:t xml:space="preserve">Figure S4: Comparing the age-specific hypertension stage prevalence between the PRIME registry and simulation cohort: (a) Normal, (b) Elevated, (c) Stage 1, and (d) Stage 2</w:t>
      </w:r>
    </w:p>
    <w:bookmarkEnd w:id="119"/>
    <w:p>
      <w:pPr>
        <w:pStyle w:val="BodyText"/>
      </w:pPr>
      <w:r>
        <w:t xml:space="preserve">We also compared the lifetime incidence of hypertension from our simulation model with a previously published study, which estimated the lifetime risk of hypertension for Black women, Black men, white women, and white men</w:t>
      </w:r>
      <w:r>
        <w:rPr>
          <w:vertAlign w:val="superscript"/>
        </w:rPr>
        <w:t xml:space="preserve">55</w:t>
      </w:r>
      <w:r>
        <w:t xml:space="preserve">. Estimates and 95% confidence intervals from the published study are plotted with dots and vertical error bars. Our simulation model overestimated hypertension incidence among all groups, particularly among white women.</w:t>
      </w:r>
    </w:p>
    <w:tbl>
      <w:tblPr>
        <w:tblStyle w:val="Table"/>
        <w:tblW w:type="pct" w:w="5000"/>
        <w:tblLayout w:type="fixed"/>
        <w:tblLook w:firstRow="0" w:lastRow="0" w:firstColumn="0" w:lastColumn="0" w:noHBand="0" w:noVBand="0" w:val="0000"/>
      </w:tblPr>
      <w:tblGrid>
        <w:gridCol w:w="7920"/>
      </w:tblGrid>
      <w:tr>
        <w:tc>
          <w:tcPr/>
          <w:bookmarkStart w:id="123" w:name="suppfig-external-validation"/>
          <w:p>
            <w:pPr>
              <w:pStyle w:val="Compact"/>
              <w:jc w:val="center"/>
            </w:pPr>
            <w:r>
              <w:drawing>
                <wp:inline>
                  <wp:extent cx="5334000" cy="3536673"/>
                  <wp:effectExtent b="0" l="0" r="0" t="0"/>
                  <wp:docPr descr="" title="" id="121" name="Picture"/>
                  <a:graphic>
                    <a:graphicData uri="http://schemas.openxmlformats.org/drawingml/2006/picture">
                      <pic:pic>
                        <pic:nvPicPr>
                          <pic:cNvPr descr="figures/standard/hyp_inc_s1_s2_hetero_RA.png" id="122" name="Picture"/>
                          <pic:cNvPicPr>
                            <a:picLocks noChangeArrowheads="1" noChangeAspect="1"/>
                          </pic:cNvPicPr>
                        </pic:nvPicPr>
                        <pic:blipFill>
                          <a:blip r:embed="rId120"/>
                          <a:stretch>
                            <a:fillRect/>
                          </a:stretch>
                        </pic:blipFill>
                        <pic:spPr bwMode="auto">
                          <a:xfrm>
                            <a:off x="0" y="0"/>
                            <a:ext cx="5334000" cy="3536673"/>
                          </a:xfrm>
                          <a:prstGeom prst="rect">
                            <a:avLst/>
                          </a:prstGeom>
                          <a:noFill/>
                          <a:ln w="9525">
                            <a:noFill/>
                            <a:headEnd/>
                            <a:tailEnd/>
                          </a:ln>
                        </pic:spPr>
                      </pic:pic>
                    </a:graphicData>
                  </a:graphic>
                </wp:inline>
              </w:drawing>
            </w:r>
          </w:p>
          <w:p>
            <w:pPr>
              <w:jc w:val="center"/>
            </w:pPr>
            <w:pPr>
              <w:jc w:val="left"/>
              <w:spacing w:before="200"/>
              <w:pStyle w:val="ImageCaption"/>
            </w:pPr>
            <w:r>
              <w:t xml:space="preserve">Figure S5: Cumulative incidence of hypertension (defined as systolic blood pressure</w:t>
            </w:r>
            <w:r>
              <w:t xml:space="preserve"> </w:t>
            </w:r>
            <m:oMath>
              <m:r>
                <m:rPr>
                  <m:sty m:val="p"/>
                </m:rPr>
                <m:t>≥</m:t>
              </m:r>
            </m:oMath>
            <w:r>
              <w:t xml:space="preserve"> </w:t>
            </w:r>
            <w:r>
              <w:t xml:space="preserve">130 mm Hg or diastolic blood pressure</w:t>
            </w:r>
            <w:r>
              <w:t xml:space="preserve"> </w:t>
            </w:r>
            <m:oMath>
              <m:r>
                <m:rPr>
                  <m:sty m:val="p"/>
                </m:rPr>
                <m:t>≥</m:t>
              </m:r>
            </m:oMath>
            <w:r>
              <w:t xml:space="preserve"> </w:t>
            </w:r>
            <w:r>
              <w:t xml:space="preserve">80 mm Hg) from our simulation model (lines) and published study (dots)</w:t>
            </w:r>
          </w:p>
          <w:bookmarkEnd w:id="123"/>
        </w:tc>
      </w:tr>
    </w:tbl>
    <w:bookmarkEnd w:id="124"/>
    <w:bookmarkStart w:id="130" w:name="sec-secondary-analysis"/>
    <w:p>
      <w:pPr>
        <w:pStyle w:val="Heading3"/>
      </w:pPr>
      <w:r>
        <w:t xml:space="preserve">6.8 Secondary analysis with the social factors framework</w:t>
      </w:r>
    </w:p>
    <w:p>
      <w:pPr>
        <w:pStyle w:val="FirstParagraph"/>
      </w:pPr>
      <w:r>
        <w:t xml:space="preserve">Using a previously developed social factors framework,</w:t>
      </w:r>
      <w:r>
        <w:rPr>
          <w:vertAlign w:val="superscript"/>
        </w:rPr>
        <w:t xml:space="preserve">30</w:t>
      </w:r>
      <w:r>
        <w:t xml:space="preserve"> </w:t>
      </w:r>
      <w:r>
        <w:t xml:space="preserve">we modeled the impact of two social factors: health insurance status and census tract-level SDI, as demonstrated in the model diagram (</w:t>
      </w:r>
      <w:hyperlink w:anchor="suppfig-model-diagram">
        <w:r>
          <w:rPr>
            <w:rStyle w:val="Hyperlink"/>
          </w:rPr>
          <w:t xml:space="preserve">Figure S6</w:t>
        </w:r>
      </w:hyperlink>
      <w:r>
        <w:t xml:space="preserve">) and model transition probabilities (</w:t>
      </w:r>
      <w:hyperlink w:anchor="supptbl-base-case-sff">
        <w:r>
          <w:rPr>
            <w:rStyle w:val="Hyperlink"/>
          </w:rPr>
          <w:t xml:space="preserve">Table S9</w:t>
        </w:r>
      </w:hyperlink>
      <w:r>
        <w:t xml:space="preserve">). Sections</w:t>
      </w:r>
      <w:r>
        <w:t xml:space="preserve"> </w:t>
      </w:r>
      <w:hyperlink w:anchor="sec-sdi-assignment">
        <w:r>
          <w:rPr>
            <w:rStyle w:val="Hyperlink"/>
          </w:rPr>
          <w:t xml:space="preserve">Section 6.9</w:t>
        </w:r>
      </w:hyperlink>
      <w:r>
        <w:t xml:space="preserve">,</w:t>
      </w:r>
      <w:r>
        <w:t xml:space="preserve"> </w:t>
      </w:r>
      <w:hyperlink w:anchor="sec-mortality-insurance">
        <w:r>
          <w:rPr>
            <w:rStyle w:val="Hyperlink"/>
          </w:rPr>
          <w:t xml:space="preserve">Section 6.10</w:t>
        </w:r>
      </w:hyperlink>
      <w:r>
        <w:t xml:space="preserve">,</w:t>
      </w:r>
      <w:r>
        <w:t xml:space="preserve"> </w:t>
      </w:r>
      <w:hyperlink w:anchor="sec-transition-in-system">
        <w:r>
          <w:rPr>
            <w:rStyle w:val="Hyperlink"/>
          </w:rPr>
          <w:t xml:space="preserve">Section 6.11</w:t>
        </w:r>
      </w:hyperlink>
      <w:r>
        <w:t xml:space="preserve">, and</w:t>
      </w:r>
      <w:r>
        <w:t xml:space="preserve"> </w:t>
      </w:r>
      <w:hyperlink w:anchor="sec-out-of-system-BP">
        <w:r>
          <w:rPr>
            <w:rStyle w:val="Hyperlink"/>
          </w:rPr>
          <w:t xml:space="preserve">Section 6.12</w:t>
        </w:r>
      </w:hyperlink>
      <w:r>
        <w:t xml:space="preserve"> </w:t>
      </w:r>
      <w:r>
        <w:t xml:space="preserve">describe additional changes to the model for our secondary analysis with the social factors framework.</w:t>
      </w:r>
    </w:p>
    <w:tbl>
      <w:tblPr>
        <w:tblStyle w:val="Table"/>
        <w:tblW w:type="pct" w:w="5000"/>
        <w:tblLayout w:type="fixed"/>
        <w:tblLook w:firstRow="0" w:lastRow="0" w:firstColumn="0" w:lastColumn="0" w:noHBand="0" w:noVBand="0" w:val="0000"/>
      </w:tblPr>
      <w:tblGrid>
        <w:gridCol w:w="7920"/>
      </w:tblGrid>
      <w:tr>
        <w:tc>
          <w:tcPr/>
          <w:bookmarkStart w:id="128" w:name="suppfig-model-diagram"/>
          <w:p>
            <w:pPr>
              <w:pStyle w:val="Compact"/>
              <w:jc w:val="center"/>
            </w:pPr>
            <w:r>
              <w:drawing>
                <wp:inline>
                  <wp:extent cx="5334000" cy="3831213"/>
                  <wp:effectExtent b="0" l="0" r="0" t="0"/>
                  <wp:docPr descr="" title="" id="126" name="Picture"/>
                  <a:graphic>
                    <a:graphicData uri="http://schemas.openxmlformats.org/drawingml/2006/picture">
                      <pic:pic>
                        <pic:nvPicPr>
                          <pic:cNvPr descr="figures/model_diagram_social_factors.png" id="127" name="Picture"/>
                          <pic:cNvPicPr>
                            <a:picLocks noChangeArrowheads="1" noChangeAspect="1"/>
                          </pic:cNvPicPr>
                        </pic:nvPicPr>
                        <pic:blipFill>
                          <a:blip r:embed="rId125"/>
                          <a:stretch>
                            <a:fillRect/>
                          </a:stretch>
                        </pic:blipFill>
                        <pic:spPr bwMode="auto">
                          <a:xfrm>
                            <a:off x="0" y="0"/>
                            <a:ext cx="5334000" cy="3831213"/>
                          </a:xfrm>
                          <a:prstGeom prst="rect">
                            <a:avLst/>
                          </a:prstGeom>
                          <a:noFill/>
                          <a:ln w="9525">
                            <a:noFill/>
                            <a:headEnd/>
                            <a:tailEnd/>
                          </a:ln>
                        </pic:spPr>
                      </pic:pic>
                    </a:graphicData>
                  </a:graphic>
                </wp:inline>
              </w:drawing>
            </w:r>
          </w:p>
          <w:p>
            <w:pPr>
              <w:jc w:val="center"/>
            </w:pPr>
            <w:pPr>
              <w:jc w:val="left"/>
              <w:spacing w:before="200"/>
              <w:pStyle w:val="ImageCaption"/>
            </w:pPr>
            <w:r>
              <w:t xml:space="preserve">Figure S6: Model diagram of state-transition microsimulation model with social factors framework</w:t>
            </w:r>
          </w:p>
          <w:bookmarkEnd w:id="12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29" w:name="supptbl-base-case-sff"/>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Parameter</w:t>
                  </w:r>
                </w:p>
              </w:tc>
              <w:tc>
                <w:tcPr/>
                <w:p>
                  <w:pPr>
                    <w:pStyle w:val="Compact"/>
                    <w:jc w:val="center"/>
                  </w:pPr>
                  <w:r>
                    <w:t xml:space="preserve">Dependencies</w:t>
                  </w:r>
                </w:p>
              </w:tc>
              <w:tc>
                <w:tcPr/>
                <w:p>
                  <w:pPr>
                    <w:pStyle w:val="Compact"/>
                    <w:jc w:val="center"/>
                  </w:pPr>
                  <w:r>
                    <w:t xml:space="preserve">Data</w:t>
                  </w:r>
                </w:p>
              </w:tc>
            </w:tr>
            <w:tr>
              <w:tc>
                <w:tcPr/>
                <w:p>
                  <w:pPr>
                    <w:pStyle w:val="Compact"/>
                    <w:jc w:val="center"/>
                  </w:pPr>
                  <w:r>
                    <w:t xml:space="preserve">Simulation cohort</w:t>
                  </w:r>
                </w:p>
              </w:tc>
              <w:tc>
                <w:tcPr/>
                <w:p>
                  <w:pPr>
                    <w:pStyle w:val="Compact"/>
                    <w:jc w:val="center"/>
                  </w:pPr>
                  <w:r>
                    <w:t xml:space="preserve">Age, sex, race/ethnicity, place for routine healthcare, insurance status, systolic and diastolic blood pressure values</w:t>
                  </w:r>
                </w:p>
              </w:tc>
              <w:tc>
                <w:tcPr/>
                <w:p>
                  <w:pPr>
                    <w:pStyle w:val="Compact"/>
                    <w:jc w:val="center"/>
                  </w:pPr>
                  <w:r>
                    <w:t xml:space="preserve">NHANES</w:t>
                  </w:r>
                  <w:r>
                    <w:rPr>
                      <w:vertAlign w:val="superscript"/>
                    </w:rPr>
                    <w:t xml:space="preserve">22</w:t>
                  </w:r>
                </w:p>
              </w:tc>
            </w:tr>
            <w:tr>
              <w:tc>
                <w:tcPr/>
                <w:p>
                  <w:pPr>
                    <w:pStyle w:val="Compact"/>
                    <w:jc w:val="center"/>
                  </w:pPr>
                  <w:r>
                    <w:rPr>
                      <w:i/>
                      <w:iCs/>
                    </w:rPr>
                    <w:t xml:space="preserve">Disease natural history parameters</w:t>
                  </w:r>
                </w:p>
              </w:tc>
              <w:tc>
                <w:tcPr/>
                <w:p>
                  <w:pPr>
                    <w:pStyle w:val="Compact"/>
                  </w:pPr>
                </w:p>
              </w:tc>
              <w:tc>
                <w:tcPr/>
                <w:p>
                  <w:pPr>
                    <w:pStyle w:val="Compact"/>
                  </w:pPr>
                </w:p>
              </w:tc>
            </w:tr>
            <w:tr>
              <w:tc>
                <w:tcPr/>
                <w:p>
                  <w:pPr>
                    <w:pStyle w:val="Compact"/>
                    <w:jc w:val="center"/>
                  </w:pPr>
                  <w:r>
                    <w:t xml:space="preserve">Systolic blood pressure values</w:t>
                  </w:r>
                </w:p>
              </w:tc>
              <w:tc>
                <w:tcPr/>
                <w:p>
                  <w:pPr>
                    <w:pStyle w:val="Compact"/>
                    <w:jc w:val="center"/>
                  </w:pPr>
                  <w:r>
                    <w:t xml:space="preserve">Age, sex, SDI</w:t>
                  </w:r>
                </w:p>
              </w:tc>
              <w:tc>
                <w:tcPr/>
                <w:p>
                  <w:pPr>
                    <w:pStyle w:val="Compact"/>
                    <w:jc w:val="center"/>
                  </w:pPr>
                  <w:r>
                    <w:t xml:space="preserve">PRIME</w:t>
                  </w:r>
                  <w:r>
                    <w:rPr>
                      <w:vertAlign w:val="superscript"/>
                    </w:rPr>
                    <w:t xml:space="preserve">23,24</w:t>
                  </w:r>
                </w:p>
              </w:tc>
            </w:tr>
            <w:tr>
              <w:tc>
                <w:tcPr/>
                <w:p>
                  <w:pPr>
                    <w:pStyle w:val="Compact"/>
                    <w:jc w:val="center"/>
                  </w:pPr>
                  <w:r>
                    <w:t xml:space="preserve">Diastolic blood pressure values</w:t>
                  </w:r>
                </w:p>
              </w:tc>
              <w:tc>
                <w:tcPr/>
                <w:p>
                  <w:pPr>
                    <w:pStyle w:val="Compact"/>
                    <w:jc w:val="center"/>
                  </w:pPr>
                  <w:r>
                    <w:t xml:space="preserve">Age, sex, SDI</w:t>
                  </w:r>
                </w:p>
              </w:tc>
              <w:tc>
                <w:tcPr/>
                <w:p>
                  <w:pPr>
                    <w:pStyle w:val="Compact"/>
                    <w:jc w:val="center"/>
                  </w:pPr>
                  <w:r>
                    <w:t xml:space="preserve">PRIME</w:t>
                  </w:r>
                  <w:r>
                    <w:rPr>
                      <w:vertAlign w:val="superscript"/>
                    </w:rPr>
                    <w:t xml:space="preserve">23,24</w:t>
                  </w:r>
                </w:p>
              </w:tc>
            </w:tr>
            <w:tr>
              <w:tc>
                <w:tcPr/>
                <w:p>
                  <w:pPr>
                    <w:pStyle w:val="Compact"/>
                    <w:jc w:val="center"/>
                  </w:pPr>
                  <w:r>
                    <w:t xml:space="preserve">Systolic and diastolic blood pressure increases</w:t>
                  </w:r>
                </w:p>
              </w:tc>
              <w:tc>
                <w:tcPr/>
                <w:p>
                  <w:pPr>
                    <w:pStyle w:val="Compact"/>
                    <w:jc w:val="center"/>
                  </w:pPr>
                  <w:r>
                    <w:t xml:space="preserve">Health system status (out of health system)</w:t>
                  </w:r>
                </w:p>
              </w:tc>
              <w:tc>
                <w:tcPr/>
                <w:p>
                  <w:pPr>
                    <w:pStyle w:val="Compact"/>
                    <w:jc w:val="center"/>
                  </w:pPr>
                  <w:r>
                    <w:t xml:space="preserve">NHANES</w:t>
                  </w:r>
                  <w:r>
                    <w:rPr>
                      <w:vertAlign w:val="superscript"/>
                    </w:rPr>
                    <w:t xml:space="preserve">22</w:t>
                  </w:r>
                </w:p>
              </w:tc>
            </w:tr>
            <w:tr>
              <w:tc>
                <w:tcPr/>
                <w:p>
                  <w:pPr>
                    <w:pStyle w:val="Compact"/>
                    <w:jc w:val="center"/>
                  </w:pPr>
                  <w:r>
                    <w:t xml:space="preserve">Hypertension mortality risk (hazard ratio)</w:t>
                  </w:r>
                </w:p>
              </w:tc>
              <w:tc>
                <w:tcPr/>
                <w:p>
                  <w:pPr>
                    <w:pStyle w:val="Compact"/>
                    <w:jc w:val="center"/>
                  </w:pPr>
                  <w:r>
                    <w:t xml:space="preserve">Systolic and diastolic blood pressure values</w:t>
                  </w:r>
                </w:p>
              </w:tc>
              <w:tc>
                <w:tcPr/>
                <w:p>
                  <w:pPr>
                    <w:pStyle w:val="Compact"/>
                    <w:jc w:val="center"/>
                  </w:pPr>
                  <w:r>
                    <w:t xml:space="preserve">Hansen et al.</w:t>
                  </w:r>
                  <w:r>
                    <w:rPr>
                      <w:vertAlign w:val="superscript"/>
                    </w:rPr>
                    <w:t xml:space="preserve">27</w:t>
                  </w:r>
                </w:p>
              </w:tc>
            </w:tr>
            <w:tr>
              <w:tc>
                <w:tcPr/>
                <w:p>
                  <w:pPr>
                    <w:pStyle w:val="Compact"/>
                    <w:jc w:val="center"/>
                  </w:pPr>
                  <w:r>
                    <w:t xml:space="preserve">Baseline mortality rates</w:t>
                  </w:r>
                </w:p>
              </w:tc>
              <w:tc>
                <w:tcPr/>
                <w:p>
                  <w:pPr>
                    <w:pStyle w:val="Compact"/>
                    <w:jc w:val="center"/>
                  </w:pPr>
                  <w:r>
                    <w:t xml:space="preserve">Age, sex, race/ethnicity</w:t>
                  </w:r>
                </w:p>
              </w:tc>
              <w:tc>
                <w:tcPr/>
                <w:p>
                  <w:pPr>
                    <w:pStyle w:val="Compact"/>
                    <w:jc w:val="center"/>
                  </w:pPr>
                  <w:r>
                    <w:t xml:space="preserve">2021 U.S. life tables</w:t>
                  </w:r>
                  <w:r>
                    <w:rPr>
                      <w:vertAlign w:val="superscript"/>
                    </w:rPr>
                    <w:t xml:space="preserve">25</w:t>
                  </w:r>
                </w:p>
              </w:tc>
            </w:tr>
            <w:tr>
              <w:tc>
                <w:tcPr/>
                <w:p>
                  <w:pPr>
                    <w:pStyle w:val="Compact"/>
                    <w:jc w:val="center"/>
                  </w:pPr>
                  <w:r>
                    <w:t xml:space="preserve">Increased mortality risk from being uninsured (hazard ratio)</w:t>
                  </w:r>
                </w:p>
              </w:tc>
              <w:tc>
                <w:tcPr/>
                <w:p>
                  <w:pPr>
                    <w:pStyle w:val="Compact"/>
                  </w:pPr>
                </w:p>
              </w:tc>
              <w:tc>
                <w:tcPr/>
                <w:p>
                  <w:pPr>
                    <w:pStyle w:val="Compact"/>
                    <w:jc w:val="center"/>
                  </w:pPr>
                  <w:r>
                    <w:t xml:space="preserve">Wilper et al.</w:t>
                  </w:r>
                  <w:r>
                    <w:rPr>
                      <w:vertAlign w:val="superscript"/>
                    </w:rPr>
                    <w:t xml:space="preserve">32</w:t>
                  </w:r>
                </w:p>
              </w:tc>
            </w:tr>
            <w:tr>
              <w:tc>
                <w:tcPr/>
                <w:p>
                  <w:pPr>
                    <w:pStyle w:val="Compact"/>
                    <w:jc w:val="center"/>
                  </w:pPr>
                  <w:r>
                    <w:rPr>
                      <w:i/>
                      <w:iCs/>
                    </w:rPr>
                    <w:t xml:space="preserve">Health system utilization parameters</w:t>
                  </w:r>
                </w:p>
              </w:tc>
              <w:tc>
                <w:tcPr/>
                <w:p>
                  <w:pPr>
                    <w:pStyle w:val="Compact"/>
                  </w:pPr>
                </w:p>
              </w:tc>
              <w:tc>
                <w:tcPr/>
                <w:p>
                  <w:pPr>
                    <w:pStyle w:val="Compact"/>
                  </w:pPr>
                </w:p>
              </w:tc>
            </w:tr>
            <w:tr>
              <w:tc>
                <w:tcPr/>
                <w:p>
                  <w:pPr>
                    <w:pStyle w:val="Compact"/>
                    <w:jc w:val="center"/>
                  </w:pPr>
                  <w:r>
                    <w:t xml:space="preserve">Transition to in health system</w:t>
                  </w:r>
                </w:p>
              </w:tc>
              <w:tc>
                <w:tcPr/>
                <w:p>
                  <w:pPr>
                    <w:pStyle w:val="Compact"/>
                    <w:jc w:val="center"/>
                  </w:pPr>
                  <w:r>
                    <w:t xml:space="preserve">Insurance status</w:t>
                  </w:r>
                </w:p>
              </w:tc>
              <w:tc>
                <w:tcPr/>
                <w:p>
                  <w:pPr>
                    <w:pStyle w:val="Compact"/>
                    <w:jc w:val="center"/>
                  </w:pPr>
                  <w:r>
                    <w:t xml:space="preserve">NHANES</w:t>
                  </w:r>
                  <w:r>
                    <w:rPr>
                      <w:vertAlign w:val="superscript"/>
                    </w:rPr>
                    <w:t xml:space="preserve">22</w:t>
                  </w:r>
                </w:p>
              </w:tc>
            </w:tr>
            <w:tr>
              <w:tc>
                <w:tcPr/>
                <w:p>
                  <w:pPr>
                    <w:pStyle w:val="Compact"/>
                    <w:jc w:val="center"/>
                  </w:pPr>
                  <w:r>
                    <w:t xml:space="preserve">Transition to detected/treated</w:t>
                  </w:r>
                </w:p>
              </w:tc>
              <w:tc>
                <w:tcPr/>
                <w:p>
                  <w:pPr>
                    <w:pStyle w:val="Compact"/>
                    <w:jc w:val="center"/>
                  </w:pPr>
                  <w:r>
                    <w:t xml:space="preserve">Age, sex, SDI, systolic and diastolic blood pressure values</w:t>
                  </w:r>
                </w:p>
              </w:tc>
              <w:tc>
                <w:tcPr/>
                <w:p>
                  <w:pPr>
                    <w:pStyle w:val="Compact"/>
                    <w:jc w:val="center"/>
                  </w:pPr>
                  <w:r>
                    <w:t xml:space="preserve">PRIME</w:t>
                  </w:r>
                  <w:r>
                    <w:rPr>
                      <w:vertAlign w:val="superscript"/>
                    </w:rPr>
                    <w:t xml:space="preserve">23,24</w:t>
                  </w:r>
                </w:p>
              </w:tc>
            </w:tr>
            <w:tr>
              <w:tc>
                <w:tcPr/>
                <w:p>
                  <w:pPr>
                    <w:pStyle w:val="Compact"/>
                    <w:jc w:val="center"/>
                  </w:pPr>
                  <w:r>
                    <w:t xml:space="preserve">Transition to discontinued treatment</w:t>
                  </w:r>
                </w:p>
              </w:tc>
              <w:tc>
                <w:tcPr/>
                <w:p>
                  <w:pPr>
                    <w:pStyle w:val="Compact"/>
                    <w:jc w:val="center"/>
                  </w:pPr>
                  <w:r>
                    <w:t xml:space="preserve">Insurance status, type of antihypertensive therapy</w:t>
                  </w:r>
                </w:p>
              </w:tc>
              <w:tc>
                <w:tcPr/>
                <w:p>
                  <w:pPr>
                    <w:pStyle w:val="Compact"/>
                    <w:jc w:val="center"/>
                  </w:pPr>
                  <w:r>
                    <w:t xml:space="preserve">ALLHAT</w:t>
                  </w:r>
                  <w:r>
                    <w:rPr>
                      <w:vertAlign w:val="superscript"/>
                    </w:rPr>
                    <w:t xml:space="preserve">28</w:t>
                  </w:r>
                </w:p>
              </w:tc>
            </w:tr>
            <w:tr>
              <w:tc>
                <w:tcPr/>
                <w:p>
                  <w:pPr>
                    <w:pStyle w:val="Compact"/>
                    <w:jc w:val="center"/>
                  </w:pPr>
                  <w:r>
                    <w:rPr>
                      <w:i/>
                      <w:iCs/>
                    </w:rPr>
                    <w:t xml:space="preserve">Antihypertensive treatment parameters</w:t>
                  </w:r>
                </w:p>
              </w:tc>
              <w:tc>
                <w:tcPr/>
                <w:p>
                  <w:pPr>
                    <w:pStyle w:val="Compact"/>
                  </w:pPr>
                </w:p>
              </w:tc>
              <w:tc>
                <w:tcPr/>
                <w:p>
                  <w:pPr>
                    <w:pStyle w:val="Compact"/>
                  </w:pPr>
                </w:p>
              </w:tc>
            </w:tr>
            <w:tr>
              <w:tc>
                <w:tcPr/>
                <w:p>
                  <w:pPr>
                    <w:pStyle w:val="Compact"/>
                    <w:jc w:val="center"/>
                  </w:pPr>
                  <w:r>
                    <w:t xml:space="preserve">Antihypertensive monotherapy utilization</w:t>
                  </w:r>
                </w:p>
              </w:tc>
              <w:tc>
                <w:tcPr/>
                <w:p>
                  <w:pPr>
                    <w:pStyle w:val="Compact"/>
                    <w:jc w:val="center"/>
                  </w:pPr>
                  <w:r>
                    <w:t xml:space="preserve">Race/ethnicity (when using treatment guidelines that vary by race/ethnicity)</w:t>
                  </w:r>
                </w:p>
              </w:tc>
              <w:tc>
                <w:tcPr/>
                <w:p>
                  <w:pPr>
                    <w:pStyle w:val="Compact"/>
                    <w:jc w:val="center"/>
                  </w:pPr>
                  <w:r>
                    <w:t xml:space="preserve">Holt et al.</w:t>
                  </w:r>
                  <w:r>
                    <w:rPr>
                      <w:vertAlign w:val="superscript"/>
                    </w:rPr>
                    <w:t xml:space="preserve">29</w:t>
                  </w:r>
                </w:p>
              </w:tc>
            </w:tr>
            <w:tr>
              <w:tc>
                <w:tcPr/>
                <w:p>
                  <w:pPr>
                    <w:pStyle w:val="Compact"/>
                    <w:jc w:val="center"/>
                  </w:pPr>
                  <w:r>
                    <w:t xml:space="preserve">Antihypertensive treatment blood pressure reductions</w:t>
                  </w:r>
                </w:p>
              </w:tc>
              <w:tc>
                <w:tcPr/>
                <w:p>
                  <w:pPr>
                    <w:pStyle w:val="Compact"/>
                    <w:jc w:val="center"/>
                  </w:pPr>
                  <w:r>
                    <w:t xml:space="preserve">Race/ethnicity (if heterogeneous effects are assumed), type of antihypertensive treatment</w:t>
                  </w:r>
                </w:p>
              </w:tc>
              <w:tc>
                <w:tcPr/>
                <w:p>
                  <w:pPr>
                    <w:pStyle w:val="Compact"/>
                    <w:jc w:val="center"/>
                  </w:pPr>
                  <w:r>
                    <w:t xml:space="preserve">ALLHAT</w:t>
                  </w:r>
                  <w:r>
                    <w:rPr>
                      <w:vertAlign w:val="superscript"/>
                    </w:rPr>
                    <w:t xml:space="preserve">28</w:t>
                  </w:r>
                </w:p>
              </w:tc>
            </w:tr>
          </w:tbl>
          <w:p>
            <w:pPr>
              <w:jc w:val="center"/>
            </w:pPr>
            <w:pPr>
              <w:jc w:val="left"/>
              <w:spacing w:before="200"/>
              <w:pStyle w:val="ImageCaption"/>
            </w:pPr>
            <w:r>
              <w:t xml:space="preserve">Table S9: Model parameter dependencies and data sources for secondary analysis (NHANES: National Health and Nutrition Examination Survey; SDI: social deprivation index, ALLHAT: Antihypertensive and Lipid-Lowering Treatment to Prevent Heart Attack Trial)</w:t>
            </w:r>
          </w:p>
          <w:bookmarkEnd w:id="129"/>
        </w:tc>
      </w:tr>
    </w:tbl>
    <w:bookmarkEnd w:id="130"/>
    <w:bookmarkStart w:id="142" w:name="sec-sdi-assignment"/>
    <w:p>
      <w:pPr>
        <w:pStyle w:val="Heading3"/>
      </w:pPr>
      <w:r>
        <w:t xml:space="preserve">6.9 Census tract-level social deprivation index assignment</w:t>
      </w:r>
    </w:p>
    <w:p>
      <w:pPr>
        <w:pStyle w:val="FirstParagraph"/>
      </w:pPr>
      <w:r>
        <w:t xml:space="preserve">Our simulation analysis required census tract-level SDI to predict model transition probabilities. However, the publicly available NHANES data used to create our simulation cohort did not include geocoded census tract information. To assign census tract-level SDI values to individuals in our cohort, we applied a Bayesian approach based on individual-level characteristics from NHANES. Individuals with a characteristic (e.g., being unemployed) were more likely to be assigned to a census tract with a higher percentage of individuals unemployed and younger than 65 years of age. The SDI metric comprises several area-level measures, including the percentages of individuals living in poverty, having less than 12 years of education, living in a single-parent household, residing in rented housing units, living in overcrowded housing units, lacking access to a car, and being unemployed and younger than 65 years of age.</w:t>
      </w:r>
      <w:r>
        <w:rPr>
          <w:vertAlign w:val="superscript"/>
        </w:rPr>
        <w:t xml:space="preserve">31</w:t>
      </w:r>
      <w:r>
        <w:t xml:space="preserve"> </w:t>
      </w:r>
      <w:r>
        <w:t xml:space="preserve">NHANES provided individual-level data for all SDI components with the exception of car ownership.</w:t>
      </w:r>
    </w:p>
    <w:p>
      <w:pPr>
        <w:pStyle w:val="BodyText"/>
      </w:pPr>
      <w:r>
        <w:t xml:space="preserve">We obtained 2023 SDI data on 83,612 census tracts, which included population counts and the estimated fraction of individuals with each SDI component in the census tract. Using census tract population prevalence as the prior probability, we calculated each individual’s posterior probability of belonging to each census tract based on SDI-related characteristics observed in NHANES. Using these posterior probabilities, we sampled ten census tracts and assigned the average SDI value from the sampled census tracts as the individual’s census tract-level SDI value. Averaging across multiple census tracts reduced the influence of any single extreme census tract-level SDI value.</w:t>
      </w:r>
    </w:p>
    <w:p>
      <w:pPr>
        <w:pStyle w:val="BodyText"/>
      </w:pPr>
      <w:r>
        <w:t xml:space="preserve">In our simulation cohort, assigned census tract-level SDI values were on average 16.3 with a standard deviation of 6.0. Among those with insurance coverage, average assigned census tract-level SDI values were lower (15.9 [5.7]) compared to those without insurance coverage (18.4 [6.7]).</w:t>
      </w:r>
    </w:p>
    <w:p>
      <w:pPr>
        <w:pStyle w:val="BodyText"/>
      </w:pPr>
      <w:r>
        <w:t xml:space="preserve">To ensure comparability with data from the PRIME registry, we validated our assigned census tract-level SDI values by comparing them to census tract-level SDI values of a randomly selected subset of 10,000 40-year-old individuals from the PRIME registry (5,000 non-Hispanic Black and 5,000 non-Hispanic white patients). Average census tract-level SDI was 16.1 with a standard deviation of 8.9 in the PRIME registry.</w:t>
      </w:r>
      <w:r>
        <w:t xml:space="preserve"> </w:t>
      </w:r>
      <w:hyperlink w:anchor="suppfig-sdi-comparison">
        <w:r>
          <w:rPr>
            <w:rStyle w:val="Hyperlink"/>
          </w:rPr>
          <w:t xml:space="preserve">Figure S7</w:t>
        </w:r>
      </w:hyperlink>
      <w:r>
        <w:t xml:space="preserve"> </w:t>
      </w:r>
      <w:r>
        <w:t xml:space="preserve">shows histograms of census tract-level SDI values for our main simulation cohort and the randomly sampled subset from the PRIME registry. While census tract-level SDI values can vary over time, we assumed a single census tract-level SDI value per individual over their lifetime. The PRIME registry only has a single census tract-level SDI per individual and does not include historical census-tract data.</w:t>
      </w:r>
    </w:p>
    <w:bookmarkStart w:id="141" w:name="suppfig-sdi-comparison"/>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135" w:name="fig-sdi-cohort"/>
                <w:p>
                  <w:pPr>
                    <w:pStyle w:val="Compact"/>
                    <w:jc w:val="center"/>
                    <w:jc w:val="left"/>
                  </w:pPr>
                  <w:bookmarkStart w:id="134" w:name="fig-sdi-cohort"/>
                  <w:r>
                    <w:drawing>
                      <wp:inline>
                        <wp:extent cx="2971800" cy="2293767"/>
                        <wp:effectExtent b="0" l="0" r="0" t="0"/>
                        <wp:docPr descr="" title="" id="132" name="Picture"/>
                        <a:graphic>
                          <a:graphicData uri="http://schemas.openxmlformats.org/drawingml/2006/picture">
                            <pic:pic>
                              <pic:nvPicPr>
                                <pic:cNvPr descr="figures/supplement/SDI_histogram_cohort.png" id="133" name="Picture"/>
                                <pic:cNvPicPr>
                                  <a:picLocks noChangeArrowheads="1" noChangeAspect="1"/>
                                </pic:cNvPicPr>
                              </pic:nvPicPr>
                              <pic:blipFill>
                                <a:blip r:embed="rId131"/>
                                <a:stretch>
                                  <a:fillRect/>
                                </a:stretch>
                              </pic:blipFill>
                              <pic:spPr bwMode="auto">
                                <a:xfrm>
                                  <a:off x="0" y="0"/>
                                  <a:ext cx="2971800" cy="2293767"/>
                                </a:xfrm>
                                <a:prstGeom prst="rect">
                                  <a:avLst/>
                                </a:prstGeom>
                                <a:noFill/>
                                <a:ln w="9525">
                                  <a:noFill/>
                                  <a:headEnd/>
                                  <a:tailEnd/>
                                </a:ln>
                              </pic:spPr>
                            </pic:pic>
                          </a:graphicData>
                        </a:graphic>
                      </wp:inline>
                    </w:drawing>
                  </w:r>
                  <w:bookmarkEnd w:id="134"/>
                </w:p>
                <w:p>
                  <w:pPr>
                    <w:jc w:val="center"/>
                    <w:jc w:val="left"/>
                  </w:pPr>
                  <w:pPr>
                    <w:jc w:val="left"/>
                    <w:spacing w:before="200"/>
                    <w:pStyle w:val="ImageCaption"/>
                  </w:pPr>
                  <w:r>
                    <w:t xml:space="preserve">(a)</w:t>
                  </w:r>
                </w:p>
                <w:bookmarkEnd w:id="135"/>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140" w:name="fig-sdi-afc"/>
                <w:p>
                  <w:pPr>
                    <w:pStyle w:val="Compact"/>
                    <w:jc w:val="center"/>
                    <w:jc w:val="left"/>
                  </w:pPr>
                  <w:bookmarkStart w:id="139" w:name="fig-sdi-afc"/>
                  <w:r>
                    <w:drawing>
                      <wp:inline>
                        <wp:extent cx="2971800" cy="2335885"/>
                        <wp:effectExtent b="0" l="0" r="0" t="0"/>
                        <wp:docPr descr="" title="" id="137" name="Picture"/>
                        <a:graphic>
                          <a:graphicData uri="http://schemas.openxmlformats.org/drawingml/2006/picture">
                            <pic:pic>
                              <pic:nvPicPr>
                                <pic:cNvPr descr="figures/supplement/SDI_histogram_afc.png" id="138" name="Picture"/>
                                <pic:cNvPicPr>
                                  <a:picLocks noChangeArrowheads="1" noChangeAspect="1"/>
                                </pic:cNvPicPr>
                              </pic:nvPicPr>
                              <pic:blipFill>
                                <a:blip r:embed="rId136"/>
                                <a:stretch>
                                  <a:fillRect/>
                                </a:stretch>
                              </pic:blipFill>
                              <pic:spPr bwMode="auto">
                                <a:xfrm>
                                  <a:off x="0" y="0"/>
                                  <a:ext cx="2971800" cy="2335885"/>
                                </a:xfrm>
                                <a:prstGeom prst="rect">
                                  <a:avLst/>
                                </a:prstGeom>
                                <a:noFill/>
                                <a:ln w="9525">
                                  <a:noFill/>
                                  <a:headEnd/>
                                  <a:tailEnd/>
                                </a:ln>
                              </pic:spPr>
                            </pic:pic>
                          </a:graphicData>
                        </a:graphic>
                      </wp:inline>
                    </w:drawing>
                  </w:r>
                  <w:bookmarkEnd w:id="139"/>
                </w:p>
                <w:p>
                  <w:pPr>
                    <w:jc w:val="center"/>
                    <w:jc w:val="left"/>
                  </w:pPr>
                  <w:pPr>
                    <w:jc w:val="left"/>
                    <w:spacing w:before="200"/>
                    <w:pStyle w:val="ImageCaption"/>
                  </w:pPr>
                  <w:r>
                    <w:t xml:space="preserve">(b)</w:t>
                  </w:r>
                </w:p>
                <w:bookmarkEnd w:id="140"/>
              </w:tc>
            </w:tr>
          </w:tbl>
          <w:p/>
        </w:tc>
      </w:tr>
    </w:tbl>
    <w:p>
      <w:pPr>
        <w:pStyle w:val="BodyText"/>
      </w:pPr>
      <w:pPr>
        <w:spacing w:before="200"/>
        <w:pStyle w:val="ImageCaption"/>
      </w:pPr>
      <w:r>
        <w:t xml:space="preserve">Figure S7: Comparison of census tract-level SDI distributions in (a) simulation cohort and (b) PRIME registry (SDI: social deprivation index)</w:t>
      </w:r>
    </w:p>
    <w:bookmarkEnd w:id="141"/>
    <w:bookmarkEnd w:id="142"/>
    <w:bookmarkStart w:id="143" w:name="sec-mortality-insurance"/>
    <w:p>
      <w:pPr>
        <w:pStyle w:val="Heading3"/>
      </w:pPr>
      <w:r>
        <w:t xml:space="preserve">6.10 Mortality adjustments by insurance status</w:t>
      </w:r>
    </w:p>
    <w:p>
      <w:pPr>
        <w:pStyle w:val="FirstParagraph"/>
      </w:pPr>
      <w:r>
        <w:t xml:space="preserve">In our secondary analysis, we further adjusted baseline age-sex-racial/ethnic-group-specific mortality rates by health insurance status, based on evidence from prior studies.</w:t>
      </w:r>
      <w:r>
        <w:rPr>
          <w:vertAlign w:val="superscript"/>
        </w:rPr>
        <w:t xml:space="preserve">32,56</w:t>
      </w:r>
      <w:r>
        <w:t xml:space="preserve"> </w:t>
      </w:r>
      <w:r>
        <w:t xml:space="preserve">We assumed a constant race/ethnicity-specific prevalence of uninsured individuals and a hazard ratio for increased mortality risk among those uninsured. After age 65, we assumed all individuals received Medicare, and mortality rates returned to baseline values from the 2021 U.S. life tables.</w:t>
      </w:r>
    </w:p>
    <w:bookmarkEnd w:id="143"/>
    <w:bookmarkStart w:id="148" w:name="sec-transition-in-system"/>
    <w:p>
      <w:pPr>
        <w:pStyle w:val="Heading3"/>
      </w:pPr>
      <w:r>
        <w:t xml:space="preserve">6.11 Entering the health system</w:t>
      </w:r>
    </w:p>
    <w:p>
      <w:pPr>
        <w:pStyle w:val="FirstParagraph"/>
      </w:pPr>
      <w:r>
        <w:t xml:space="preserve">Our simulation made the assumption that individuals without health insurance entered the health system, defined as having a routine place for healthcare, more slowly than those with health insurance. We applied a hazard ratio (</w:t>
      </w:r>
      <m:oMath>
        <m:r>
          <m:t>H</m:t>
        </m:r>
        <m:sSub>
          <m:e>
            <m:r>
              <m:t>R</m:t>
            </m:r>
          </m:e>
          <m:sub>
            <m:r>
              <m:rPr>
                <m:nor/>
                <m:sty m:val="p"/>
              </m:rPr>
              <m:t>IHS</m:t>
            </m:r>
          </m:sub>
        </m:sSub>
      </m:oMath>
      <w:r>
        <w:t xml:space="preserve">), where</w:t>
      </w:r>
      <w:r>
        <w:t xml:space="preserve"> </w:t>
      </w:r>
      <m:oMath>
        <m:r>
          <m:rPr>
            <m:nor/>
            <m:sty m:val="p"/>
          </m:rPr>
          <m:t>IHS</m:t>
        </m:r>
      </m:oMath>
      <w:r>
        <w:t xml:space="preserve"> </w:t>
      </w:r>
      <w:r>
        <w:t xml:space="preserve">refers to</w:t>
      </w:r>
      <w:r>
        <w:t xml:space="preserve"> </w:t>
      </w:r>
      <w:r>
        <w:t xml:space="preserve">“in health system,”</w:t>
      </w:r>
      <w:r>
        <w:t xml:space="preserve"> </w:t>
      </w:r>
      <w:r>
        <w:t xml:space="preserve">to slow transition rates for simulated individuals without health insurance. The transition probability (</w:t>
      </w:r>
      <m:oMath>
        <m:sSub>
          <m:e>
            <m:r>
              <m:t>p</m:t>
            </m:r>
          </m:e>
          <m:sub>
            <m:r>
              <m:t>I</m:t>
            </m:r>
            <m:r>
              <m:t>H</m:t>
            </m:r>
            <m:r>
              <m:t>S</m:t>
            </m:r>
          </m:sub>
        </m:sSub>
      </m:oMath>
      <w:r>
        <w:t xml:space="preserve">) and hazard ratio reduction (</w:t>
      </w:r>
      <m:oMath>
        <m:r>
          <m:t>H</m:t>
        </m:r>
        <m:sSub>
          <m:e>
            <m:r>
              <m:t>R</m:t>
            </m:r>
          </m:e>
          <m:sub>
            <m:r>
              <m:rPr>
                <m:nor/>
                <m:sty m:val="p"/>
              </m:rPr>
              <m:t>IHS</m:t>
            </m:r>
          </m:sub>
        </m:sSub>
      </m:oMath>
      <w:r>
        <w:t xml:space="preserve">) were calibrated to match NHANES age-specific estimates of lacking a routine place for healthcare by insurance status. To obtain these NHANES estimates, we included 6,939 non-Hispanic Black and non-Hispanic white survey participants who were not currently treated with antihypertensive medication. In</w:t>
      </w:r>
      <w:r>
        <w:t xml:space="preserve"> </w:t>
      </w:r>
      <w:hyperlink w:anchor="suppfig-in-health-system-calibration">
        <w:r>
          <w:rPr>
            <w:rStyle w:val="Hyperlink"/>
          </w:rPr>
          <w:t xml:space="preserve">Figure S8</w:t>
        </w:r>
      </w:hyperlink>
      <w:r>
        <w:t xml:space="preserve">, we compared the prevalence of the simulated cohort out of the health system (without a routine place of care) with NHANES age-specific estimates of having no place for routine healthcare by insurance status. The 95% confidence intervals for the NHANES age-specific estimates are shown as dots with error bars. Estimates for uninsured individuals after 65 are not included because the model assumes all individuals receive Medicare at age 65. Our simulation model reproduced the age-specific prevalence of not having routine access to healthcare in NHANES.</w:t>
      </w:r>
    </w:p>
    <w:tbl>
      <w:tblPr>
        <w:tblStyle w:val="Table"/>
        <w:tblW w:type="pct" w:w="5000"/>
        <w:tblLayout w:type="fixed"/>
        <w:tblLook w:firstRow="0" w:lastRow="0" w:firstColumn="0" w:lastColumn="0" w:noHBand="0" w:noVBand="0" w:val="0000"/>
      </w:tblPr>
      <w:tblGrid>
        <w:gridCol w:w="7920"/>
      </w:tblGrid>
      <w:tr>
        <w:tc>
          <w:tcPr/>
          <w:bookmarkStart w:id="147" w:name="suppfig-in-health-system-calibration"/>
          <w:p>
            <w:pPr>
              <w:pStyle w:val="Compact"/>
              <w:jc w:val="center"/>
            </w:pPr>
            <w:r>
              <w:drawing>
                <wp:inline>
                  <wp:extent cx="5334000" cy="3456555"/>
                  <wp:effectExtent b="0" l="0" r="0" t="0"/>
                  <wp:docPr descr="" title="" id="145" name="Picture"/>
                  <a:graphic>
                    <a:graphicData uri="http://schemas.openxmlformats.org/drawingml/2006/picture">
                      <pic:pic>
                        <pic:nvPicPr>
                          <pic:cNvPr descr="figures/social/in_health_system_calibration_hetero_RA.png" id="146" name="Picture"/>
                          <pic:cNvPicPr>
                            <a:picLocks noChangeArrowheads="1" noChangeAspect="1"/>
                          </pic:cNvPicPr>
                        </pic:nvPicPr>
                        <pic:blipFill>
                          <a:blip r:embed="rId144"/>
                          <a:stretch>
                            <a:fillRect/>
                          </a:stretch>
                        </pic:blipFill>
                        <pic:spPr bwMode="auto">
                          <a:xfrm>
                            <a:off x="0" y="0"/>
                            <a:ext cx="5334000" cy="3456555"/>
                          </a:xfrm>
                          <a:prstGeom prst="rect">
                            <a:avLst/>
                          </a:prstGeom>
                          <a:noFill/>
                          <a:ln w="9525">
                            <a:noFill/>
                            <a:headEnd/>
                            <a:tailEnd/>
                          </a:ln>
                        </pic:spPr>
                      </pic:pic>
                    </a:graphicData>
                  </a:graphic>
                </wp:inline>
              </w:drawing>
            </w:r>
          </w:p>
          <w:p>
            <w:pPr>
              <w:jc w:val="center"/>
            </w:pPr>
            <w:pPr>
              <w:jc w:val="left"/>
              <w:spacing w:before="200"/>
              <w:pStyle w:val="ImageCaption"/>
            </w:pPr>
            <w:r>
              <w:t xml:space="preserve">Figure S8: Age-specific prevalence of not having a routine place for healthcare by insurance status in our simulation cohort (lines) and NHANES (dots) (NHANES: National Health and Nutrition Examination Survey)</w:t>
            </w:r>
          </w:p>
          <w:bookmarkEnd w:id="147"/>
        </w:tc>
      </w:tr>
    </w:tbl>
    <w:bookmarkEnd w:id="148"/>
    <w:bookmarkStart w:id="160" w:name="sec-out-of-system-BP"/>
    <w:p>
      <w:pPr>
        <w:pStyle w:val="Heading3"/>
      </w:pPr>
      <w:r>
        <w:t xml:space="preserve">6.12 Blood pressure adjustments out of the health system</w:t>
      </w:r>
    </w:p>
    <w:p>
      <w:pPr>
        <w:pStyle w:val="FirstParagraph"/>
      </w:pPr>
      <w:r>
        <w:t xml:space="preserve">We assumed that not having a routine place for healthcare affected systolic and diastolic blood pressure values. From NHANES, we selected participants aged at least 40 years who self-reported not currently taking antihypertensive medication (n=3,837 survey participants). Similar to our approach in</w:t>
      </w:r>
      <w:r>
        <w:t xml:space="preserve"> </w:t>
      </w:r>
      <w:hyperlink w:anchor="sec-sys-dia-correlations">
        <w:r>
          <w:rPr>
            <w:rStyle w:val="Hyperlink"/>
          </w:rPr>
          <w:t xml:space="preserve">Section 6.4</w:t>
        </w:r>
      </w:hyperlink>
      <w:r>
        <w:t xml:space="preserve">, we estimated quantile regressions as a function of age, sex, no place for routine healthcare (</w:t>
      </w:r>
      <m:oMath>
        <m:sSub>
          <m:e>
            <m:r>
              <m:t>N</m:t>
            </m:r>
          </m:e>
          <m:sub>
            <m:r>
              <m:t>i</m:t>
            </m:r>
          </m:sub>
        </m:sSub>
      </m:oMath>
      <w:r>
        <w:t xml:space="preserve">), and six SDI-related metrics (</w:t>
      </w:r>
      <m:oMath>
        <m:sSub>
          <m:e>
            <m:r>
              <m:t>S</m:t>
            </m:r>
          </m:e>
          <m:sub>
            <m:r>
              <m:t>i</m:t>
            </m:r>
          </m:sub>
        </m:sSub>
      </m:oMath>
      <w:r>
        <w:t xml:space="preserve">) to predict systolic blood pressure values:</w:t>
      </w:r>
    </w:p>
    <w:p>
      <w:pPr>
        <w:pStyle w:val="BodyText"/>
      </w:pPr>
      <m:oMathPara>
        <m:oMathParaPr>
          <m:jc m:val="center"/>
        </m:oMathParaPr>
        <m:oMath>
          <m:sSub>
            <m:e>
              <m:r>
                <m:t>Y</m:t>
              </m:r>
            </m:e>
            <m:sub>
              <m:r>
                <m:t>i</m:t>
              </m:r>
            </m:sub>
          </m:sSub>
          <m:r>
            <m:rPr>
              <m:sty m:val="p"/>
            </m:rPr>
            <m:t>=</m:t>
          </m:r>
          <m:sSub>
            <m:e>
              <m:r>
                <m:t>β</m:t>
              </m:r>
            </m:e>
            <m:sub>
              <m:r>
                <m:t>0</m:t>
              </m:r>
            </m:sub>
          </m:sSub>
          <m:r>
            <m:rPr>
              <m:sty m:val="p"/>
            </m:rPr>
            <m:t>+</m:t>
          </m:r>
          <m:sSub>
            <m:e>
              <m:r>
                <m:t>β</m:t>
              </m:r>
            </m:e>
            <m:sub>
              <m:r>
                <m:t>1</m:t>
              </m:r>
            </m:sub>
          </m:sSub>
          <m:sSub>
            <m:e>
              <m:r>
                <m:t>X</m:t>
              </m:r>
            </m:e>
            <m:sub>
              <m:r>
                <m:t>i</m:t>
              </m:r>
            </m:sub>
          </m:sSub>
          <m:r>
            <m:rPr>
              <m:sty m:val="p"/>
            </m:rPr>
            <m:t>+</m:t>
          </m:r>
          <m:sSub>
            <m:e>
              <m:r>
                <m:t>β</m:t>
              </m:r>
            </m:e>
            <m:sub>
              <m:r>
                <m:t>2</m:t>
              </m:r>
            </m:sub>
          </m:sSub>
          <m:sSub>
            <m:e>
              <m:r>
                <m:t>F</m:t>
              </m:r>
            </m:e>
            <m:sub>
              <m:r>
                <m:t>i</m:t>
              </m:r>
            </m:sub>
          </m:sSub>
          <m:r>
            <m:rPr>
              <m:sty m:val="p"/>
            </m:rPr>
            <m:t>+</m:t>
          </m:r>
          <m:sSub>
            <m:e>
              <m:r>
                <m:t>β</m:t>
              </m:r>
            </m:e>
            <m:sub>
              <m:r>
                <m:t>3</m:t>
              </m:r>
            </m:sub>
          </m:sSub>
          <m:sSub>
            <m:e>
              <m:r>
                <m:t>N</m:t>
              </m:r>
            </m:e>
            <m:sub>
              <m:r>
                <m:t>i</m:t>
              </m:r>
            </m:sub>
          </m:sSub>
          <m:r>
            <m:rPr>
              <m:sty m:val="p"/>
            </m:rPr>
            <m:t>+</m:t>
          </m:r>
          <m:nary>
            <m:naryPr>
              <m:chr m:val="∑"/>
              <m:limLoc m:val="undOvr"/>
              <m:subHide m:val="off"/>
              <m:supHide m:val="off"/>
            </m:naryPr>
            <m:sub>
              <m:r>
                <m:t>j</m:t>
              </m:r>
              <m:r>
                <m:rPr>
                  <m:sty m:val="p"/>
                </m:rPr>
                <m:t>=</m:t>
              </m:r>
              <m:r>
                <m:t>1</m:t>
              </m:r>
            </m:sub>
            <m:sup>
              <m:r>
                <m:t>k</m:t>
              </m:r>
              <m:r>
                <m:rPr>
                  <m:sty m:val="p"/>
                </m:rPr>
                <m:t>=</m:t>
              </m:r>
              <m:r>
                <m:t>6</m:t>
              </m:r>
            </m:sup>
            <m:e>
              <m:sSub>
                <m:e>
                  <m:r>
                    <m:t>β</m:t>
                  </m:r>
                </m:e>
                <m:sub>
                  <m:r>
                    <m:t>j</m:t>
                  </m:r>
                </m:sub>
              </m:sSub>
            </m:e>
          </m:nary>
          <m:sSub>
            <m:e>
              <m:r>
                <m:t>S</m:t>
              </m:r>
            </m:e>
            <m:sub>
              <m:r>
                <m:t>i</m:t>
              </m:r>
              <m:r>
                <m:t>j</m:t>
              </m:r>
            </m:sub>
          </m:sSub>
        </m:oMath>
      </m:oMathPara>
    </w:p>
    <w:p>
      <w:pPr>
        <w:pStyle w:val="FirstParagraph"/>
      </w:pPr>
      <w:r>
        <w:t xml:space="preserve">and diastolic blood pressure values:</w:t>
      </w:r>
    </w:p>
    <w:p>
      <w:pPr>
        <w:pStyle w:val="BodyText"/>
      </w:pPr>
      <m:oMathPara>
        <m:oMathParaPr>
          <m:jc m:val="center"/>
        </m:oMathParaPr>
        <m:oMath>
          <m:sSub>
            <m:e>
              <m:r>
                <m:t>Z</m:t>
              </m:r>
            </m:e>
            <m:sub>
              <m:r>
                <m:t>i</m:t>
              </m:r>
            </m:sub>
          </m:sSub>
          <m:r>
            <m:rPr>
              <m:sty m:val="p"/>
            </m:rPr>
            <m:t>=</m:t>
          </m:r>
          <m:sSub>
            <m:e>
              <m:r>
                <m:t>β</m:t>
              </m:r>
            </m:e>
            <m:sub>
              <m:r>
                <m:t>0</m:t>
              </m:r>
            </m:sub>
          </m:sSub>
          <m:r>
            <m:rPr>
              <m:sty m:val="p"/>
            </m:rPr>
            <m:t>+</m:t>
          </m:r>
          <m:sSub>
            <m:e>
              <m:r>
                <m:t>β</m:t>
              </m:r>
            </m:e>
            <m:sub>
              <m:r>
                <m:t>1</m:t>
              </m:r>
            </m:sub>
          </m:sSub>
          <m:sSub>
            <m:e>
              <m:r>
                <m:t>X</m:t>
              </m:r>
            </m:e>
            <m:sub>
              <m:r>
                <m:t>i</m:t>
              </m:r>
            </m:sub>
          </m:sSub>
          <m:r>
            <m:rPr>
              <m:sty m:val="p"/>
            </m:rPr>
            <m:t>+</m:t>
          </m:r>
          <m:sSub>
            <m:e>
              <m:r>
                <m:t>β</m:t>
              </m:r>
            </m:e>
            <m:sub>
              <m:r>
                <m:t>2</m:t>
              </m:r>
            </m:sub>
          </m:sSub>
          <m:sSub>
            <m:e>
              <m:r>
                <m:t>F</m:t>
              </m:r>
            </m:e>
            <m:sub>
              <m:r>
                <m:t>i</m:t>
              </m:r>
            </m:sub>
          </m:sSub>
          <m:r>
            <m:rPr>
              <m:sty m:val="p"/>
            </m:rPr>
            <m:t>+</m:t>
          </m:r>
          <m:sSub>
            <m:e>
              <m:r>
                <m:t>β</m:t>
              </m:r>
            </m:e>
            <m:sub>
              <m:r>
                <m:t>3</m:t>
              </m:r>
            </m:sub>
          </m:sSub>
          <m:sSub>
            <m:e>
              <m:r>
                <m:t>N</m:t>
              </m:r>
            </m:e>
            <m:sub>
              <m:r>
                <m:t>i</m:t>
              </m:r>
            </m:sub>
          </m:sSub>
          <m:r>
            <m:rPr>
              <m:sty m:val="p"/>
            </m:rPr>
            <m:t>+</m:t>
          </m:r>
          <m:nary>
            <m:naryPr>
              <m:chr m:val="∑"/>
              <m:limLoc m:val="undOvr"/>
              <m:subHide m:val="off"/>
              <m:supHide m:val="off"/>
            </m:naryPr>
            <m:sub>
              <m:r>
                <m:t>j</m:t>
              </m:r>
              <m:r>
                <m:rPr>
                  <m:sty m:val="p"/>
                </m:rPr>
                <m:t>=</m:t>
              </m:r>
              <m:r>
                <m:t>1</m:t>
              </m:r>
            </m:sub>
            <m:sup>
              <m:r>
                <m:t>k</m:t>
              </m:r>
              <m:r>
                <m:rPr>
                  <m:sty m:val="p"/>
                </m:rPr>
                <m:t>=</m:t>
              </m:r>
              <m:r>
                <m:t>6</m:t>
              </m:r>
            </m:sup>
            <m:e>
              <m:sSub>
                <m:e>
                  <m:r>
                    <m:t>β</m:t>
                  </m:r>
                </m:e>
                <m:sub>
                  <m:r>
                    <m:t>j</m:t>
                  </m:r>
                </m:sub>
              </m:sSub>
            </m:e>
          </m:nary>
          <m:sSub>
            <m:e>
              <m:r>
                <m:t>S</m:t>
              </m:r>
            </m:e>
            <m:sub>
              <m:r>
                <m:t>i</m:t>
              </m:r>
              <m:r>
                <m:t>j</m:t>
              </m:r>
            </m:sub>
          </m:sSub>
        </m:oMath>
      </m:oMathPara>
    </w:p>
    <w:p>
      <w:pPr>
        <w:pStyle w:val="FirstParagraph"/>
      </w:pPr>
      <w:r>
        <w:t xml:space="preserve">Because census tract-level SDI is not captured in NHANES, we included individual-level data on SDI components, including whether an individual was living in poverty, had less than 12 years of education, lived in a single-parent household, resided in rented housing, lived in overcrowded housing units, and was unemployed and younger than 65 years of age.</w:t>
      </w:r>
      <w:r>
        <w:rPr>
          <w:vertAlign w:val="superscript"/>
        </w:rPr>
        <w:t xml:space="preserve">31</w:t>
      </w:r>
      <w:r>
        <w:t xml:space="preserve"> </w:t>
      </w:r>
      <w:r>
        <w:t xml:space="preserve">We then leveraged the estimated coefficients for the indicator of having no place for routine healthcare from each of the quantile regressions in our simulations (</w:t>
      </w:r>
      <w:hyperlink w:anchor="suppfig-no-place-bp-adjustments">
        <w:r>
          <w:rPr>
            <w:rStyle w:val="Hyperlink"/>
          </w:rPr>
          <w:t xml:space="preserve">Figure S9</w:t>
        </w:r>
      </w:hyperlink>
      <w:r>
        <w:t xml:space="preserve">). During simulation, if a simulated individual was not in the health system, the estimated coefficient was added to the individual’s current systolic or diastolic blood pressure value while they were out of the health system.</w:t>
      </w:r>
    </w:p>
    <w:bookmarkStart w:id="159" w:name="suppfig-no-place-bp-adjustments"/>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153" w:name="suppfig-sbp-no-place"/>
                <w:p>
                  <w:pPr>
                    <w:pStyle w:val="Compact"/>
                    <w:jc w:val="center"/>
                    <w:jc w:val="left"/>
                  </w:pPr>
                  <w:bookmarkStart w:id="152" w:name="suppfig-sbp-no-place"/>
                  <w:r>
                    <w:drawing>
                      <wp:inline>
                        <wp:extent cx="2971800" cy="2228850"/>
                        <wp:effectExtent b="0" l="0" r="0" t="0"/>
                        <wp:docPr descr="" title="" id="150" name="Picture"/>
                        <a:graphic>
                          <a:graphicData uri="http://schemas.openxmlformats.org/drawingml/2006/picture">
                            <pic:pic>
                              <pic:nvPicPr>
                                <pic:cNvPr descr="figures/supplement/no_place_adjustments_SBP.png" id="151" name="Picture"/>
                                <pic:cNvPicPr>
                                  <a:picLocks noChangeArrowheads="1" noChangeAspect="1"/>
                                </pic:cNvPicPr>
                              </pic:nvPicPr>
                              <pic:blipFill>
                                <a:blip r:embed="rId149"/>
                                <a:stretch>
                                  <a:fillRect/>
                                </a:stretch>
                              </pic:blipFill>
                              <pic:spPr bwMode="auto">
                                <a:xfrm>
                                  <a:off x="0" y="0"/>
                                  <a:ext cx="2971800" cy="2228850"/>
                                </a:xfrm>
                                <a:prstGeom prst="rect">
                                  <a:avLst/>
                                </a:prstGeom>
                                <a:noFill/>
                                <a:ln w="9525">
                                  <a:noFill/>
                                  <a:headEnd/>
                                  <a:tailEnd/>
                                </a:ln>
                              </pic:spPr>
                            </pic:pic>
                          </a:graphicData>
                        </a:graphic>
                      </wp:inline>
                    </w:drawing>
                  </w:r>
                  <w:bookmarkEnd w:id="152"/>
                </w:p>
                <w:p>
                  <w:pPr>
                    <w:jc w:val="center"/>
                    <w:jc w:val="left"/>
                  </w:pPr>
                  <w:pPr>
                    <w:jc w:val="left"/>
                    <w:spacing w:before="200"/>
                    <w:pStyle w:val="ImageCaption"/>
                  </w:pPr>
                  <w:r>
                    <w:t xml:space="preserve">(a)</w:t>
                  </w:r>
                </w:p>
                <w:bookmarkEnd w:id="153"/>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158" w:name="suppfig-dbp-no-place"/>
                <w:p>
                  <w:pPr>
                    <w:pStyle w:val="Compact"/>
                    <w:jc w:val="center"/>
                    <w:jc w:val="left"/>
                  </w:pPr>
                  <w:bookmarkStart w:id="157" w:name="suppfig-dbp-no-place"/>
                  <w:r>
                    <w:drawing>
                      <wp:inline>
                        <wp:extent cx="2971800" cy="2228850"/>
                        <wp:effectExtent b="0" l="0" r="0" t="0"/>
                        <wp:docPr descr="" title="" id="155" name="Picture"/>
                        <a:graphic>
                          <a:graphicData uri="http://schemas.openxmlformats.org/drawingml/2006/picture">
                            <pic:pic>
                              <pic:nvPicPr>
                                <pic:cNvPr descr="figures/supplement/no_place_adjustments_DBP.png" id="156" name="Picture"/>
                                <pic:cNvPicPr>
                                  <a:picLocks noChangeArrowheads="1" noChangeAspect="1"/>
                                </pic:cNvPicPr>
                              </pic:nvPicPr>
                              <pic:blipFill>
                                <a:blip r:embed="rId154"/>
                                <a:stretch>
                                  <a:fillRect/>
                                </a:stretch>
                              </pic:blipFill>
                              <pic:spPr bwMode="auto">
                                <a:xfrm>
                                  <a:off x="0" y="0"/>
                                  <a:ext cx="2971800" cy="2228850"/>
                                </a:xfrm>
                                <a:prstGeom prst="rect">
                                  <a:avLst/>
                                </a:prstGeom>
                                <a:noFill/>
                                <a:ln w="9525">
                                  <a:noFill/>
                                  <a:headEnd/>
                                  <a:tailEnd/>
                                </a:ln>
                              </pic:spPr>
                            </pic:pic>
                          </a:graphicData>
                        </a:graphic>
                      </wp:inline>
                    </w:drawing>
                  </w:r>
                  <w:bookmarkEnd w:id="157"/>
                </w:p>
                <w:p>
                  <w:pPr>
                    <w:jc w:val="center"/>
                    <w:jc w:val="left"/>
                  </w:pPr>
                  <w:pPr>
                    <w:jc w:val="left"/>
                    <w:spacing w:before="200"/>
                    <w:pStyle w:val="ImageCaption"/>
                  </w:pPr>
                  <w:r>
                    <w:t xml:space="preserve">(b)</w:t>
                  </w:r>
                </w:p>
                <w:bookmarkEnd w:id="158"/>
              </w:tc>
            </w:tr>
          </w:tbl>
          <w:p/>
        </w:tc>
      </w:tr>
    </w:tbl>
    <w:p>
      <w:pPr>
        <w:pStyle w:val="BodyText"/>
      </w:pPr>
      <w:pPr>
        <w:spacing w:before="200"/>
        <w:pStyle w:val="ImageCaption"/>
      </w:pPr>
      <w:r>
        <w:t xml:space="preserve">Figure S9: Blood pressure adjustments by quantile for not having a routine place for healthcare: (a) systolic blood pressure and (b) diastolic blood pressure</w:t>
      </w:r>
    </w:p>
    <w:bookmarkEnd w:id="159"/>
    <w:bookmarkEnd w:id="160"/>
    <w:bookmarkStart w:id="163" w:name="sec-additional-main-results"/>
    <w:p>
      <w:pPr>
        <w:pStyle w:val="Heading3"/>
      </w:pPr>
      <w:r>
        <w:t xml:space="preserve">6.13 Additional results</w:t>
      </w:r>
    </w:p>
    <w:tbl>
      <w:tblPr>
        <w:tblStyle w:val="Table"/>
        <w:tblW w:type="pct" w:w="5000"/>
        <w:tblLayout w:type="fixed"/>
        <w:tblLook w:firstRow="0" w:lastRow="0" w:firstColumn="0" w:lastColumn="0" w:noHBand="0" w:noVBand="0" w:val="0000"/>
      </w:tblPr>
      <w:tblGrid>
        <w:gridCol w:w="7920"/>
      </w:tblGrid>
      <w:tr>
        <w:tc>
          <w:tcPr/>
          <w:bookmarkStart w:id="161" w:name="supptbl-standard-treatment-utilization"/>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Group</w:t>
                  </w:r>
                </w:p>
              </w:tc>
              <w:tc>
                <w:tcPr/>
                <w:p>
                  <w:pPr>
                    <w:pStyle w:val="Compact"/>
                    <w:jc w:val="center"/>
                  </w:pPr>
                  <w:r>
                    <w:t xml:space="preserve">Race Adjustment</w:t>
                  </w:r>
                </w:p>
              </w:tc>
              <w:tc>
                <w:tcPr/>
                <w:p>
                  <w:pPr>
                    <w:pStyle w:val="Compact"/>
                  </w:pPr>
                </w:p>
              </w:tc>
              <w:tc>
                <w:tcPr/>
                <w:p>
                  <w:pPr>
                    <w:pStyle w:val="Compact"/>
                  </w:pPr>
                </w:p>
              </w:tc>
              <w:tc>
                <w:tcPr/>
                <w:p>
                  <w:pPr>
                    <w:pStyle w:val="Compact"/>
                    <w:jc w:val="center"/>
                  </w:pPr>
                  <w:r>
                    <w:t xml:space="preserve">No Race Adjustment</w:t>
                  </w:r>
                </w:p>
              </w:tc>
            </w:tr>
            <w:tr>
              <w:tc>
                <w:tcPr/>
                <w:p>
                  <w:pPr>
                    <w:pStyle w:val="Compact"/>
                  </w:pPr>
                </w:p>
              </w:tc>
              <w:tc>
                <w:tcPr/>
                <w:p>
                  <w:pPr>
                    <w:pStyle w:val="Compact"/>
                    <w:jc w:val="center"/>
                  </w:pPr>
                  <w:r>
                    <w:t xml:space="preserve">Thiazide Diuretic</w:t>
                  </w:r>
                </w:p>
              </w:tc>
              <w:tc>
                <w:tcPr/>
                <w:p>
                  <w:pPr>
                    <w:pStyle w:val="Compact"/>
                    <w:jc w:val="center"/>
                  </w:pPr>
                  <w:r>
                    <w:t xml:space="preserve">ACE Inhibitor</w:t>
                  </w:r>
                </w:p>
              </w:tc>
              <w:tc>
                <w:tcPr/>
                <w:p>
                  <w:pPr>
                    <w:pStyle w:val="Compact"/>
                    <w:jc w:val="center"/>
                  </w:pPr>
                  <w:r>
                    <w:t xml:space="preserve">Thiazide Diuretic</w:t>
                  </w:r>
                </w:p>
              </w:tc>
              <w:tc>
                <w:tcPr/>
                <w:p>
                  <w:pPr>
                    <w:pStyle w:val="Compact"/>
                    <w:jc w:val="center"/>
                  </w:pPr>
                  <w:r>
                    <w:t xml:space="preserve">ACE Inhibitor</w:t>
                  </w:r>
                </w:p>
              </w:tc>
            </w:tr>
            <w:tr>
              <w:tc>
                <w:tcPr/>
                <w:p>
                  <w:pPr>
                    <w:pStyle w:val="Compact"/>
                    <w:jc w:val="center"/>
                  </w:pPr>
                  <w:r>
                    <w:t xml:space="preserve">Non-Hispanic Black</w:t>
                  </w:r>
                </w:p>
              </w:tc>
              <w:tc>
                <w:tcPr/>
                <w:p>
                  <w:pPr>
                    <w:pStyle w:val="Compact"/>
                    <w:jc w:val="center"/>
                  </w:pPr>
                  <w:r>
                    <w:t xml:space="preserve">76%</w:t>
                  </w:r>
                </w:p>
              </w:tc>
              <w:tc>
                <w:tcPr/>
                <w:p>
                  <w:pPr>
                    <w:pStyle w:val="Compact"/>
                    <w:jc w:val="center"/>
                  </w:pPr>
                  <w:r>
                    <w:t xml:space="preserve">0%</w:t>
                  </w:r>
                </w:p>
              </w:tc>
              <w:tc>
                <w:tcPr/>
                <w:p>
                  <w:pPr>
                    <w:pStyle w:val="Compact"/>
                    <w:jc w:val="center"/>
                  </w:pPr>
                  <w:r>
                    <w:t xml:space="preserve">30%</w:t>
                  </w:r>
                </w:p>
              </w:tc>
              <w:tc>
                <w:tcPr/>
                <w:p>
                  <w:pPr>
                    <w:pStyle w:val="Compact"/>
                    <w:jc w:val="center"/>
                  </w:pPr>
                  <w:r>
                    <w:t xml:space="preserve">46%</w:t>
                  </w:r>
                </w:p>
              </w:tc>
            </w:tr>
            <w:tr>
              <w:tc>
                <w:tcPr/>
                <w:p>
                  <w:pPr>
                    <w:pStyle w:val="Compact"/>
                    <w:jc w:val="center"/>
                  </w:pPr>
                  <w:r>
                    <w:t xml:space="preserve">Non-Hispanic white</w:t>
                  </w:r>
                </w:p>
              </w:tc>
              <w:tc>
                <w:tcPr/>
                <w:p>
                  <w:pPr>
                    <w:pStyle w:val="Compact"/>
                    <w:jc w:val="center"/>
                  </w:pPr>
                  <w:r>
                    <w:t xml:space="preserve">30%</w:t>
                  </w:r>
                </w:p>
              </w:tc>
              <w:tc>
                <w:tcPr/>
                <w:p>
                  <w:pPr>
                    <w:pStyle w:val="Compact"/>
                    <w:jc w:val="center"/>
                  </w:pPr>
                  <w:r>
                    <w:t xml:space="preserve">45%</w:t>
                  </w:r>
                </w:p>
              </w:tc>
              <w:tc>
                <w:tcPr/>
                <w:p>
                  <w:pPr>
                    <w:pStyle w:val="Compact"/>
                    <w:jc w:val="center"/>
                  </w:pPr>
                  <w:r>
                    <w:t xml:space="preserve">30%</w:t>
                  </w:r>
                </w:p>
              </w:tc>
              <w:tc>
                <w:tcPr/>
                <w:p>
                  <w:pPr>
                    <w:pStyle w:val="Compact"/>
                    <w:jc w:val="center"/>
                  </w:pPr>
                  <w:r>
                    <w:t xml:space="preserve">45%</w:t>
                  </w:r>
                </w:p>
              </w:tc>
            </w:tr>
          </w:tbl>
          <w:p>
            <w:pPr>
              <w:jc w:val="center"/>
            </w:pPr>
            <w:pPr>
              <w:jc w:val="left"/>
              <w:spacing w:before="200"/>
              <w:pStyle w:val="ImageCaption"/>
            </w:pPr>
            <w:r>
              <w:t xml:space="preserve">Table S10: Cumulative incidence of antihypertensive treatment by class under antihypertensive treatment guidelines with and without race adjustment (ACE inhibitor: angiotensin-converting enzyme inhibitor)</w:t>
            </w:r>
          </w:p>
          <w:bookmarkEnd w:id="16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2" w:name="supptbl-standard-main-results"/>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Outcome</w:t>
                  </w:r>
                </w:p>
              </w:tc>
              <w:tc>
                <w:tcPr/>
                <w:p>
                  <w:pPr>
                    <w:pStyle w:val="Compact"/>
                    <w:jc w:val="center"/>
                  </w:pPr>
                  <w:r>
                    <w:t xml:space="preserve">Heterogeneous Treatment Effects</w:t>
                  </w:r>
                </w:p>
              </w:tc>
              <w:tc>
                <w:tcPr/>
                <w:p>
                  <w:pPr>
                    <w:pStyle w:val="Compact"/>
                  </w:pPr>
                </w:p>
              </w:tc>
              <w:tc>
                <w:tcPr/>
                <w:p>
                  <w:pPr>
                    <w:pStyle w:val="Compact"/>
                    <w:jc w:val="center"/>
                  </w:pPr>
                  <w:r>
                    <w:t xml:space="preserve">No Heterogeneous Treatment Effects</w:t>
                  </w:r>
                </w:p>
              </w:tc>
              <w:tc>
                <w:tcPr/>
                <w:p>
                  <w:pPr>
                    <w:pStyle w:val="Compact"/>
                  </w:pPr>
                </w:p>
              </w:tc>
            </w:tr>
            <w:tr>
              <w:tc>
                <w:tcPr/>
                <w:p>
                  <w:pPr>
                    <w:pStyle w:val="Compact"/>
                  </w:pPr>
                </w:p>
              </w:tc>
              <w:tc>
                <w:tcPr/>
                <w:p>
                  <w:pPr>
                    <w:pStyle w:val="Compact"/>
                    <w:jc w:val="center"/>
                  </w:pPr>
                  <w:r>
                    <w:t xml:space="preserve">Race Adjustment</w:t>
                  </w:r>
                </w:p>
              </w:tc>
              <w:tc>
                <w:tcPr/>
                <w:p>
                  <w:pPr>
                    <w:pStyle w:val="Compact"/>
                    <w:jc w:val="center"/>
                  </w:pPr>
                  <w:r>
                    <w:t xml:space="preserve">No Race Adjustment</w:t>
                  </w:r>
                </w:p>
              </w:tc>
              <w:tc>
                <w:tcPr/>
                <w:p>
                  <w:pPr>
                    <w:pStyle w:val="Compact"/>
                    <w:jc w:val="center"/>
                  </w:pPr>
                  <w:r>
                    <w:t xml:space="preserve">Race Adjustment</w:t>
                  </w:r>
                </w:p>
              </w:tc>
              <w:tc>
                <w:tcPr/>
                <w:p>
                  <w:pPr>
                    <w:pStyle w:val="Compact"/>
                    <w:jc w:val="center"/>
                  </w:pPr>
                  <w:r>
                    <w:t xml:space="preserve">No Race Adjustment</w:t>
                  </w:r>
                </w:p>
              </w:tc>
            </w:tr>
            <w:tr>
              <w:tc>
                <w:tcPr/>
                <w:p>
                  <w:pPr>
                    <w:pStyle w:val="Compact"/>
                    <w:jc w:val="center"/>
                  </w:pPr>
                  <w:r>
                    <w:t xml:space="preserve">Cumulative incidence of hypertension stage 1 or 2 (%)</w:t>
                  </w:r>
                </w:p>
              </w:tc>
              <w:tc>
                <w:tcPr/>
                <w:p>
                  <w:pPr>
                    <w:pStyle w:val="Compact"/>
                    <w:jc w:val="center"/>
                  </w:pPr>
                  <w:r>
                    <w:t xml:space="preserve">90% [&lt;1%]</w:t>
                  </w:r>
                </w:p>
              </w:tc>
              <w:tc>
                <w:tcPr/>
                <w:p>
                  <w:pPr>
                    <w:pStyle w:val="Compact"/>
                    <w:jc w:val="center"/>
                  </w:pPr>
                  <w:r>
                    <w:t xml:space="preserve">90% [&lt;1%]</w:t>
                  </w:r>
                </w:p>
              </w:tc>
              <w:tc>
                <w:tcPr/>
                <w:p>
                  <w:pPr>
                    <w:pStyle w:val="Compact"/>
                    <w:jc w:val="center"/>
                  </w:pPr>
                  <w:r>
                    <w:t xml:space="preserve">90% [&lt;1%]</w:t>
                  </w:r>
                </w:p>
              </w:tc>
              <w:tc>
                <w:tcPr/>
                <w:p>
                  <w:pPr>
                    <w:pStyle w:val="Compact"/>
                    <w:jc w:val="center"/>
                  </w:pPr>
                  <w:r>
                    <w:t xml:space="preserve">90% [&lt;1%]</w:t>
                  </w:r>
                </w:p>
              </w:tc>
            </w:tr>
            <w:tr>
              <w:tc>
                <w:tcPr/>
                <w:p>
                  <w:pPr>
                    <w:pStyle w:val="Compact"/>
                    <w:jc w:val="center"/>
                  </w:pPr>
                  <w:r>
                    <w:t xml:space="preserve">Years spent in stage 1 or 2 hypertension</w:t>
                  </w:r>
                </w:p>
              </w:tc>
              <w:tc>
                <w:tcPr/>
                <w:p>
                  <w:pPr>
                    <w:pStyle w:val="Compact"/>
                    <w:jc w:val="center"/>
                  </w:pPr>
                  <w:r>
                    <w:t xml:space="preserve">14.6 [&lt;0.01]</w:t>
                  </w:r>
                </w:p>
              </w:tc>
              <w:tc>
                <w:tcPr/>
                <w:p>
                  <w:pPr>
                    <w:pStyle w:val="Compact"/>
                    <w:jc w:val="center"/>
                  </w:pPr>
                  <w:r>
                    <w:t xml:space="preserve">15.2 [&lt;0.01]</w:t>
                  </w:r>
                </w:p>
              </w:tc>
              <w:tc>
                <w:tcPr/>
                <w:p>
                  <w:pPr>
                    <w:pStyle w:val="Compact"/>
                    <w:jc w:val="center"/>
                  </w:pPr>
                  <w:r>
                    <w:t xml:space="preserve">14.4 [&lt;0.01]</w:t>
                  </w:r>
                </w:p>
              </w:tc>
              <w:tc>
                <w:tcPr/>
                <w:p>
                  <w:pPr>
                    <w:pStyle w:val="Compact"/>
                    <w:jc w:val="center"/>
                  </w:pPr>
                  <w:r>
                    <w:t xml:space="preserve">14.6 [&lt;0.01]</w:t>
                  </w:r>
                </w:p>
              </w:tc>
            </w:tr>
            <w:tr>
              <w:tc>
                <w:tcPr/>
                <w:p>
                  <w:pPr>
                    <w:pStyle w:val="Compact"/>
                    <w:jc w:val="center"/>
                  </w:pPr>
                  <w:r>
                    <w:t xml:space="preserve">Cumulative incidence of antihypertensive treatment</w:t>
                  </w:r>
                </w:p>
              </w:tc>
              <w:tc>
                <w:tcPr/>
                <w:p>
                  <w:pPr>
                    <w:pStyle w:val="Compact"/>
                    <w:jc w:val="center"/>
                  </w:pPr>
                  <w:r>
                    <w:t xml:space="preserve">76% [&lt;1%]</w:t>
                  </w:r>
                </w:p>
              </w:tc>
              <w:tc>
                <w:tcPr/>
                <w:p>
                  <w:pPr>
                    <w:pStyle w:val="Compact"/>
                    <w:jc w:val="center"/>
                  </w:pPr>
                  <w:r>
                    <w:t xml:space="preserve">76% [&lt;1%]</w:t>
                  </w:r>
                </w:p>
              </w:tc>
              <w:tc>
                <w:tcPr/>
                <w:p>
                  <w:pPr>
                    <w:pStyle w:val="Compact"/>
                    <w:jc w:val="center"/>
                  </w:pPr>
                  <w:r>
                    <w:t xml:space="preserve">76% [&lt;1%]</w:t>
                  </w:r>
                </w:p>
              </w:tc>
              <w:tc>
                <w:tcPr/>
                <w:p>
                  <w:pPr>
                    <w:pStyle w:val="Compact"/>
                    <w:jc w:val="center"/>
                  </w:pPr>
                  <w:r>
                    <w:t xml:space="preserve">76% [&lt;1%]</w:t>
                  </w:r>
                </w:p>
              </w:tc>
            </w:tr>
            <w:tr>
              <w:tc>
                <w:tcPr/>
                <w:p>
                  <w:pPr>
                    <w:pStyle w:val="Compact"/>
                    <w:jc w:val="center"/>
                  </w:pPr>
                  <w:r>
                    <w:t xml:space="preserve">Years on antihypertensive treatment</w:t>
                  </w:r>
                </w:p>
              </w:tc>
              <w:tc>
                <w:tcPr/>
                <w:p>
                  <w:pPr>
                    <w:pStyle w:val="Compact"/>
                    <w:jc w:val="center"/>
                  </w:pPr>
                  <w:r>
                    <w:t xml:space="preserve">22.4 [&lt;0.01]</w:t>
                  </w:r>
                </w:p>
              </w:tc>
              <w:tc>
                <w:tcPr/>
                <w:p>
                  <w:pPr>
                    <w:pStyle w:val="Compact"/>
                    <w:jc w:val="center"/>
                  </w:pPr>
                  <w:r>
                    <w:t xml:space="preserve">21.5 [&lt;0.01]</w:t>
                  </w:r>
                </w:p>
              </w:tc>
              <w:tc>
                <w:tcPr/>
                <w:p>
                  <w:pPr>
                    <w:pStyle w:val="Compact"/>
                    <w:jc w:val="center"/>
                  </w:pPr>
                  <w:r>
                    <w:t xml:space="preserve">22.3 [&lt;0.01]</w:t>
                  </w:r>
                </w:p>
              </w:tc>
              <w:tc>
                <w:tcPr/>
                <w:p>
                  <w:pPr>
                    <w:pStyle w:val="Compact"/>
                    <w:jc w:val="center"/>
                  </w:pPr>
                  <w:r>
                    <w:t xml:space="preserve">21.9 [&lt;0.01]</w:t>
                  </w:r>
                </w:p>
              </w:tc>
            </w:tr>
            <w:tr>
              <w:tc>
                <w:tcPr/>
                <w:p>
                  <w:pPr>
                    <w:pStyle w:val="Compact"/>
                    <w:jc w:val="center"/>
                  </w:pPr>
                  <w:r>
                    <w:t xml:space="preserve">Average age to initiate treatment</w:t>
                  </w:r>
                </w:p>
              </w:tc>
              <w:tc>
                <w:tcPr/>
                <w:p>
                  <w:pPr>
                    <w:pStyle w:val="Compact"/>
                    <w:jc w:val="center"/>
                  </w:pPr>
                  <w:r>
                    <w:t xml:space="preserve">52.4 [&lt;0.01]</w:t>
                  </w:r>
                </w:p>
              </w:tc>
              <w:tc>
                <w:tcPr/>
                <w:p>
                  <w:pPr>
                    <w:pStyle w:val="Compact"/>
                    <w:jc w:val="center"/>
                  </w:pPr>
                  <w:r>
                    <w:t xml:space="preserve">52.4 [&lt;0.01]</w:t>
                  </w:r>
                </w:p>
              </w:tc>
              <w:tc>
                <w:tcPr/>
                <w:p>
                  <w:pPr>
                    <w:pStyle w:val="Compact"/>
                    <w:jc w:val="center"/>
                  </w:pPr>
                  <w:r>
                    <w:t xml:space="preserve">52.4 [&lt;0.01]</w:t>
                  </w:r>
                </w:p>
              </w:tc>
              <w:tc>
                <w:tcPr/>
                <w:p>
                  <w:pPr>
                    <w:pStyle w:val="Compact"/>
                    <w:jc w:val="center"/>
                  </w:pPr>
                  <w:r>
                    <w:t xml:space="preserve">52.4 [&lt;0.01]</w:t>
                  </w:r>
                </w:p>
              </w:tc>
            </w:tr>
            <w:tr>
              <w:tc>
                <w:tcPr/>
                <w:p>
                  <w:pPr>
                    <w:pStyle w:val="Compact"/>
                    <w:jc w:val="center"/>
                  </w:pPr>
                  <w:r>
                    <w:t xml:space="preserve">Years with uncontrolled hypertension</w:t>
                  </w:r>
                </w:p>
              </w:tc>
              <w:tc>
                <w:tcPr/>
                <w:p>
                  <w:pPr>
                    <w:pStyle w:val="Compact"/>
                    <w:jc w:val="center"/>
                  </w:pPr>
                  <w:r>
                    <w:t xml:space="preserve">8.1 [&lt;0.01]</w:t>
                  </w:r>
                </w:p>
              </w:tc>
              <w:tc>
                <w:tcPr/>
                <w:p>
                  <w:pPr>
                    <w:pStyle w:val="Compact"/>
                    <w:jc w:val="center"/>
                  </w:pPr>
                  <w:r>
                    <w:t xml:space="preserve">8.6 [&lt;0.01]</w:t>
                  </w:r>
                </w:p>
              </w:tc>
              <w:tc>
                <w:tcPr/>
                <w:p>
                  <w:pPr>
                    <w:pStyle w:val="Compact"/>
                    <w:jc w:val="center"/>
                  </w:pPr>
                  <w:r>
                    <w:t xml:space="preserve">7.8 [&lt;0.01]</w:t>
                  </w:r>
                </w:p>
              </w:tc>
              <w:tc>
                <w:tcPr/>
                <w:p>
                  <w:pPr>
                    <w:pStyle w:val="Compact"/>
                    <w:jc w:val="center"/>
                  </w:pPr>
                  <w:r>
                    <w:t xml:space="preserve">7.9 [&lt;0.01]</w:t>
                  </w:r>
                </w:p>
              </w:tc>
            </w:tr>
            <w:tr>
              <w:tc>
                <w:tcPr/>
                <w:p>
                  <w:pPr>
                    <w:pStyle w:val="Compact"/>
                    <w:jc w:val="center"/>
                  </w:pPr>
                  <w:r>
                    <w:t xml:space="preserve">Years with controlled hypertension</w:t>
                  </w:r>
                </w:p>
              </w:tc>
              <w:tc>
                <w:tcPr/>
                <w:p>
                  <w:pPr>
                    <w:pStyle w:val="Compact"/>
                    <w:jc w:val="center"/>
                  </w:pPr>
                  <w:r>
                    <w:t xml:space="preserve">14.2 [&lt;0.01]</w:t>
                  </w:r>
                </w:p>
              </w:tc>
              <w:tc>
                <w:tcPr/>
                <w:p>
                  <w:pPr>
                    <w:pStyle w:val="Compact"/>
                    <w:jc w:val="center"/>
                  </w:pPr>
                  <w:r>
                    <w:t xml:space="preserve">13.0 [&lt;0.01]</w:t>
                  </w:r>
                </w:p>
              </w:tc>
              <w:tc>
                <w:tcPr/>
                <w:p>
                  <w:pPr>
                    <w:pStyle w:val="Compact"/>
                    <w:jc w:val="center"/>
                  </w:pPr>
                  <w:r>
                    <w:t xml:space="preserve">14.5 [&lt;0.01]</w:t>
                  </w:r>
                </w:p>
              </w:tc>
              <w:tc>
                <w:tcPr/>
                <w:p>
                  <w:pPr>
                    <w:pStyle w:val="Compact"/>
                    <w:jc w:val="center"/>
                  </w:pPr>
                  <w:r>
                    <w:t xml:space="preserve">14.0 [&lt;0.01]</w:t>
                  </w:r>
                </w:p>
              </w:tc>
            </w:tr>
            <w:tr>
              <w:tc>
                <w:tcPr/>
                <w:p>
                  <w:pPr>
                    <w:pStyle w:val="Compact"/>
                    <w:jc w:val="center"/>
                  </w:pPr>
                  <w:r>
                    <w:t xml:space="preserve">Life expectancy</w:t>
                  </w:r>
                </w:p>
              </w:tc>
              <w:tc>
                <w:tcPr/>
                <w:p>
                  <w:pPr>
                    <w:pStyle w:val="Compact"/>
                    <w:jc w:val="center"/>
                  </w:pPr>
                  <w:r>
                    <w:t xml:space="preserve">38.1 [&lt;0.01]</w:t>
                  </w:r>
                </w:p>
              </w:tc>
              <w:tc>
                <w:tcPr/>
                <w:p>
                  <w:pPr>
                    <w:pStyle w:val="Compact"/>
                    <w:jc w:val="center"/>
                  </w:pPr>
                  <w:r>
                    <w:t xml:space="preserve">37.9 [&lt;0.01]</w:t>
                  </w:r>
                </w:p>
              </w:tc>
              <w:tc>
                <w:tcPr/>
                <w:p>
                  <w:pPr>
                    <w:pStyle w:val="Compact"/>
                    <w:jc w:val="center"/>
                  </w:pPr>
                  <w:r>
                    <w:t xml:space="preserve">38.1 [&lt;0.01]</w:t>
                  </w:r>
                </w:p>
              </w:tc>
              <w:tc>
                <w:tcPr/>
                <w:p>
                  <w:pPr>
                    <w:pStyle w:val="Compact"/>
                    <w:jc w:val="center"/>
                  </w:pPr>
                  <w:r>
                    <w:t xml:space="preserve">38.1 [&lt;0.01]</w:t>
                  </w:r>
                </w:p>
              </w:tc>
            </w:tr>
          </w:tbl>
          <w:p>
            <w:pPr>
              <w:jc w:val="center"/>
            </w:pPr>
            <w:pPr>
              <w:jc w:val="left"/>
              <w:spacing w:before="200"/>
              <w:pStyle w:val="ImageCaption"/>
            </w:pPr>
            <w:r>
              <w:t xml:space="preserve">Table S11: Main outcomes comparing antihypertensive treatment guidelines with and without race adjustment (Mean [Monte Carlo standard error])</w:t>
            </w:r>
          </w:p>
          <w:bookmarkEnd w:id="162"/>
        </w:tc>
      </w:tr>
    </w:tbl>
    <w:bookmarkEnd w:id="163"/>
    <w:bookmarkStart w:id="255" w:name="sec-results-social-factors"/>
    <w:p>
      <w:pPr>
        <w:pStyle w:val="Heading3"/>
      </w:pPr>
      <w:r>
        <w:t xml:space="preserve">6.14 Additional results for secondary analysis</w:t>
      </w:r>
    </w:p>
    <w:tbl>
      <w:tblPr>
        <w:tblStyle w:val="Table"/>
        <w:tblW w:type="pct" w:w="5000"/>
        <w:tblLayout w:type="fixed"/>
        <w:tblLook w:firstRow="0" w:lastRow="0" w:firstColumn="0" w:lastColumn="0" w:noHBand="0" w:noVBand="0" w:val="0000"/>
      </w:tblPr>
      <w:tblGrid>
        <w:gridCol w:w="7920"/>
      </w:tblGrid>
      <w:tr>
        <w:tc>
          <w:tcPr/>
          <w:bookmarkStart w:id="164" w:name="supptbl-sff-cohort"/>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jc w:val="center"/>
                  </w:pPr>
                  <w:r>
                    <w:t xml:space="preserve">Non-Hispanic Black (N=50,000)</w:t>
                  </w:r>
                </w:p>
              </w:tc>
              <w:tc>
                <w:tcPr/>
                <w:p>
                  <w:pPr>
                    <w:pStyle w:val="Compact"/>
                    <w:jc w:val="center"/>
                  </w:pPr>
                  <w:r>
                    <w:t xml:space="preserve">Non-Hispanic white (N=50,000)</w:t>
                  </w:r>
                </w:p>
              </w:tc>
            </w:tr>
            <w:tr>
              <w:tc>
                <w:tcPr/>
                <w:p>
                  <w:pPr>
                    <w:pStyle w:val="Compact"/>
                    <w:jc w:val="center"/>
                  </w:pPr>
                  <w:r>
                    <w:t xml:space="preserve">Female (%)</w:t>
                  </w:r>
                </w:p>
              </w:tc>
              <w:tc>
                <w:tcPr/>
                <w:p>
                  <w:pPr>
                    <w:pStyle w:val="Compact"/>
                  </w:pPr>
                </w:p>
              </w:tc>
              <w:tc>
                <w:tcPr/>
                <w:p>
                  <w:pPr>
                    <w:pStyle w:val="Compact"/>
                    <w:jc w:val="center"/>
                  </w:pPr>
                  <w:r>
                    <w:t xml:space="preserve">52%</w:t>
                  </w:r>
                </w:p>
              </w:tc>
              <w:tc>
                <w:tcPr/>
                <w:p>
                  <w:pPr>
                    <w:pStyle w:val="Compact"/>
                    <w:jc w:val="center"/>
                  </w:pPr>
                  <w:r>
                    <w:t xml:space="preserve">51%</w:t>
                  </w:r>
                </w:p>
              </w:tc>
            </w:tr>
            <w:tr>
              <w:tc>
                <w:tcPr/>
                <w:p>
                  <w:pPr>
                    <w:pStyle w:val="Compact"/>
                    <w:jc w:val="center"/>
                  </w:pPr>
                  <w:r>
                    <w:t xml:space="preserve">With health insurance (%)</w:t>
                  </w:r>
                </w:p>
              </w:tc>
              <w:tc>
                <w:tcPr/>
                <w:p>
                  <w:pPr>
                    <w:pStyle w:val="Compact"/>
                  </w:pPr>
                </w:p>
              </w:tc>
              <w:tc>
                <w:tcPr/>
                <w:p>
                  <w:pPr>
                    <w:pStyle w:val="Compact"/>
                    <w:jc w:val="center"/>
                  </w:pPr>
                  <w:r>
                    <w:t xml:space="preserve">79%</w:t>
                  </w:r>
                </w:p>
              </w:tc>
              <w:tc>
                <w:tcPr/>
                <w:p>
                  <w:pPr>
                    <w:pStyle w:val="Compact"/>
                    <w:jc w:val="center"/>
                  </w:pPr>
                  <w:r>
                    <w:t xml:space="preserve">86%</w:t>
                  </w:r>
                </w:p>
              </w:tc>
            </w:tr>
            <w:tr>
              <w:tc>
                <w:tcPr/>
                <w:p>
                  <w:pPr>
                    <w:pStyle w:val="Compact"/>
                    <w:jc w:val="center"/>
                  </w:pPr>
                  <w:r>
                    <w:t xml:space="preserve">With place for routine healthcare (%)</w:t>
                  </w:r>
                </w:p>
              </w:tc>
              <w:tc>
                <w:tcPr/>
                <w:p>
                  <w:pPr>
                    <w:pStyle w:val="Compact"/>
                  </w:pPr>
                </w:p>
              </w:tc>
              <w:tc>
                <w:tcPr/>
                <w:p>
                  <w:pPr>
                    <w:pStyle w:val="Compact"/>
                    <w:jc w:val="center"/>
                  </w:pPr>
                  <w:r>
                    <w:t xml:space="preserve">79%</w:t>
                  </w:r>
                </w:p>
              </w:tc>
              <w:tc>
                <w:tcPr/>
                <w:p>
                  <w:pPr>
                    <w:pStyle w:val="Compact"/>
                    <w:jc w:val="center"/>
                  </w:pPr>
                  <w:r>
                    <w:t xml:space="preserve">79%</w:t>
                  </w:r>
                </w:p>
              </w:tc>
            </w:tr>
            <w:tr>
              <w:tc>
                <w:tcPr/>
                <w:p>
                  <w:pPr>
                    <w:pStyle w:val="Compact"/>
                    <w:jc w:val="center"/>
                  </w:pPr>
                  <w:r>
                    <w:t xml:space="preserve">Hypertension stage (%)</w:t>
                  </w:r>
                </w:p>
              </w:tc>
              <w:tc>
                <w:tcPr/>
                <w:p>
                  <w:pPr>
                    <w:pStyle w:val="Compact"/>
                    <w:jc w:val="center"/>
                  </w:pPr>
                  <w:r>
                    <w:t xml:space="preserve">Normal</w:t>
                  </w:r>
                </w:p>
              </w:tc>
              <w:tc>
                <w:tcPr/>
                <w:p>
                  <w:pPr>
                    <w:pStyle w:val="Compact"/>
                    <w:jc w:val="center"/>
                  </w:pPr>
                  <w:r>
                    <w:t xml:space="preserve">29%</w:t>
                  </w:r>
                </w:p>
              </w:tc>
              <w:tc>
                <w:tcPr/>
                <w:p>
                  <w:pPr>
                    <w:pStyle w:val="Compact"/>
                    <w:jc w:val="center"/>
                  </w:pPr>
                  <w:r>
                    <w:t xml:space="preserve">38%</w:t>
                  </w:r>
                </w:p>
              </w:tc>
            </w:tr>
            <w:tr>
              <w:tc>
                <w:tcPr/>
                <w:p>
                  <w:pPr>
                    <w:pStyle w:val="Compact"/>
                  </w:pPr>
                </w:p>
              </w:tc>
              <w:tc>
                <w:tcPr/>
                <w:p>
                  <w:pPr>
                    <w:pStyle w:val="Compact"/>
                    <w:jc w:val="center"/>
                  </w:pPr>
                  <w:r>
                    <w:t xml:space="preserve">Elevated</w:t>
                  </w:r>
                </w:p>
              </w:tc>
              <w:tc>
                <w:tcPr/>
                <w:p>
                  <w:pPr>
                    <w:pStyle w:val="Compact"/>
                    <w:jc w:val="center"/>
                  </w:pPr>
                  <w:r>
                    <w:t xml:space="preserve">15%</w:t>
                  </w:r>
                </w:p>
              </w:tc>
              <w:tc>
                <w:tcPr/>
                <w:p>
                  <w:pPr>
                    <w:pStyle w:val="Compact"/>
                    <w:jc w:val="center"/>
                  </w:pPr>
                  <w:r>
                    <w:t xml:space="preserve">15%</w:t>
                  </w:r>
                </w:p>
              </w:tc>
            </w:tr>
            <w:tr>
              <w:tc>
                <w:tcPr/>
                <w:p>
                  <w:pPr>
                    <w:pStyle w:val="Compact"/>
                  </w:pPr>
                </w:p>
              </w:tc>
              <w:tc>
                <w:tcPr/>
                <w:p>
                  <w:pPr>
                    <w:pStyle w:val="Compact"/>
                    <w:jc w:val="center"/>
                  </w:pPr>
                  <w:r>
                    <w:t xml:space="preserve">Stage 1</w:t>
                  </w:r>
                </w:p>
              </w:tc>
              <w:tc>
                <w:tcPr/>
                <w:p>
                  <w:pPr>
                    <w:pStyle w:val="Compact"/>
                    <w:jc w:val="center"/>
                  </w:pPr>
                  <w:r>
                    <w:t xml:space="preserve">36%</w:t>
                  </w:r>
                </w:p>
              </w:tc>
              <w:tc>
                <w:tcPr/>
                <w:p>
                  <w:pPr>
                    <w:pStyle w:val="Compact"/>
                    <w:jc w:val="center"/>
                  </w:pPr>
                  <w:r>
                    <w:t xml:space="preserve">34%</w:t>
                  </w:r>
                </w:p>
              </w:tc>
            </w:tr>
            <w:tr>
              <w:tc>
                <w:tcPr/>
                <w:p>
                  <w:pPr>
                    <w:pStyle w:val="Compact"/>
                  </w:pPr>
                </w:p>
              </w:tc>
              <w:tc>
                <w:tcPr/>
                <w:p>
                  <w:pPr>
                    <w:pStyle w:val="Compact"/>
                    <w:jc w:val="center"/>
                  </w:pPr>
                  <w:r>
                    <w:t xml:space="preserve">Stage 2</w:t>
                  </w:r>
                </w:p>
              </w:tc>
              <w:tc>
                <w:tcPr/>
                <w:p>
                  <w:pPr>
                    <w:pStyle w:val="Compact"/>
                    <w:jc w:val="center"/>
                  </w:pPr>
                  <w:r>
                    <w:t xml:space="preserve">19%</w:t>
                  </w:r>
                </w:p>
              </w:tc>
              <w:tc>
                <w:tcPr/>
                <w:p>
                  <w:pPr>
                    <w:pStyle w:val="Compact"/>
                    <w:jc w:val="center"/>
                  </w:pPr>
                  <w:r>
                    <w:t xml:space="preserve">14%</w:t>
                  </w:r>
                </w:p>
              </w:tc>
            </w:tr>
            <w:tr>
              <w:tc>
                <w:tcPr/>
                <w:p>
                  <w:pPr>
                    <w:pStyle w:val="Compact"/>
                    <w:jc w:val="center"/>
                  </w:pPr>
                  <w:r>
                    <w:t xml:space="preserve">Census tract-level SDI (mean [SD])</w:t>
                  </w:r>
                </w:p>
              </w:tc>
              <w:tc>
                <w:tcPr/>
                <w:p>
                  <w:pPr>
                    <w:pStyle w:val="Compact"/>
                  </w:pPr>
                </w:p>
              </w:tc>
              <w:tc>
                <w:tcPr/>
                <w:p>
                  <w:pPr>
                    <w:pStyle w:val="Compact"/>
                    <w:jc w:val="center"/>
                  </w:pPr>
                  <w:r>
                    <w:t xml:space="preserve">18.1 [6.4]</w:t>
                  </w:r>
                </w:p>
              </w:tc>
              <w:tc>
                <w:tcPr/>
                <w:p>
                  <w:pPr>
                    <w:pStyle w:val="Compact"/>
                    <w:jc w:val="center"/>
                  </w:pPr>
                  <w:r>
                    <w:t xml:space="preserve">14.6 [5.0]</w:t>
                  </w:r>
                </w:p>
              </w:tc>
            </w:tr>
            <w:tr>
              <w:tc>
                <w:tcPr/>
                <w:p>
                  <w:pPr>
                    <w:pStyle w:val="Compact"/>
                    <w:jc w:val="center"/>
                  </w:pPr>
                  <w:r>
                    <w:t xml:space="preserve">Systolic blood pressure (mean [SD])</w:t>
                  </w:r>
                </w:p>
              </w:tc>
              <w:tc>
                <w:tcPr/>
                <w:p>
                  <w:pPr>
                    <w:pStyle w:val="Compact"/>
                  </w:pPr>
                </w:p>
              </w:tc>
              <w:tc>
                <w:tcPr/>
                <w:p>
                  <w:pPr>
                    <w:pStyle w:val="Compact"/>
                    <w:jc w:val="center"/>
                  </w:pPr>
                  <w:r>
                    <w:t xml:space="preserve">124.1 [13.0]</w:t>
                  </w:r>
                </w:p>
              </w:tc>
              <w:tc>
                <w:tcPr/>
                <w:p>
                  <w:pPr>
                    <w:pStyle w:val="Compact"/>
                    <w:jc w:val="center"/>
                  </w:pPr>
                  <w:r>
                    <w:t xml:space="preserve">121.0 [12.7]</w:t>
                  </w:r>
                </w:p>
              </w:tc>
            </w:tr>
            <w:tr>
              <w:tc>
                <w:tcPr/>
                <w:p>
                  <w:pPr>
                    <w:pStyle w:val="Compact"/>
                    <w:jc w:val="center"/>
                  </w:pPr>
                  <w:r>
                    <w:t xml:space="preserve">Diastolic blood pressure (mean [SD])</w:t>
                  </w:r>
                </w:p>
              </w:tc>
              <w:tc>
                <w:tcPr/>
                <w:p>
                  <w:pPr>
                    <w:pStyle w:val="Compact"/>
                  </w:pPr>
                </w:p>
              </w:tc>
              <w:tc>
                <w:tcPr/>
                <w:p>
                  <w:pPr>
                    <w:pStyle w:val="Compact"/>
                    <w:jc w:val="center"/>
                  </w:pPr>
                  <w:r>
                    <w:t xml:space="preserve">78.5 [9.1]</w:t>
                  </w:r>
                </w:p>
              </w:tc>
              <w:tc>
                <w:tcPr/>
                <w:p>
                  <w:pPr>
                    <w:pStyle w:val="Compact"/>
                    <w:jc w:val="center"/>
                  </w:pPr>
                  <w:r>
                    <w:t xml:space="preserve">77.0 [9.1]</w:t>
                  </w:r>
                </w:p>
              </w:tc>
            </w:tr>
          </w:tbl>
          <w:p>
            <w:pPr>
              <w:jc w:val="center"/>
            </w:pPr>
            <w:pPr>
              <w:jc w:val="left"/>
              <w:spacing w:before="200"/>
              <w:pStyle w:val="ImageCaption"/>
            </w:pPr>
            <w:r>
              <w:t xml:space="preserve">Table S12: Demographic and clinical characteristics of simulation cohort by race in secondary analysis (SD: standard deviation)</w:t>
            </w:r>
          </w:p>
          <w:bookmarkEnd w:id="16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5" w:name="supptbl-sff-main-results"/>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Outcome</w:t>
                  </w:r>
                </w:p>
              </w:tc>
              <w:tc>
                <w:tcPr/>
                <w:p>
                  <w:pPr>
                    <w:pStyle w:val="Compact"/>
                    <w:jc w:val="center"/>
                  </w:pPr>
                  <w:r>
                    <w:t xml:space="preserve">Heterogeneous Treatment Effects</w:t>
                  </w:r>
                </w:p>
              </w:tc>
              <w:tc>
                <w:tcPr/>
                <w:p>
                  <w:pPr>
                    <w:pStyle w:val="Compact"/>
                  </w:pPr>
                </w:p>
              </w:tc>
              <w:tc>
                <w:tcPr/>
                <w:p>
                  <w:pPr>
                    <w:pStyle w:val="Compact"/>
                    <w:jc w:val="center"/>
                  </w:pPr>
                  <w:r>
                    <w:t xml:space="preserve">No Heterogeneous Treatment Effects</w:t>
                  </w:r>
                </w:p>
              </w:tc>
              <w:tc>
                <w:tcPr/>
                <w:p>
                  <w:pPr>
                    <w:pStyle w:val="Compact"/>
                  </w:pPr>
                </w:p>
              </w:tc>
            </w:tr>
            <w:tr>
              <w:tc>
                <w:tcPr/>
                <w:p>
                  <w:pPr>
                    <w:pStyle w:val="Compact"/>
                  </w:pPr>
                </w:p>
              </w:tc>
              <w:tc>
                <w:tcPr/>
                <w:p>
                  <w:pPr>
                    <w:pStyle w:val="Compact"/>
                    <w:jc w:val="center"/>
                  </w:pPr>
                  <w:r>
                    <w:t xml:space="preserve">Race Adjustment</w:t>
                  </w:r>
                </w:p>
              </w:tc>
              <w:tc>
                <w:tcPr/>
                <w:p>
                  <w:pPr>
                    <w:pStyle w:val="Compact"/>
                    <w:jc w:val="center"/>
                  </w:pPr>
                  <w:r>
                    <w:t xml:space="preserve">No Race Adjustment</w:t>
                  </w:r>
                </w:p>
              </w:tc>
              <w:tc>
                <w:tcPr/>
                <w:p>
                  <w:pPr>
                    <w:pStyle w:val="Compact"/>
                    <w:jc w:val="center"/>
                  </w:pPr>
                  <w:r>
                    <w:t xml:space="preserve">Race Adjustment</w:t>
                  </w:r>
                </w:p>
              </w:tc>
              <w:tc>
                <w:tcPr/>
                <w:p>
                  <w:pPr>
                    <w:pStyle w:val="Compact"/>
                    <w:jc w:val="center"/>
                  </w:pPr>
                  <w:r>
                    <w:t xml:space="preserve">No Race Adjustment</w:t>
                  </w:r>
                </w:p>
              </w:tc>
            </w:tr>
            <w:tr>
              <w:tc>
                <w:tcPr/>
                <w:p>
                  <w:pPr>
                    <w:pStyle w:val="Compact"/>
                    <w:jc w:val="center"/>
                  </w:pPr>
                  <w:r>
                    <w:t xml:space="preserve">Cumulative incidence of hypertension stage 1 or 2 (%)</w:t>
                  </w:r>
                </w:p>
              </w:tc>
              <w:tc>
                <w:tcPr/>
                <w:p>
                  <w:pPr>
                    <w:pStyle w:val="Compact"/>
                    <w:jc w:val="center"/>
                  </w:pPr>
                  <w:r>
                    <w:t xml:space="preserve">90% [&lt;1%]</w:t>
                  </w:r>
                </w:p>
              </w:tc>
              <w:tc>
                <w:tcPr/>
                <w:p>
                  <w:pPr>
                    <w:pStyle w:val="Compact"/>
                    <w:jc w:val="center"/>
                  </w:pPr>
                  <w:r>
                    <w:t xml:space="preserve">90% [&lt;1%]</w:t>
                  </w:r>
                </w:p>
              </w:tc>
              <w:tc>
                <w:tcPr/>
                <w:p>
                  <w:pPr>
                    <w:pStyle w:val="Compact"/>
                    <w:jc w:val="center"/>
                  </w:pPr>
                  <w:r>
                    <w:t xml:space="preserve">90% [&lt;1%]</w:t>
                  </w:r>
                </w:p>
              </w:tc>
              <w:tc>
                <w:tcPr/>
                <w:p>
                  <w:pPr>
                    <w:pStyle w:val="Compact"/>
                    <w:jc w:val="center"/>
                  </w:pPr>
                  <w:r>
                    <w:t xml:space="preserve">90% [&lt;1%]</w:t>
                  </w:r>
                </w:p>
              </w:tc>
            </w:tr>
            <w:tr>
              <w:tc>
                <w:tcPr/>
                <w:p>
                  <w:pPr>
                    <w:pStyle w:val="Compact"/>
                    <w:jc w:val="center"/>
                  </w:pPr>
                  <w:r>
                    <w:t xml:space="preserve">Years spent in stage 1 or 2 hypertension</w:t>
                  </w:r>
                </w:p>
              </w:tc>
              <w:tc>
                <w:tcPr/>
                <w:p>
                  <w:pPr>
                    <w:pStyle w:val="Compact"/>
                    <w:jc w:val="center"/>
                  </w:pPr>
                  <w:r>
                    <w:t xml:space="preserve">15.6 [&lt;0.01]</w:t>
                  </w:r>
                </w:p>
              </w:tc>
              <w:tc>
                <w:tcPr/>
                <w:p>
                  <w:pPr>
                    <w:pStyle w:val="Compact"/>
                    <w:jc w:val="center"/>
                  </w:pPr>
                  <w:r>
                    <w:t xml:space="preserve">16.1 [&lt;0.01]</w:t>
                  </w:r>
                </w:p>
              </w:tc>
              <w:tc>
                <w:tcPr/>
                <w:p>
                  <w:pPr>
                    <w:pStyle w:val="Compact"/>
                    <w:jc w:val="center"/>
                  </w:pPr>
                  <w:r>
                    <w:t xml:space="preserve">15.4 [&lt;0.01]</w:t>
                  </w:r>
                </w:p>
              </w:tc>
              <w:tc>
                <w:tcPr/>
                <w:p>
                  <w:pPr>
                    <w:pStyle w:val="Compact"/>
                    <w:jc w:val="center"/>
                  </w:pPr>
                  <w:r>
                    <w:t xml:space="preserve">15.6 [&lt;0.01]</w:t>
                  </w:r>
                </w:p>
              </w:tc>
            </w:tr>
            <w:tr>
              <w:tc>
                <w:tcPr/>
                <w:p>
                  <w:pPr>
                    <w:pStyle w:val="Compact"/>
                    <w:jc w:val="center"/>
                  </w:pPr>
                  <w:r>
                    <w:t xml:space="preserve">Cumulative incidence of antihypertensive treatment</w:t>
                  </w:r>
                </w:p>
              </w:tc>
              <w:tc>
                <w:tcPr/>
                <w:p>
                  <w:pPr>
                    <w:pStyle w:val="Compact"/>
                    <w:jc w:val="center"/>
                  </w:pPr>
                  <w:r>
                    <w:t xml:space="preserve">69% [&lt;1%]</w:t>
                  </w:r>
                </w:p>
              </w:tc>
              <w:tc>
                <w:tcPr/>
                <w:p>
                  <w:pPr>
                    <w:pStyle w:val="Compact"/>
                    <w:jc w:val="center"/>
                  </w:pPr>
                  <w:r>
                    <w:t xml:space="preserve">69% [&lt;1%]</w:t>
                  </w:r>
                </w:p>
              </w:tc>
              <w:tc>
                <w:tcPr/>
                <w:p>
                  <w:pPr>
                    <w:pStyle w:val="Compact"/>
                    <w:jc w:val="center"/>
                  </w:pPr>
                  <w:r>
                    <w:t xml:space="preserve">69% [&lt;1%]</w:t>
                  </w:r>
                </w:p>
              </w:tc>
              <w:tc>
                <w:tcPr/>
                <w:p>
                  <w:pPr>
                    <w:pStyle w:val="Compact"/>
                    <w:jc w:val="center"/>
                  </w:pPr>
                  <w:r>
                    <w:t xml:space="preserve">69% [&lt;1%]</w:t>
                  </w:r>
                </w:p>
              </w:tc>
            </w:tr>
            <w:tr>
              <w:tc>
                <w:tcPr/>
                <w:p>
                  <w:pPr>
                    <w:pStyle w:val="Compact"/>
                    <w:jc w:val="center"/>
                  </w:pPr>
                  <w:r>
                    <w:t xml:space="preserve">Years on antihypertensive treatment</w:t>
                  </w:r>
                </w:p>
              </w:tc>
              <w:tc>
                <w:tcPr/>
                <w:p>
                  <w:pPr>
                    <w:pStyle w:val="Compact"/>
                    <w:jc w:val="center"/>
                  </w:pPr>
                  <w:r>
                    <w:t xml:space="preserve">21.3 [0.1]</w:t>
                  </w:r>
                </w:p>
              </w:tc>
              <w:tc>
                <w:tcPr/>
                <w:p>
                  <w:pPr>
                    <w:pStyle w:val="Compact"/>
                    <w:jc w:val="center"/>
                  </w:pPr>
                  <w:r>
                    <w:t xml:space="preserve">20.5 [0.1]</w:t>
                  </w:r>
                </w:p>
              </w:tc>
              <w:tc>
                <w:tcPr/>
                <w:p>
                  <w:pPr>
                    <w:pStyle w:val="Compact"/>
                    <w:jc w:val="center"/>
                  </w:pPr>
                  <w:r>
                    <w:t xml:space="preserve">21.3 [0.1]</w:t>
                  </w:r>
                </w:p>
              </w:tc>
              <w:tc>
                <w:tcPr/>
                <w:p>
                  <w:pPr>
                    <w:pStyle w:val="Compact"/>
                    <w:jc w:val="center"/>
                  </w:pPr>
                  <w:r>
                    <w:t xml:space="preserve">20.8 [0.1]</w:t>
                  </w:r>
                </w:p>
              </w:tc>
            </w:tr>
            <w:tr>
              <w:tc>
                <w:tcPr/>
                <w:p>
                  <w:pPr>
                    <w:pStyle w:val="Compact"/>
                    <w:jc w:val="center"/>
                  </w:pPr>
                  <w:r>
                    <w:t xml:space="preserve">Average age to initiate treatment</w:t>
                  </w:r>
                </w:p>
              </w:tc>
              <w:tc>
                <w:tcPr/>
                <w:p>
                  <w:pPr>
                    <w:pStyle w:val="Compact"/>
                    <w:jc w:val="center"/>
                  </w:pPr>
                  <w:r>
                    <w:t xml:space="preserve">53.4 [&lt;0.01]</w:t>
                  </w:r>
                </w:p>
              </w:tc>
              <w:tc>
                <w:tcPr/>
                <w:p>
                  <w:pPr>
                    <w:pStyle w:val="Compact"/>
                    <w:jc w:val="center"/>
                  </w:pPr>
                  <w:r>
                    <w:t xml:space="preserve">53.4 [&lt;0.01]</w:t>
                  </w:r>
                </w:p>
              </w:tc>
              <w:tc>
                <w:tcPr/>
                <w:p>
                  <w:pPr>
                    <w:pStyle w:val="Compact"/>
                    <w:jc w:val="center"/>
                  </w:pPr>
                  <w:r>
                    <w:t xml:space="preserve">53.4 [&lt;0.01]</w:t>
                  </w:r>
                </w:p>
              </w:tc>
              <w:tc>
                <w:tcPr/>
                <w:p>
                  <w:pPr>
                    <w:pStyle w:val="Compact"/>
                    <w:jc w:val="center"/>
                  </w:pPr>
                  <w:r>
                    <w:t xml:space="preserve">53.4 [&lt;0.01]</w:t>
                  </w:r>
                </w:p>
              </w:tc>
            </w:tr>
            <w:tr>
              <w:tc>
                <w:tcPr/>
                <w:p>
                  <w:pPr>
                    <w:pStyle w:val="Compact"/>
                    <w:jc w:val="center"/>
                  </w:pPr>
                  <w:r>
                    <w:t xml:space="preserve">Years with uncontrolled hypertension</w:t>
                  </w:r>
                </w:p>
              </w:tc>
              <w:tc>
                <w:tcPr/>
                <w:p>
                  <w:pPr>
                    <w:pStyle w:val="Compact"/>
                    <w:jc w:val="center"/>
                  </w:pPr>
                  <w:r>
                    <w:t xml:space="preserve">7.9 [&lt;0.01]</w:t>
                  </w:r>
                </w:p>
              </w:tc>
              <w:tc>
                <w:tcPr/>
                <w:p>
                  <w:pPr>
                    <w:pStyle w:val="Compact"/>
                    <w:jc w:val="center"/>
                  </w:pPr>
                  <w:r>
                    <w:t xml:space="preserve">8.2 [&lt;0.01]</w:t>
                  </w:r>
                </w:p>
              </w:tc>
              <w:tc>
                <w:tcPr/>
                <w:p>
                  <w:pPr>
                    <w:pStyle w:val="Compact"/>
                    <w:jc w:val="center"/>
                  </w:pPr>
                  <w:r>
                    <w:t xml:space="preserve">7.5 [&lt;0.01]</w:t>
                  </w:r>
                </w:p>
              </w:tc>
              <w:tc>
                <w:tcPr/>
                <w:p>
                  <w:pPr>
                    <w:pStyle w:val="Compact"/>
                    <w:jc w:val="center"/>
                  </w:pPr>
                  <w:r>
                    <w:t xml:space="preserve">7.6 [&lt;0.01]</w:t>
                  </w:r>
                </w:p>
              </w:tc>
            </w:tr>
            <w:tr>
              <w:tc>
                <w:tcPr/>
                <w:p>
                  <w:pPr>
                    <w:pStyle w:val="Compact"/>
                    <w:jc w:val="center"/>
                  </w:pPr>
                  <w:r>
                    <w:t xml:space="preserve">Years with controlled hypertension</w:t>
                  </w:r>
                </w:p>
              </w:tc>
              <w:tc>
                <w:tcPr/>
                <w:p>
                  <w:pPr>
                    <w:pStyle w:val="Compact"/>
                    <w:jc w:val="center"/>
                  </w:pPr>
                  <w:r>
                    <w:t xml:space="preserve">13.4 [&lt;0.01]</w:t>
                  </w:r>
                </w:p>
              </w:tc>
              <w:tc>
                <w:tcPr/>
                <w:p>
                  <w:pPr>
                    <w:pStyle w:val="Compact"/>
                    <w:jc w:val="center"/>
                  </w:pPr>
                  <w:r>
                    <w:t xml:space="preserve">12.3 [&lt;0.01]</w:t>
                  </w:r>
                </w:p>
              </w:tc>
              <w:tc>
                <w:tcPr/>
                <w:p>
                  <w:pPr>
                    <w:pStyle w:val="Compact"/>
                    <w:jc w:val="center"/>
                  </w:pPr>
                  <w:r>
                    <w:t xml:space="preserve">13.7 [&lt;0.01]</w:t>
                  </w:r>
                </w:p>
              </w:tc>
              <w:tc>
                <w:tcPr/>
                <w:p>
                  <w:pPr>
                    <w:pStyle w:val="Compact"/>
                    <w:jc w:val="center"/>
                  </w:pPr>
                  <w:r>
                    <w:t xml:space="preserve">13.1 [&lt;0.01]</w:t>
                  </w:r>
                </w:p>
              </w:tc>
            </w:tr>
            <w:tr>
              <w:tc>
                <w:tcPr/>
                <w:p>
                  <w:pPr>
                    <w:pStyle w:val="Compact"/>
                    <w:jc w:val="center"/>
                  </w:pPr>
                  <w:r>
                    <w:t xml:space="preserve">Life expectancy</w:t>
                  </w:r>
                </w:p>
              </w:tc>
              <w:tc>
                <w:tcPr/>
                <w:p>
                  <w:pPr>
                    <w:pStyle w:val="Compact"/>
                    <w:jc w:val="center"/>
                  </w:pPr>
                  <w:r>
                    <w:t xml:space="preserve">37.6 [&lt;0.01]</w:t>
                  </w:r>
                </w:p>
              </w:tc>
              <w:tc>
                <w:tcPr/>
                <w:p>
                  <w:pPr>
                    <w:pStyle w:val="Compact"/>
                    <w:jc w:val="center"/>
                  </w:pPr>
                  <w:r>
                    <w:t xml:space="preserve">37.5 [&lt;0.01]</w:t>
                  </w:r>
                </w:p>
              </w:tc>
              <w:tc>
                <w:tcPr/>
                <w:p>
                  <w:pPr>
                    <w:pStyle w:val="Compact"/>
                    <w:jc w:val="center"/>
                  </w:pPr>
                  <w:r>
                    <w:t xml:space="preserve">37.7 [&lt;0.01]</w:t>
                  </w:r>
                </w:p>
              </w:tc>
              <w:tc>
                <w:tcPr/>
                <w:p>
                  <w:pPr>
                    <w:pStyle w:val="Compact"/>
                    <w:jc w:val="center"/>
                  </w:pPr>
                  <w:r>
                    <w:t xml:space="preserve">37.6 [&lt;0.01]</w:t>
                  </w:r>
                </w:p>
              </w:tc>
            </w:tr>
          </w:tbl>
          <w:p>
            <w:pPr>
              <w:jc w:val="center"/>
            </w:pPr>
            <w:pPr>
              <w:jc w:val="left"/>
              <w:spacing w:before="200"/>
              <w:pStyle w:val="ImageCaption"/>
            </w:pPr>
            <w:r>
              <w:t xml:space="preserve">Table S13: Main outcomes comparing antihypertensive treatment guidelines with and without race adjustment in secondary analysis (Mean [Monte Carlo standard error])</w:t>
            </w:r>
          </w:p>
          <w:bookmarkEnd w:id="16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9" w:name="suppfig-sff-cum-incidence-treatment"/>
          <w:p>
            <w:pPr>
              <w:pStyle w:val="Compact"/>
              <w:jc w:val="center"/>
            </w:pPr>
            <w:r>
              <w:drawing>
                <wp:inline>
                  <wp:extent cx="5334000" cy="3456555"/>
                  <wp:effectExtent b="0" l="0" r="0" t="0"/>
                  <wp:docPr descr="" title="" id="167" name="Picture"/>
                  <a:graphic>
                    <a:graphicData uri="http://schemas.openxmlformats.org/drawingml/2006/picture">
                      <pic:pic>
                        <pic:nvPicPr>
                          <pic:cNvPr descr="figures/social/cum_inc_treated_hetero_RA.png" id="168" name="Picture"/>
                          <pic:cNvPicPr>
                            <a:picLocks noChangeArrowheads="1" noChangeAspect="1"/>
                          </pic:cNvPicPr>
                        </pic:nvPicPr>
                        <pic:blipFill>
                          <a:blip r:embed="rId166"/>
                          <a:stretch>
                            <a:fillRect/>
                          </a:stretch>
                        </pic:blipFill>
                        <pic:spPr bwMode="auto">
                          <a:xfrm>
                            <a:off x="0" y="0"/>
                            <a:ext cx="5334000" cy="3456555"/>
                          </a:xfrm>
                          <a:prstGeom prst="rect">
                            <a:avLst/>
                          </a:prstGeom>
                          <a:noFill/>
                          <a:ln w="9525">
                            <a:noFill/>
                            <a:headEnd/>
                            <a:tailEnd/>
                          </a:ln>
                        </pic:spPr>
                      </pic:pic>
                    </a:graphicData>
                  </a:graphic>
                </wp:inline>
              </w:drawing>
            </w:r>
          </w:p>
          <w:p>
            <w:pPr>
              <w:jc w:val="center"/>
            </w:pPr>
            <w:pPr>
              <w:jc w:val="left"/>
              <w:spacing w:before="200"/>
              <w:pStyle w:val="ImageCaption"/>
            </w:pPr>
            <w:r>
              <w:t xml:space="preserve">Figure S10: Cumulative incidence of antihypertensive treatment for non-Hispanic Black and non-Hispanic white 40-year-old adults by insurance status</w:t>
            </w:r>
          </w:p>
          <w:bookmarkEnd w:id="169"/>
        </w:tc>
      </w:tr>
    </w:tbl>
    <w:p>
      <w:pPr>
        <w:pStyle w:val="BodyText"/>
      </w:pPr>
      <w:r>
        <w:t xml:space="preserve"> </w:t>
      </w:r>
    </w:p>
    <w:bookmarkStart w:id="190" w:name="suppfig-sff-results-race"/>
    <w:tbl>
      <w:tblPr>
        <w:tblStyle w:val="Table"/>
        <w:tblW w:type="pct" w:w="4900"/>
        <w:tblLayout w:type="fixed"/>
        <w:tblLook w:firstRow="0" w:lastRow="0" w:firstColumn="0" w:lastColumn="0" w:noHBand="0" w:noVBand="0" w:val="0000"/>
      </w:tblPr>
      <w:tblGrid>
        <w:gridCol w:w="1940"/>
        <w:gridCol w:w="1940"/>
        <w:gridCol w:w="1940"/>
        <w:gridCol w:w="1940"/>
      </w:tblGrid>
      <w:tr>
        <w:tc>
          <w:tcPr/>
          <w:tbl>
            <w:tblPr>
              <w:tblStyle w:val="Table"/>
              <w:tblW w:type="pct" w:w="4900"/>
              <w:tblLayout w:type="fixed"/>
              <w:tblLook w:firstRow="0" w:lastRow="0" w:firstColumn="0" w:lastColumn="0" w:noHBand="0" w:noVBand="0" w:val="0000"/>
            </w:tblPr>
            <w:tblGrid>
              <w:gridCol w:w="7761"/>
            </w:tblGrid>
            <w:tr>
              <w:tc>
                <w:tcPr/>
                <w:bookmarkStart w:id="174" w:name="suppfig-second-le"/>
                <w:p>
                  <w:pPr>
                    <w:pStyle w:val="Compact"/>
                    <w:jc w:val="center"/>
                    <w:jc w:val="left"/>
                  </w:pPr>
                  <w:bookmarkStart w:id="173" w:name="suppfig-second-le"/>
                  <w:r>
                    <w:drawing>
                      <wp:inline>
                        <wp:extent cx="1481328" cy="1040684"/>
                        <wp:effectExtent b="0" l="0" r="0" t="0"/>
                        <wp:docPr descr="" title="" id="171" name="Picture"/>
                        <a:graphic>
                          <a:graphicData uri="http://schemas.openxmlformats.org/drawingml/2006/picture">
                            <pic:pic>
                              <pic:nvPicPr>
                                <pic:cNvPr descr="figures/social/main_results_by_race_years_to_death.png" id="172" name="Picture"/>
                                <pic:cNvPicPr>
                                  <a:picLocks noChangeArrowheads="1" noChangeAspect="1"/>
                                </pic:cNvPicPr>
                              </pic:nvPicPr>
                              <pic:blipFill>
                                <a:blip r:embed="rId170"/>
                                <a:stretch>
                                  <a:fillRect/>
                                </a:stretch>
                              </pic:blipFill>
                              <pic:spPr bwMode="auto">
                                <a:xfrm>
                                  <a:off x="0" y="0"/>
                                  <a:ext cx="1481328" cy="1040684"/>
                                </a:xfrm>
                                <a:prstGeom prst="rect">
                                  <a:avLst/>
                                </a:prstGeom>
                                <a:noFill/>
                                <a:ln w="9525">
                                  <a:noFill/>
                                  <a:headEnd/>
                                  <a:tailEnd/>
                                </a:ln>
                              </pic:spPr>
                            </pic:pic>
                          </a:graphicData>
                        </a:graphic>
                      </wp:inline>
                    </w:drawing>
                  </w:r>
                  <w:bookmarkEnd w:id="173"/>
                </w:p>
                <w:p>
                  <w:pPr>
                    <w:jc w:val="center"/>
                    <w:jc w:val="left"/>
                  </w:pPr>
                  <w:pPr>
                    <w:jc w:val="left"/>
                    <w:spacing w:before="200"/>
                    <w:pStyle w:val="ImageCaption"/>
                  </w:pPr>
                  <w:r>
                    <w:t xml:space="preserve">(a)</w:t>
                  </w:r>
                </w:p>
                <w:bookmarkEnd w:id="174"/>
              </w:tc>
            </w:tr>
          </w:tbl>
          <w:p/>
        </w:tc>
        <w:tc>
          <w:tcPr/>
          <w:p>
            <w:pPr>
              <w:jc w:val="left"/>
            </w:pPr>
            <w:r>
              <w:t xml:space="preserve"> </w:t>
            </w:r>
          </w:p>
        </w:tc>
        <w:tc>
          <w:tcPr/>
          <w:tbl>
            <w:tblPr>
              <w:tblStyle w:val="Table"/>
              <w:tblW w:type="pct" w:w="4900"/>
              <w:tblLayout w:type="fixed"/>
              <w:tblLook w:firstRow="0" w:lastRow="0" w:firstColumn="0" w:lastColumn="0" w:noHBand="0" w:noVBand="0" w:val="0000"/>
            </w:tblPr>
            <w:tblGrid>
              <w:gridCol w:w="7761"/>
            </w:tblGrid>
            <w:tr>
              <w:tc>
                <w:tcPr/>
                <w:bookmarkStart w:id="179" w:name="suppfig-second-sick"/>
                <w:p>
                  <w:pPr>
                    <w:pStyle w:val="Compact"/>
                    <w:jc w:val="center"/>
                    <w:jc w:val="left"/>
                  </w:pPr>
                  <w:bookmarkStart w:id="178" w:name="suppfig-second-sick"/>
                  <w:r>
                    <w:drawing>
                      <wp:inline>
                        <wp:extent cx="1481328" cy="1032315"/>
                        <wp:effectExtent b="0" l="0" r="0" t="0"/>
                        <wp:docPr descr="" title="" id="176" name="Picture"/>
                        <a:graphic>
                          <a:graphicData uri="http://schemas.openxmlformats.org/drawingml/2006/picture">
                            <pic:pic>
                              <pic:nvPicPr>
                                <pic:cNvPr descr="figures/social/main_results_by_race_years_sick.png" id="177" name="Picture"/>
                                <pic:cNvPicPr>
                                  <a:picLocks noChangeArrowheads="1" noChangeAspect="1"/>
                                </pic:cNvPicPr>
                              </pic:nvPicPr>
                              <pic:blipFill>
                                <a:blip r:embed="rId175"/>
                                <a:stretch>
                                  <a:fillRect/>
                                </a:stretch>
                              </pic:blipFill>
                              <pic:spPr bwMode="auto">
                                <a:xfrm>
                                  <a:off x="0" y="0"/>
                                  <a:ext cx="1481328" cy="1032315"/>
                                </a:xfrm>
                                <a:prstGeom prst="rect">
                                  <a:avLst/>
                                </a:prstGeom>
                                <a:noFill/>
                                <a:ln w="9525">
                                  <a:noFill/>
                                  <a:headEnd/>
                                  <a:tailEnd/>
                                </a:ln>
                              </pic:spPr>
                            </pic:pic>
                          </a:graphicData>
                        </a:graphic>
                      </wp:inline>
                    </w:drawing>
                  </w:r>
                  <w:bookmarkEnd w:id="178"/>
                </w:p>
                <w:p>
                  <w:pPr>
                    <w:jc w:val="center"/>
                    <w:jc w:val="left"/>
                  </w:pPr>
                  <w:pPr>
                    <w:jc w:val="left"/>
                    <w:spacing w:before="200"/>
                    <w:pStyle w:val="ImageCaption"/>
                  </w:pPr>
                  <w:r>
                    <w:t xml:space="preserve">(b)</w:t>
                  </w:r>
                </w:p>
                <w:bookmarkEnd w:id="179"/>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2587"/>
        <w:gridCol w:w="2587"/>
        <w:gridCol w:w="2587"/>
      </w:tblGrid>
      <w:tr>
        <w:tc>
          <w:tcPr/>
          <w:tbl>
            <w:tblPr>
              <w:tblStyle w:val="Table"/>
              <w:tblW w:type="pct" w:w="4900"/>
              <w:tblLayout w:type="fixed"/>
              <w:tblLook w:firstRow="0" w:lastRow="0" w:firstColumn="0" w:lastColumn="0" w:noHBand="0" w:noVBand="0" w:val="0000"/>
            </w:tblPr>
            <w:tblGrid>
              <w:gridCol w:w="7761"/>
            </w:tblGrid>
            <w:tr>
              <w:tc>
                <w:tcPr/>
                <w:bookmarkStart w:id="184" w:name="suppfig-second-treated"/>
                <w:p>
                  <w:pPr>
                    <w:pStyle w:val="Compact"/>
                    <w:jc w:val="center"/>
                    <w:jc w:val="left"/>
                  </w:pPr>
                  <w:bookmarkStart w:id="183" w:name="suppfig-second-treated"/>
                  <w:r>
                    <w:drawing>
                      <wp:inline>
                        <wp:extent cx="1481328" cy="1007523"/>
                        <wp:effectExtent b="0" l="0" r="0" t="0"/>
                        <wp:docPr descr="" title="" id="181" name="Picture"/>
                        <a:graphic>
                          <a:graphicData uri="http://schemas.openxmlformats.org/drawingml/2006/picture">
                            <pic:pic>
                              <pic:nvPicPr>
                                <pic:cNvPr descr="figures/social/main_results_by_race_years_treated.png" id="182" name="Picture"/>
                                <pic:cNvPicPr>
                                  <a:picLocks noChangeArrowheads="1" noChangeAspect="1"/>
                                </pic:cNvPicPr>
                              </pic:nvPicPr>
                              <pic:blipFill>
                                <a:blip r:embed="rId180"/>
                                <a:stretch>
                                  <a:fillRect/>
                                </a:stretch>
                              </pic:blipFill>
                              <pic:spPr bwMode="auto">
                                <a:xfrm>
                                  <a:off x="0" y="0"/>
                                  <a:ext cx="1481328" cy="1007523"/>
                                </a:xfrm>
                                <a:prstGeom prst="rect">
                                  <a:avLst/>
                                </a:prstGeom>
                                <a:noFill/>
                                <a:ln w="9525">
                                  <a:noFill/>
                                  <a:headEnd/>
                                  <a:tailEnd/>
                                </a:ln>
                              </pic:spPr>
                            </pic:pic>
                          </a:graphicData>
                        </a:graphic>
                      </wp:inline>
                    </w:drawing>
                  </w:r>
                  <w:bookmarkEnd w:id="183"/>
                </w:p>
                <w:p>
                  <w:pPr>
                    <w:jc w:val="center"/>
                    <w:jc w:val="left"/>
                  </w:pPr>
                  <w:pPr>
                    <w:jc w:val="left"/>
                    <w:spacing w:before="200"/>
                    <w:pStyle w:val="ImageCaption"/>
                  </w:pPr>
                  <w:r>
                    <w:t xml:space="preserve">(c)</w:t>
                  </w:r>
                </w:p>
                <w:bookmarkEnd w:id="184"/>
              </w:tc>
            </w:tr>
          </w:tbl>
          <w:p/>
        </w:tc>
        <w:tc>
          <w:tcPr/>
          <w:p>
            <w:pPr>
              <w:jc w:val="left"/>
            </w:pPr>
            <w:r>
              <w:t xml:space="preserve"> </w:t>
            </w:r>
          </w:p>
        </w:tc>
        <w:tc>
          <w:tcPr/>
          <w:tbl>
            <w:tblPr>
              <w:tblStyle w:val="Table"/>
              <w:tblW w:type="pct" w:w="4900"/>
              <w:tblLayout w:type="fixed"/>
              <w:tblLook w:firstRow="0" w:lastRow="0" w:firstColumn="0" w:lastColumn="0" w:noHBand="0" w:noVBand="0" w:val="0000"/>
            </w:tblPr>
            <w:tblGrid>
              <w:gridCol w:w="7761"/>
            </w:tblGrid>
            <w:tr>
              <w:tc>
                <w:tcPr/>
                <w:bookmarkStart w:id="189" w:name="suppfig-second-sick-treated"/>
                <w:p>
                  <w:pPr>
                    <w:pStyle w:val="Compact"/>
                    <w:jc w:val="center"/>
                    <w:jc w:val="left"/>
                  </w:pPr>
                  <w:bookmarkStart w:id="188" w:name="suppfig-second-sick-treated"/>
                  <w:r>
                    <w:drawing>
                      <wp:inline>
                        <wp:extent cx="1481328" cy="982849"/>
                        <wp:effectExtent b="0" l="0" r="0" t="0"/>
                        <wp:docPr descr="" title="" id="186" name="Picture"/>
                        <a:graphic>
                          <a:graphicData uri="http://schemas.openxmlformats.org/drawingml/2006/picture">
                            <pic:pic>
                              <pic:nvPicPr>
                                <pic:cNvPr descr="figures/social/main_results_by_race_years_sick_treated.png" id="187" name="Picture"/>
                                <pic:cNvPicPr>
                                  <a:picLocks noChangeArrowheads="1" noChangeAspect="1"/>
                                </pic:cNvPicPr>
                              </pic:nvPicPr>
                              <pic:blipFill>
                                <a:blip r:embed="rId185"/>
                                <a:stretch>
                                  <a:fillRect/>
                                </a:stretch>
                              </pic:blipFill>
                              <pic:spPr bwMode="auto">
                                <a:xfrm>
                                  <a:off x="0" y="0"/>
                                  <a:ext cx="1481328" cy="982849"/>
                                </a:xfrm>
                                <a:prstGeom prst="rect">
                                  <a:avLst/>
                                </a:prstGeom>
                                <a:noFill/>
                                <a:ln w="9525">
                                  <a:noFill/>
                                  <a:headEnd/>
                                  <a:tailEnd/>
                                </a:ln>
                              </pic:spPr>
                            </pic:pic>
                          </a:graphicData>
                        </a:graphic>
                      </wp:inline>
                    </w:drawing>
                  </w:r>
                  <w:bookmarkEnd w:id="188"/>
                </w:p>
                <w:p>
                  <w:pPr>
                    <w:jc w:val="center"/>
                    <w:jc w:val="left"/>
                  </w:pPr>
                  <w:pPr>
                    <w:jc w:val="left"/>
                    <w:spacing w:before="200"/>
                    <w:pStyle w:val="ImageCaption"/>
                  </w:pPr>
                  <w:r>
                    <w:t xml:space="preserve">(d)</w:t>
                  </w:r>
                </w:p>
                <w:bookmarkEnd w:id="189"/>
              </w:tc>
            </w:tr>
          </w:tbl>
          <w:p/>
        </w:tc>
      </w:tr>
    </w:tbl>
    <w:p>
      <w:pPr>
        <w:pStyle w:val="BodyText"/>
      </w:pPr>
      <w:pPr>
        <w:spacing w:before="200"/>
        <w:pStyle w:val="ImageCaption"/>
      </w:pPr>
      <w:r>
        <w:t xml:space="preserve">Figure S11: Comparing antihypertensive treatment guidelines with and without race adjustment for non-Hispanic Black and non-Hispanic white adults (secondary analysis). Outcomes: (a) life expectancy, (b) years with stage 1 or 2 hypertension, (c) years on antihypertensive treatment, (d) years with uncontrolled hypertension</w:t>
      </w:r>
    </w:p>
    <w:bookmarkEnd w:id="190"/>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91" w:name="supptbl-sff-results-by-race"/>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Outcome</w:t>
                  </w:r>
                </w:p>
              </w:tc>
              <w:tc>
                <w:tcPr/>
                <w:p>
                  <w:pPr>
                    <w:pStyle w:val="Compact"/>
                    <w:jc w:val="center"/>
                  </w:pPr>
                  <w:r>
                    <w:t xml:space="preserve">Group</w:t>
                  </w:r>
                </w:p>
              </w:tc>
              <w:tc>
                <w:tcPr/>
                <w:p>
                  <w:pPr>
                    <w:pStyle w:val="Compact"/>
                    <w:jc w:val="center"/>
                  </w:pPr>
                  <w:r>
                    <w:t xml:space="preserve">Heterogeneous Treatment Effects</w:t>
                  </w:r>
                </w:p>
              </w:tc>
              <w:tc>
                <w:tcPr/>
                <w:p>
                  <w:pPr>
                    <w:pStyle w:val="Compact"/>
                  </w:pPr>
                </w:p>
              </w:tc>
              <w:tc>
                <w:tcPr/>
                <w:p>
                  <w:pPr>
                    <w:pStyle w:val="Compact"/>
                    <w:jc w:val="center"/>
                  </w:pPr>
                  <w:r>
                    <w:t xml:space="preserve">No Heterogeneous Treatment Effects</w:t>
                  </w:r>
                </w:p>
              </w:tc>
              <w:tc>
                <w:tcPr/>
                <w:p>
                  <w:pPr>
                    <w:pStyle w:val="Compact"/>
                  </w:pPr>
                </w:p>
              </w:tc>
            </w:tr>
            <w:tr>
              <w:tc>
                <w:tcPr/>
                <w:p>
                  <w:pPr>
                    <w:pStyle w:val="Compact"/>
                  </w:pPr>
                </w:p>
              </w:tc>
              <w:tc>
                <w:tcPr/>
                <w:p>
                  <w:pPr>
                    <w:pStyle w:val="Compact"/>
                  </w:pPr>
                </w:p>
              </w:tc>
              <w:tc>
                <w:tcPr/>
                <w:p>
                  <w:pPr>
                    <w:pStyle w:val="Compact"/>
                    <w:jc w:val="center"/>
                  </w:pPr>
                  <w:r>
                    <w:t xml:space="preserve">Race Adjustment</w:t>
                  </w:r>
                </w:p>
              </w:tc>
              <w:tc>
                <w:tcPr/>
                <w:p>
                  <w:pPr>
                    <w:pStyle w:val="Compact"/>
                    <w:jc w:val="center"/>
                  </w:pPr>
                  <w:r>
                    <w:t xml:space="preserve">No Race Adjustment</w:t>
                  </w:r>
                </w:p>
              </w:tc>
              <w:tc>
                <w:tcPr/>
                <w:p>
                  <w:pPr>
                    <w:pStyle w:val="Compact"/>
                    <w:jc w:val="center"/>
                  </w:pPr>
                  <w:r>
                    <w:t xml:space="preserve">Race Adjustment</w:t>
                  </w:r>
                </w:p>
              </w:tc>
              <w:tc>
                <w:tcPr/>
                <w:p>
                  <w:pPr>
                    <w:pStyle w:val="Compact"/>
                    <w:jc w:val="center"/>
                  </w:pPr>
                  <w:r>
                    <w:t xml:space="preserve">No Race Adjustment</w:t>
                  </w:r>
                </w:p>
              </w:tc>
            </w:tr>
            <w:tr>
              <w:tc>
                <w:tcPr/>
                <w:p>
                  <w:pPr>
                    <w:pStyle w:val="Compact"/>
                    <w:jc w:val="center"/>
                  </w:pPr>
                  <w:r>
                    <w:t xml:space="preserve">Years spent in stage 1 or 2 hypertension</w:t>
                  </w:r>
                </w:p>
              </w:tc>
              <w:tc>
                <w:tcPr/>
                <w:p>
                  <w:pPr>
                    <w:pStyle w:val="Compact"/>
                    <w:jc w:val="center"/>
                  </w:pPr>
                  <w:r>
                    <w:t xml:space="preserve">Non-Hispanic Black</w:t>
                  </w:r>
                </w:p>
              </w:tc>
              <w:tc>
                <w:tcPr/>
                <w:p>
                  <w:pPr>
                    <w:pStyle w:val="Compact"/>
                    <w:jc w:val="center"/>
                  </w:pPr>
                  <w:r>
                    <w:t xml:space="preserve">16.0 [0.1]</w:t>
                  </w:r>
                </w:p>
              </w:tc>
              <w:tc>
                <w:tcPr/>
                <w:p>
                  <w:pPr>
                    <w:pStyle w:val="Compact"/>
                    <w:jc w:val="center"/>
                  </w:pPr>
                  <w:r>
                    <w:t xml:space="preserve">17.1 [0.1]</w:t>
                  </w:r>
                </w:p>
              </w:tc>
              <w:tc>
                <w:tcPr/>
                <w:p>
                  <w:pPr>
                    <w:pStyle w:val="Compact"/>
                    <w:jc w:val="center"/>
                  </w:pPr>
                  <w:r>
                    <w:t xml:space="preserve">15.3 [0.1]</w:t>
                  </w:r>
                </w:p>
              </w:tc>
              <w:tc>
                <w:tcPr/>
                <w:p>
                  <w:pPr>
                    <w:pStyle w:val="Compact"/>
                    <w:jc w:val="center"/>
                  </w:pPr>
                  <w:r>
                    <w:t xml:space="preserve">15.7 [0.1]</w:t>
                  </w:r>
                </w:p>
              </w:tc>
            </w:tr>
            <w:tr>
              <w:tc>
                <w:tcPr/>
                <w:p>
                  <w:pPr>
                    <w:pStyle w:val="Compact"/>
                  </w:pPr>
                </w:p>
              </w:tc>
              <w:tc>
                <w:tcPr/>
                <w:p>
                  <w:pPr>
                    <w:pStyle w:val="Compact"/>
                    <w:jc w:val="center"/>
                  </w:pPr>
                  <w:r>
                    <w:t xml:space="preserve">Non-Hispanic white</w:t>
                  </w:r>
                </w:p>
              </w:tc>
              <w:tc>
                <w:tcPr/>
                <w:p>
                  <w:pPr>
                    <w:pStyle w:val="Compact"/>
                    <w:jc w:val="center"/>
                  </w:pPr>
                  <w:r>
                    <w:t xml:space="preserve">15.2 [0.1]</w:t>
                  </w:r>
                </w:p>
              </w:tc>
              <w:tc>
                <w:tcPr/>
                <w:p>
                  <w:pPr>
                    <w:pStyle w:val="Compact"/>
                    <w:jc w:val="center"/>
                  </w:pPr>
                  <w:r>
                    <w:t xml:space="preserve">15.2 [0.1]</w:t>
                  </w:r>
                </w:p>
              </w:tc>
              <w:tc>
                <w:tcPr/>
                <w:p>
                  <w:pPr>
                    <w:pStyle w:val="Compact"/>
                    <w:jc w:val="center"/>
                  </w:pPr>
                  <w:r>
                    <w:t xml:space="preserve">15.5 [0.1]</w:t>
                  </w:r>
                </w:p>
              </w:tc>
              <w:tc>
                <w:tcPr/>
                <w:p>
                  <w:pPr>
                    <w:pStyle w:val="Compact"/>
                    <w:jc w:val="center"/>
                  </w:pPr>
                  <w:r>
                    <w:t xml:space="preserve">15.5 [0.1]</w:t>
                  </w:r>
                </w:p>
              </w:tc>
            </w:tr>
            <w:tr>
              <w:tc>
                <w:tcPr/>
                <w:p>
                  <w:pPr>
                    <w:pStyle w:val="Compact"/>
                  </w:pPr>
                </w:p>
              </w:tc>
              <w:tc>
                <w:tcPr/>
                <w:p>
                  <w:pPr>
                    <w:pStyle w:val="Compact"/>
                    <w:jc w:val="center"/>
                  </w:pPr>
                  <w:r>
                    <w:t xml:space="preserve">Difference</w:t>
                  </w:r>
                </w:p>
              </w:tc>
              <w:tc>
                <w:tcPr/>
                <w:p>
                  <w:pPr>
                    <w:pStyle w:val="Compact"/>
                    <w:jc w:val="center"/>
                  </w:pPr>
                  <w:r>
                    <w:t xml:space="preserve">-0.9 [0.1]</w:t>
                  </w:r>
                </w:p>
              </w:tc>
              <w:tc>
                <w:tcPr/>
                <w:p>
                  <w:pPr>
                    <w:pStyle w:val="Compact"/>
                    <w:jc w:val="center"/>
                  </w:pPr>
                  <w:r>
                    <w:t xml:space="preserve">-1.9 [0.1]</w:t>
                  </w:r>
                </w:p>
              </w:tc>
              <w:tc>
                <w:tcPr/>
                <w:p>
                  <w:pPr>
                    <w:pStyle w:val="Compact"/>
                    <w:jc w:val="center"/>
                  </w:pPr>
                  <w:r>
                    <w:t xml:space="preserve">0.3 [0.1]</w:t>
                  </w:r>
                </w:p>
              </w:tc>
              <w:tc>
                <w:tcPr/>
                <w:p>
                  <w:pPr>
                    <w:pStyle w:val="Compact"/>
                    <w:jc w:val="center"/>
                  </w:pPr>
                  <w:r>
                    <w:t xml:space="preserve">-0.2 [0.1]</w:t>
                  </w:r>
                </w:p>
              </w:tc>
            </w:tr>
            <w:tr>
              <w:tc>
                <w:tcPr/>
                <w:p>
                  <w:pPr>
                    <w:pStyle w:val="Compact"/>
                    <w:jc w:val="center"/>
                  </w:pPr>
                  <w:r>
                    <w:t xml:space="preserve">Years on antihypertensive treatment</w:t>
                  </w:r>
                </w:p>
              </w:tc>
              <w:tc>
                <w:tcPr/>
                <w:p>
                  <w:pPr>
                    <w:pStyle w:val="Compact"/>
                    <w:jc w:val="center"/>
                  </w:pPr>
                  <w:r>
                    <w:t xml:space="preserve">Non-Hispanic Black</w:t>
                  </w:r>
                </w:p>
              </w:tc>
              <w:tc>
                <w:tcPr/>
                <w:p>
                  <w:pPr>
                    <w:pStyle w:val="Compact"/>
                    <w:jc w:val="center"/>
                  </w:pPr>
                  <w:r>
                    <w:t xml:space="preserve">21.0 [0.1]</w:t>
                  </w:r>
                </w:p>
              </w:tc>
              <w:tc>
                <w:tcPr/>
                <w:p>
                  <w:pPr>
                    <w:pStyle w:val="Compact"/>
                    <w:jc w:val="center"/>
                  </w:pPr>
                  <w:r>
                    <w:t xml:space="preserve">19.4 [0.1]</w:t>
                  </w:r>
                </w:p>
              </w:tc>
              <w:tc>
                <w:tcPr/>
                <w:p>
                  <w:pPr>
                    <w:pStyle w:val="Compact"/>
                    <w:jc w:val="center"/>
                  </w:pPr>
                  <w:r>
                    <w:t xml:space="preserve">21.2 [0.1]</w:t>
                  </w:r>
                </w:p>
              </w:tc>
              <w:tc>
                <w:tcPr/>
                <w:p>
                  <w:pPr>
                    <w:pStyle w:val="Compact"/>
                    <w:jc w:val="center"/>
                  </w:pPr>
                  <w:r>
                    <w:t xml:space="preserve">20.3 [0.1]</w:t>
                  </w:r>
                </w:p>
              </w:tc>
            </w:tr>
            <w:tr>
              <w:tc>
                <w:tcPr/>
                <w:p>
                  <w:pPr>
                    <w:pStyle w:val="Compact"/>
                  </w:pPr>
                </w:p>
              </w:tc>
              <w:tc>
                <w:tcPr/>
                <w:p>
                  <w:pPr>
                    <w:pStyle w:val="Compact"/>
                    <w:jc w:val="center"/>
                  </w:pPr>
                  <w:r>
                    <w:t xml:space="preserve">Non-Hispanic white</w:t>
                  </w:r>
                </w:p>
              </w:tc>
              <w:tc>
                <w:tcPr/>
                <w:p>
                  <w:pPr>
                    <w:pStyle w:val="Compact"/>
                    <w:jc w:val="center"/>
                  </w:pPr>
                  <w:r>
                    <w:t xml:space="preserve">21.6 [0.1]</w:t>
                  </w:r>
                </w:p>
              </w:tc>
              <w:tc>
                <w:tcPr/>
                <w:p>
                  <w:pPr>
                    <w:pStyle w:val="Compact"/>
                    <w:jc w:val="center"/>
                  </w:pPr>
                  <w:r>
                    <w:t xml:space="preserve">21.6 [0.1]</w:t>
                  </w:r>
                </w:p>
              </w:tc>
              <w:tc>
                <w:tcPr/>
                <w:p>
                  <w:pPr>
                    <w:pStyle w:val="Compact"/>
                    <w:jc w:val="center"/>
                  </w:pPr>
                  <w:r>
                    <w:t xml:space="preserve">21.3 [0.1]</w:t>
                  </w:r>
                </w:p>
              </w:tc>
              <w:tc>
                <w:tcPr/>
                <w:p>
                  <w:pPr>
                    <w:pStyle w:val="Compact"/>
                    <w:jc w:val="center"/>
                  </w:pPr>
                  <w:r>
                    <w:t xml:space="preserve">21.3 [0.1]</w:t>
                  </w:r>
                </w:p>
              </w:tc>
            </w:tr>
            <w:tr>
              <w:tc>
                <w:tcPr/>
                <w:p>
                  <w:pPr>
                    <w:pStyle w:val="Compact"/>
                  </w:pPr>
                </w:p>
              </w:tc>
              <w:tc>
                <w:tcPr/>
                <w:p>
                  <w:pPr>
                    <w:pStyle w:val="Compact"/>
                    <w:jc w:val="center"/>
                  </w:pPr>
                  <w:r>
                    <w:t xml:space="preserve">Difference</w:t>
                  </w:r>
                </w:p>
              </w:tc>
              <w:tc>
                <w:tcPr/>
                <w:p>
                  <w:pPr>
                    <w:pStyle w:val="Compact"/>
                    <w:jc w:val="center"/>
                  </w:pPr>
                  <w:r>
                    <w:t xml:space="preserve">0.6 [0.1]</w:t>
                  </w:r>
                </w:p>
              </w:tc>
              <w:tc>
                <w:tcPr/>
                <w:p>
                  <w:pPr>
                    <w:pStyle w:val="Compact"/>
                    <w:jc w:val="center"/>
                  </w:pPr>
                  <w:r>
                    <w:t xml:space="preserve">2.3 [0.1]</w:t>
                  </w:r>
                </w:p>
              </w:tc>
              <w:tc>
                <w:tcPr/>
                <w:p>
                  <w:pPr>
                    <w:pStyle w:val="Compact"/>
                    <w:jc w:val="center"/>
                  </w:pPr>
                  <w:r>
                    <w:t xml:space="preserve">0.1 [0.1]</w:t>
                  </w:r>
                </w:p>
              </w:tc>
              <w:tc>
                <w:tcPr/>
                <w:p>
                  <w:pPr>
                    <w:pStyle w:val="Compact"/>
                    <w:jc w:val="center"/>
                  </w:pPr>
                  <w:r>
                    <w:t xml:space="preserve">1.0 [0.1]</w:t>
                  </w:r>
                </w:p>
              </w:tc>
            </w:tr>
            <w:tr>
              <w:tc>
                <w:tcPr/>
                <w:p>
                  <w:pPr>
                    <w:pStyle w:val="Compact"/>
                    <w:jc w:val="center"/>
                  </w:pPr>
                  <w:r>
                    <w:t xml:space="preserve">Years with uncontrolled hypertension</w:t>
                  </w:r>
                </w:p>
              </w:tc>
              <w:tc>
                <w:tcPr/>
                <w:p>
                  <w:pPr>
                    <w:pStyle w:val="Compact"/>
                    <w:jc w:val="center"/>
                  </w:pPr>
                  <w:r>
                    <w:t xml:space="preserve">Non-Hispanic Black</w:t>
                  </w:r>
                </w:p>
              </w:tc>
              <w:tc>
                <w:tcPr/>
                <w:p>
                  <w:pPr>
                    <w:pStyle w:val="Compact"/>
                    <w:jc w:val="center"/>
                  </w:pPr>
                  <w:r>
                    <w:t xml:space="preserve">8.7 [0.1]</w:t>
                  </w:r>
                </w:p>
              </w:tc>
              <w:tc>
                <w:tcPr/>
                <w:p>
                  <w:pPr>
                    <w:pStyle w:val="Compact"/>
                    <w:jc w:val="center"/>
                  </w:pPr>
                  <w:r>
                    <w:t xml:space="preserve">9.4 [0.1]</w:t>
                  </w:r>
                </w:p>
              </w:tc>
              <w:tc>
                <w:tcPr/>
                <w:p>
                  <w:pPr>
                    <w:pStyle w:val="Compact"/>
                    <w:jc w:val="center"/>
                  </w:pPr>
                  <w:r>
                    <w:t xml:space="preserve">7.7 [0.1]</w:t>
                  </w:r>
                </w:p>
              </w:tc>
              <w:tc>
                <w:tcPr/>
                <w:p>
                  <w:pPr>
                    <w:pStyle w:val="Compact"/>
                    <w:jc w:val="center"/>
                  </w:pPr>
                  <w:r>
                    <w:t xml:space="preserve">7.9 [0.1]</w:t>
                  </w:r>
                </w:p>
              </w:tc>
            </w:tr>
            <w:tr>
              <w:tc>
                <w:tcPr/>
                <w:p>
                  <w:pPr>
                    <w:pStyle w:val="Compact"/>
                  </w:pPr>
                </w:p>
              </w:tc>
              <w:tc>
                <w:tcPr/>
                <w:p>
                  <w:pPr>
                    <w:pStyle w:val="Compact"/>
                    <w:jc w:val="center"/>
                  </w:pPr>
                  <w:r>
                    <w:t xml:space="preserve">Non-Hispanic white</w:t>
                  </w:r>
                </w:p>
              </w:tc>
              <w:tc>
                <w:tcPr/>
                <w:p>
                  <w:pPr>
                    <w:pStyle w:val="Compact"/>
                    <w:jc w:val="center"/>
                  </w:pPr>
                  <w:r>
                    <w:t xml:space="preserve">7.0 [&lt;0.01]</w:t>
                  </w:r>
                </w:p>
              </w:tc>
              <w:tc>
                <w:tcPr/>
                <w:p>
                  <w:pPr>
                    <w:pStyle w:val="Compact"/>
                    <w:jc w:val="center"/>
                  </w:pPr>
                  <w:r>
                    <w:t xml:space="preserve">7.0 [&lt;0.01]</w:t>
                  </w:r>
                </w:p>
              </w:tc>
              <w:tc>
                <w:tcPr/>
                <w:p>
                  <w:pPr>
                    <w:pStyle w:val="Compact"/>
                    <w:jc w:val="center"/>
                  </w:pPr>
                  <w:r>
                    <w:t xml:space="preserve">7.4 [0.1]</w:t>
                  </w:r>
                </w:p>
              </w:tc>
              <w:tc>
                <w:tcPr/>
                <w:p>
                  <w:pPr>
                    <w:pStyle w:val="Compact"/>
                    <w:jc w:val="center"/>
                  </w:pPr>
                  <w:r>
                    <w:t xml:space="preserve">7.4 [0.1]</w:t>
                  </w:r>
                </w:p>
              </w:tc>
            </w:tr>
            <w:tr>
              <w:tc>
                <w:tcPr/>
                <w:p>
                  <w:pPr>
                    <w:pStyle w:val="Compact"/>
                  </w:pPr>
                </w:p>
              </w:tc>
              <w:tc>
                <w:tcPr/>
                <w:p>
                  <w:pPr>
                    <w:pStyle w:val="Compact"/>
                    <w:jc w:val="center"/>
                  </w:pPr>
                  <w:r>
                    <w:t xml:space="preserve">Difference</w:t>
                  </w:r>
                </w:p>
              </w:tc>
              <w:tc>
                <w:tcPr/>
                <w:p>
                  <w:pPr>
                    <w:pStyle w:val="Compact"/>
                    <w:jc w:val="center"/>
                  </w:pPr>
                  <w:r>
                    <w:t xml:space="preserve">-1.7 [0.1]</w:t>
                  </w:r>
                </w:p>
              </w:tc>
              <w:tc>
                <w:tcPr/>
                <w:p>
                  <w:pPr>
                    <w:pStyle w:val="Compact"/>
                    <w:jc w:val="center"/>
                  </w:pPr>
                  <w:r>
                    <w:t xml:space="preserve">-2.4 [0.1]</w:t>
                  </w:r>
                </w:p>
              </w:tc>
              <w:tc>
                <w:tcPr/>
                <w:p>
                  <w:pPr>
                    <w:pStyle w:val="Compact"/>
                    <w:jc w:val="center"/>
                  </w:pPr>
                  <w:r>
                    <w:t xml:space="preserve">-0.4 [0.1]</w:t>
                  </w:r>
                </w:p>
              </w:tc>
              <w:tc>
                <w:tcPr/>
                <w:p>
                  <w:pPr>
                    <w:pStyle w:val="Compact"/>
                    <w:jc w:val="center"/>
                  </w:pPr>
                  <w:r>
                    <w:t xml:space="preserve">-0.6 [0.1]</w:t>
                  </w:r>
                </w:p>
              </w:tc>
            </w:tr>
            <w:tr>
              <w:tc>
                <w:tcPr/>
                <w:p>
                  <w:pPr>
                    <w:pStyle w:val="Compact"/>
                    <w:jc w:val="center"/>
                  </w:pPr>
                  <w:r>
                    <w:t xml:space="preserve">Life expectancy</w:t>
                  </w:r>
                </w:p>
              </w:tc>
              <w:tc>
                <w:tcPr/>
                <w:p>
                  <w:pPr>
                    <w:pStyle w:val="Compact"/>
                    <w:jc w:val="center"/>
                  </w:pPr>
                  <w:r>
                    <w:t xml:space="preserve">Non-Hispanic Black</w:t>
                  </w:r>
                </w:p>
              </w:tc>
              <w:tc>
                <w:tcPr/>
                <w:p>
                  <w:pPr>
                    <w:pStyle w:val="Compact"/>
                    <w:jc w:val="center"/>
                  </w:pPr>
                  <w:r>
                    <w:t xml:space="preserve">35.5 [0.1]</w:t>
                  </w:r>
                </w:p>
              </w:tc>
              <w:tc>
                <w:tcPr/>
                <w:p>
                  <w:pPr>
                    <w:pStyle w:val="Compact"/>
                    <w:jc w:val="center"/>
                  </w:pPr>
                  <w:r>
                    <w:t xml:space="preserve">35.2 [0.1]</w:t>
                  </w:r>
                </w:p>
              </w:tc>
              <w:tc>
                <w:tcPr/>
                <w:p>
                  <w:pPr>
                    <w:pStyle w:val="Compact"/>
                    <w:jc w:val="center"/>
                  </w:pPr>
                  <w:r>
                    <w:t xml:space="preserve">35.7 [0.1]</w:t>
                  </w:r>
                </w:p>
              </w:tc>
              <w:tc>
                <w:tcPr/>
                <w:p>
                  <w:pPr>
                    <w:pStyle w:val="Compact"/>
                    <w:jc w:val="center"/>
                  </w:pPr>
                  <w:r>
                    <w:t xml:space="preserve">35.5 [0.1]</w:t>
                  </w:r>
                </w:p>
              </w:tc>
            </w:tr>
            <w:tr>
              <w:tc>
                <w:tcPr/>
                <w:p>
                  <w:pPr>
                    <w:pStyle w:val="Compact"/>
                  </w:pPr>
                </w:p>
              </w:tc>
              <w:tc>
                <w:tcPr/>
                <w:p>
                  <w:pPr>
                    <w:pStyle w:val="Compact"/>
                    <w:jc w:val="center"/>
                  </w:pPr>
                  <w:r>
                    <w:t xml:space="preserve">Non-Hispanic white</w:t>
                  </w:r>
                </w:p>
              </w:tc>
              <w:tc>
                <w:tcPr/>
                <w:p>
                  <w:pPr>
                    <w:pStyle w:val="Compact"/>
                    <w:jc w:val="center"/>
                  </w:pPr>
                  <w:r>
                    <w:t xml:space="preserve">39.7 [0.1]</w:t>
                  </w:r>
                </w:p>
              </w:tc>
              <w:tc>
                <w:tcPr/>
                <w:p>
                  <w:pPr>
                    <w:pStyle w:val="Compact"/>
                    <w:jc w:val="center"/>
                  </w:pPr>
                  <w:r>
                    <w:t xml:space="preserve">39.7 [0.1]</w:t>
                  </w:r>
                </w:p>
              </w:tc>
              <w:tc>
                <w:tcPr/>
                <w:p>
                  <w:pPr>
                    <w:pStyle w:val="Compact"/>
                    <w:jc w:val="center"/>
                  </w:pPr>
                  <w:r>
                    <w:t xml:space="preserve">39.7 [0.1]</w:t>
                  </w:r>
                </w:p>
              </w:tc>
              <w:tc>
                <w:tcPr/>
                <w:p>
                  <w:pPr>
                    <w:pStyle w:val="Compact"/>
                    <w:jc w:val="center"/>
                  </w:pPr>
                  <w:r>
                    <w:t xml:space="preserve">39.7 [0.1]</w:t>
                  </w:r>
                </w:p>
              </w:tc>
            </w:tr>
            <w:tr>
              <w:tc>
                <w:tcPr/>
                <w:p>
                  <w:pPr>
                    <w:pStyle w:val="Compact"/>
                  </w:pPr>
                </w:p>
              </w:tc>
              <w:tc>
                <w:tcPr/>
                <w:p>
                  <w:pPr>
                    <w:pStyle w:val="Compact"/>
                    <w:jc w:val="center"/>
                  </w:pPr>
                  <w:r>
                    <w:t xml:space="preserve">Difference</w:t>
                  </w:r>
                </w:p>
              </w:tc>
              <w:tc>
                <w:tcPr/>
                <w:p>
                  <w:pPr>
                    <w:pStyle w:val="Compact"/>
                    <w:jc w:val="center"/>
                  </w:pPr>
                  <w:r>
                    <w:t xml:space="preserve">4.3 [0.1]</w:t>
                  </w:r>
                </w:p>
              </w:tc>
              <w:tc>
                <w:tcPr/>
                <w:p>
                  <w:pPr>
                    <w:pStyle w:val="Compact"/>
                    <w:jc w:val="center"/>
                  </w:pPr>
                  <w:r>
                    <w:t xml:space="preserve">4.6 [0.1]</w:t>
                  </w:r>
                </w:p>
              </w:tc>
              <w:tc>
                <w:tcPr/>
                <w:p>
                  <w:pPr>
                    <w:pStyle w:val="Compact"/>
                    <w:jc w:val="center"/>
                  </w:pPr>
                  <w:r>
                    <w:t xml:space="preserve">4.0 [0.1]</w:t>
                  </w:r>
                </w:p>
              </w:tc>
              <w:tc>
                <w:tcPr/>
                <w:p>
                  <w:pPr>
                    <w:pStyle w:val="Compact"/>
                    <w:jc w:val="center"/>
                  </w:pPr>
                  <w:r>
                    <w:t xml:space="preserve">4.1 [0.1]</w:t>
                  </w:r>
                </w:p>
              </w:tc>
            </w:tr>
          </w:tbl>
          <w:p>
            <w:pPr>
              <w:jc w:val="center"/>
            </w:pPr>
            <w:pPr>
              <w:jc w:val="left"/>
              <w:spacing w:before="200"/>
              <w:pStyle w:val="ImageCaption"/>
            </w:pPr>
            <w:r>
              <w:t xml:space="preserve">Table S14: Main outcomes for non-Hispanic Black and non-Hispanic white adults comparing antihypertensive treatment guidelines with and without race adjustment in secondary analysis (Mean [Monte Carlo standard error])</w:t>
            </w:r>
          </w:p>
          <w:bookmarkEnd w:id="19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92" w:name="supptbl-main-results-by-race-insurance"/>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Outcome</w:t>
                  </w:r>
                </w:p>
              </w:tc>
              <w:tc>
                <w:tcPr/>
                <w:p>
                  <w:pPr>
                    <w:pStyle w:val="Compact"/>
                    <w:jc w:val="center"/>
                  </w:pPr>
                  <w:r>
                    <w:t xml:space="preserve">Racial/Ethnic Group</w:t>
                  </w:r>
                </w:p>
              </w:tc>
              <w:tc>
                <w:tcPr/>
                <w:p>
                  <w:pPr>
                    <w:pStyle w:val="Compact"/>
                    <w:jc w:val="center"/>
                  </w:pPr>
                  <w:r>
                    <w:t xml:space="preserve">Insurance</w:t>
                  </w:r>
                </w:p>
              </w:tc>
              <w:tc>
                <w:tcPr/>
                <w:p>
                  <w:pPr>
                    <w:pStyle w:val="Compact"/>
                    <w:jc w:val="center"/>
                  </w:pPr>
                  <w:r>
                    <w:t xml:space="preserve">Heterogeneous Treatment Effects</w:t>
                  </w:r>
                </w:p>
              </w:tc>
              <w:tc>
                <w:tcPr/>
                <w:p>
                  <w:pPr>
                    <w:pStyle w:val="Compact"/>
                  </w:pPr>
                </w:p>
              </w:tc>
              <w:tc>
                <w:tcPr/>
                <w:p>
                  <w:pPr>
                    <w:pStyle w:val="Compact"/>
                    <w:jc w:val="center"/>
                  </w:pPr>
                  <w:r>
                    <w:t xml:space="preserve">No Heterogeneous Treatment Effects</w:t>
                  </w:r>
                </w:p>
              </w:tc>
              <w:tc>
                <w:tcPr/>
                <w:p>
                  <w:pPr>
                    <w:pStyle w:val="Compact"/>
                  </w:pPr>
                </w:p>
              </w:tc>
            </w:tr>
            <w:tr>
              <w:tc>
                <w:tcPr/>
                <w:p>
                  <w:pPr>
                    <w:pStyle w:val="Compact"/>
                  </w:pPr>
                </w:p>
              </w:tc>
              <w:tc>
                <w:tcPr/>
                <w:p>
                  <w:pPr>
                    <w:pStyle w:val="Compact"/>
                  </w:pPr>
                </w:p>
              </w:tc>
              <w:tc>
                <w:tcPr/>
                <w:p>
                  <w:pPr>
                    <w:pStyle w:val="Compact"/>
                  </w:pPr>
                </w:p>
              </w:tc>
              <w:tc>
                <w:tcPr/>
                <w:p>
                  <w:pPr>
                    <w:pStyle w:val="Compact"/>
                    <w:jc w:val="center"/>
                  </w:pPr>
                  <w:r>
                    <w:t xml:space="preserve">Race Adjustment</w:t>
                  </w:r>
                </w:p>
              </w:tc>
              <w:tc>
                <w:tcPr/>
                <w:p>
                  <w:pPr>
                    <w:pStyle w:val="Compact"/>
                    <w:jc w:val="center"/>
                  </w:pPr>
                  <w:r>
                    <w:t xml:space="preserve">No Race adjustment</w:t>
                  </w:r>
                </w:p>
              </w:tc>
              <w:tc>
                <w:tcPr/>
                <w:p>
                  <w:pPr>
                    <w:pStyle w:val="Compact"/>
                    <w:jc w:val="center"/>
                  </w:pPr>
                  <w:r>
                    <w:t xml:space="preserve">Race Adjustment</w:t>
                  </w:r>
                </w:p>
              </w:tc>
              <w:tc>
                <w:tcPr/>
                <w:p>
                  <w:pPr>
                    <w:pStyle w:val="Compact"/>
                    <w:jc w:val="center"/>
                  </w:pPr>
                  <w:r>
                    <w:t xml:space="preserve">No Race Adjustment</w:t>
                  </w:r>
                </w:p>
              </w:tc>
            </w:tr>
            <w:tr>
              <w:tc>
                <w:tcPr/>
                <w:p>
                  <w:pPr>
                    <w:pStyle w:val="Compact"/>
                    <w:jc w:val="center"/>
                  </w:pPr>
                  <w:r>
                    <w:t xml:space="preserve">Years spent in stage 1 or 2 hypertension</w:t>
                  </w:r>
                </w:p>
              </w:tc>
              <w:tc>
                <w:tcPr/>
                <w:p>
                  <w:pPr>
                    <w:pStyle w:val="Compact"/>
                    <w:jc w:val="center"/>
                  </w:pPr>
                  <w:r>
                    <w:t xml:space="preserve">Non-Hispanic Black</w:t>
                  </w:r>
                </w:p>
              </w:tc>
              <w:tc>
                <w:tcPr/>
                <w:p>
                  <w:pPr>
                    <w:pStyle w:val="Compact"/>
                    <w:jc w:val="center"/>
                  </w:pPr>
                  <w:r>
                    <w:t xml:space="preserve">Yes</w:t>
                  </w:r>
                </w:p>
              </w:tc>
              <w:tc>
                <w:tcPr/>
                <w:p>
                  <w:pPr>
                    <w:pStyle w:val="Compact"/>
                    <w:jc w:val="center"/>
                  </w:pPr>
                  <w:r>
                    <w:t xml:space="preserve">15.6 [0.1]</w:t>
                  </w:r>
                </w:p>
              </w:tc>
              <w:tc>
                <w:tcPr/>
                <w:p>
                  <w:pPr>
                    <w:pStyle w:val="Compact"/>
                    <w:jc w:val="center"/>
                  </w:pPr>
                  <w:r>
                    <w:t xml:space="preserve">16.7 [0.1]</w:t>
                  </w:r>
                </w:p>
              </w:tc>
              <w:tc>
                <w:tcPr/>
                <w:p>
                  <w:pPr>
                    <w:pStyle w:val="Compact"/>
                    <w:jc w:val="center"/>
                  </w:pPr>
                  <w:r>
                    <w:t xml:space="preserve">14.7 [0.1]</w:t>
                  </w:r>
                </w:p>
              </w:tc>
              <w:tc>
                <w:tcPr/>
                <w:p>
                  <w:pPr>
                    <w:pStyle w:val="Compact"/>
                    <w:jc w:val="center"/>
                  </w:pPr>
                  <w:r>
                    <w:t xml:space="preserve">15.2 [0.1]</w:t>
                  </w:r>
                </w:p>
              </w:tc>
            </w:tr>
            <w:tr>
              <w:tc>
                <w:tcPr/>
                <w:p>
                  <w:pPr>
                    <w:pStyle w:val="Compact"/>
                  </w:pPr>
                </w:p>
              </w:tc>
              <w:tc>
                <w:tcPr/>
                <w:p>
                  <w:pPr>
                    <w:pStyle w:val="Compact"/>
                  </w:pPr>
                </w:p>
              </w:tc>
              <w:tc>
                <w:tcPr/>
                <w:p>
                  <w:pPr>
                    <w:pStyle w:val="Compact"/>
                    <w:jc w:val="center"/>
                  </w:pPr>
                  <w:r>
                    <w:t xml:space="preserve">No</w:t>
                  </w:r>
                </w:p>
              </w:tc>
              <w:tc>
                <w:tcPr/>
                <w:p>
                  <w:pPr>
                    <w:pStyle w:val="Compact"/>
                    <w:jc w:val="center"/>
                  </w:pPr>
                  <w:r>
                    <w:t xml:space="preserve">17.8 [0.1]</w:t>
                  </w:r>
                </w:p>
              </w:tc>
              <w:tc>
                <w:tcPr/>
                <w:p>
                  <w:pPr>
                    <w:pStyle w:val="Compact"/>
                    <w:jc w:val="center"/>
                  </w:pPr>
                  <w:r>
                    <w:t xml:space="preserve">18.5 [0.1]</w:t>
                  </w:r>
                </w:p>
              </w:tc>
              <w:tc>
                <w:tcPr/>
                <w:p>
                  <w:pPr>
                    <w:pStyle w:val="Compact"/>
                    <w:jc w:val="center"/>
                  </w:pPr>
                  <w:r>
                    <w:t xml:space="preserve">17.2 [0.1]</w:t>
                  </w:r>
                </w:p>
              </w:tc>
              <w:tc>
                <w:tcPr/>
                <w:p>
                  <w:pPr>
                    <w:pStyle w:val="Compact"/>
                    <w:jc w:val="center"/>
                  </w:pPr>
                  <w:r>
                    <w:t xml:space="preserve">17.6 [0.1]</w:t>
                  </w:r>
                </w:p>
              </w:tc>
            </w:tr>
            <w:tr>
              <w:tc>
                <w:tcPr/>
                <w:p>
                  <w:pPr>
                    <w:pStyle w:val="Compact"/>
                  </w:pPr>
                </w:p>
              </w:tc>
              <w:tc>
                <w:tcPr/>
                <w:p>
                  <w:pPr>
                    <w:pStyle w:val="Compact"/>
                    <w:jc w:val="center"/>
                  </w:pPr>
                  <w:r>
                    <w:t xml:space="preserve">Non-Hispanic white</w:t>
                  </w:r>
                </w:p>
              </w:tc>
              <w:tc>
                <w:tcPr/>
                <w:p>
                  <w:pPr>
                    <w:pStyle w:val="Compact"/>
                    <w:jc w:val="center"/>
                  </w:pPr>
                  <w:r>
                    <w:t xml:space="preserve">Yes</w:t>
                  </w:r>
                </w:p>
              </w:tc>
              <w:tc>
                <w:tcPr/>
                <w:p>
                  <w:pPr>
                    <w:pStyle w:val="Compact"/>
                    <w:jc w:val="center"/>
                  </w:pPr>
                  <w:r>
                    <w:t xml:space="preserve">14.7 [0.1]</w:t>
                  </w:r>
                </w:p>
              </w:tc>
              <w:tc>
                <w:tcPr/>
                <w:p>
                  <w:pPr>
                    <w:pStyle w:val="Compact"/>
                    <w:jc w:val="center"/>
                  </w:pPr>
                  <w:r>
                    <w:t xml:space="preserve">14.7 [0.1]</w:t>
                  </w:r>
                </w:p>
              </w:tc>
              <w:tc>
                <w:tcPr/>
                <w:p>
                  <w:pPr>
                    <w:pStyle w:val="Compact"/>
                    <w:jc w:val="center"/>
                  </w:pPr>
                  <w:r>
                    <w:t xml:space="preserve">15.0 [0.1]</w:t>
                  </w:r>
                </w:p>
              </w:tc>
              <w:tc>
                <w:tcPr/>
                <w:p>
                  <w:pPr>
                    <w:pStyle w:val="Compact"/>
                    <w:jc w:val="center"/>
                  </w:pPr>
                  <w:r>
                    <w:t xml:space="preserve">15.0 [0.1]</w:t>
                  </w:r>
                </w:p>
              </w:tc>
            </w:tr>
            <w:tr>
              <w:tc>
                <w:tcPr/>
                <w:p>
                  <w:pPr>
                    <w:pStyle w:val="Compact"/>
                  </w:pPr>
                </w:p>
              </w:tc>
              <w:tc>
                <w:tcPr/>
                <w:p>
                  <w:pPr>
                    <w:pStyle w:val="Compact"/>
                  </w:pPr>
                </w:p>
              </w:tc>
              <w:tc>
                <w:tcPr/>
                <w:p>
                  <w:pPr>
                    <w:pStyle w:val="Compact"/>
                    <w:jc w:val="center"/>
                  </w:pPr>
                  <w:r>
                    <w:t xml:space="preserve">No</w:t>
                  </w:r>
                </w:p>
              </w:tc>
              <w:tc>
                <w:tcPr/>
                <w:p>
                  <w:pPr>
                    <w:pStyle w:val="Compact"/>
                    <w:jc w:val="center"/>
                  </w:pPr>
                  <w:r>
                    <w:t xml:space="preserve">18.3 [0.2]</w:t>
                  </w:r>
                </w:p>
              </w:tc>
              <w:tc>
                <w:tcPr/>
                <w:p>
                  <w:pPr>
                    <w:pStyle w:val="Compact"/>
                    <w:jc w:val="center"/>
                  </w:pPr>
                  <w:r>
                    <w:t xml:space="preserve">18.3 [0.2]</w:t>
                  </w:r>
                </w:p>
              </w:tc>
              <w:tc>
                <w:tcPr/>
                <w:p>
                  <w:pPr>
                    <w:pStyle w:val="Compact"/>
                    <w:jc w:val="center"/>
                  </w:pPr>
                  <w:r>
                    <w:t xml:space="preserve">18.5 [0.2]</w:t>
                  </w:r>
                </w:p>
              </w:tc>
              <w:tc>
                <w:tcPr/>
                <w:p>
                  <w:pPr>
                    <w:pStyle w:val="Compact"/>
                    <w:jc w:val="center"/>
                  </w:pPr>
                  <w:r>
                    <w:t xml:space="preserve">18.5 [0.2]</w:t>
                  </w:r>
                </w:p>
              </w:tc>
            </w:tr>
            <w:tr>
              <w:tc>
                <w:tcPr/>
                <w:p>
                  <w:pPr>
                    <w:pStyle w:val="Compact"/>
                    <w:jc w:val="center"/>
                  </w:pPr>
                  <w:r>
                    <w:t xml:space="preserve">Years on antihypertensive treatment</w:t>
                  </w:r>
                </w:p>
              </w:tc>
              <w:tc>
                <w:tcPr/>
                <w:p>
                  <w:pPr>
                    <w:pStyle w:val="Compact"/>
                    <w:jc w:val="center"/>
                  </w:pPr>
                  <w:r>
                    <w:t xml:space="preserve">Non-Hispanic Black</w:t>
                  </w:r>
                </w:p>
              </w:tc>
              <w:tc>
                <w:tcPr/>
                <w:p>
                  <w:pPr>
                    <w:pStyle w:val="Compact"/>
                    <w:jc w:val="center"/>
                  </w:pPr>
                  <w:r>
                    <w:t xml:space="preserve">Yes</w:t>
                  </w:r>
                </w:p>
              </w:tc>
              <w:tc>
                <w:tcPr/>
                <w:p>
                  <w:pPr>
                    <w:pStyle w:val="Compact"/>
                    <w:jc w:val="center"/>
                  </w:pPr>
                  <w:r>
                    <w:t xml:space="preserve">22.1 [0.1]</w:t>
                  </w:r>
                </w:p>
              </w:tc>
              <w:tc>
                <w:tcPr/>
                <w:p>
                  <w:pPr>
                    <w:pStyle w:val="Compact"/>
                    <w:jc w:val="center"/>
                  </w:pPr>
                  <w:r>
                    <w:t xml:space="preserve">20.5 [0.1]</w:t>
                  </w:r>
                </w:p>
              </w:tc>
              <w:tc>
                <w:tcPr/>
                <w:p>
                  <w:pPr>
                    <w:pStyle w:val="Compact"/>
                    <w:jc w:val="center"/>
                  </w:pPr>
                  <w:r>
                    <w:t xml:space="preserve">22.4 [0.1]</w:t>
                  </w:r>
                </w:p>
              </w:tc>
              <w:tc>
                <w:tcPr/>
                <w:p>
                  <w:pPr>
                    <w:pStyle w:val="Compact"/>
                    <w:jc w:val="center"/>
                  </w:pPr>
                  <w:r>
                    <w:t xml:space="preserve">21.4 [0.1]</w:t>
                  </w:r>
                </w:p>
              </w:tc>
            </w:tr>
            <w:tr>
              <w:tc>
                <w:tcPr/>
                <w:p>
                  <w:pPr>
                    <w:pStyle w:val="Compact"/>
                  </w:pPr>
                </w:p>
              </w:tc>
              <w:tc>
                <w:tcPr/>
                <w:p>
                  <w:pPr>
                    <w:pStyle w:val="Compact"/>
                  </w:pPr>
                </w:p>
              </w:tc>
              <w:tc>
                <w:tcPr/>
                <w:p>
                  <w:pPr>
                    <w:pStyle w:val="Compact"/>
                    <w:jc w:val="center"/>
                  </w:pPr>
                  <w:r>
                    <w:t xml:space="preserve">No</w:t>
                  </w:r>
                </w:p>
              </w:tc>
              <w:tc>
                <w:tcPr/>
                <w:p>
                  <w:pPr>
                    <w:pStyle w:val="Compact"/>
                    <w:jc w:val="center"/>
                  </w:pPr>
                  <w:r>
                    <w:t xml:space="preserve">15.9 [0.2]</w:t>
                  </w:r>
                </w:p>
              </w:tc>
              <w:tc>
                <w:tcPr/>
                <w:p>
                  <w:pPr>
                    <w:pStyle w:val="Compact"/>
                    <w:jc w:val="center"/>
                  </w:pPr>
                  <w:r>
                    <w:t xml:space="preserve">14.2 [0.1]</w:t>
                  </w:r>
                </w:p>
              </w:tc>
              <w:tc>
                <w:tcPr/>
                <w:p>
                  <w:pPr>
                    <w:pStyle w:val="Compact"/>
                    <w:jc w:val="center"/>
                  </w:pPr>
                  <w:r>
                    <w:t xml:space="preserve">16.1 [0.2]</w:t>
                  </w:r>
                </w:p>
              </w:tc>
              <w:tc>
                <w:tcPr/>
                <w:p>
                  <w:pPr>
                    <w:pStyle w:val="Compact"/>
                    <w:jc w:val="center"/>
                  </w:pPr>
                  <w:r>
                    <w:t xml:space="preserve">15.1 [0.1]</w:t>
                  </w:r>
                </w:p>
              </w:tc>
            </w:tr>
            <w:tr>
              <w:tc>
                <w:tcPr/>
                <w:p>
                  <w:pPr>
                    <w:pStyle w:val="Compact"/>
                  </w:pPr>
                </w:p>
              </w:tc>
              <w:tc>
                <w:tcPr/>
                <w:p>
                  <w:pPr>
                    <w:pStyle w:val="Compact"/>
                    <w:jc w:val="center"/>
                  </w:pPr>
                  <w:r>
                    <w:t xml:space="preserve">Non-Hispanic white</w:t>
                  </w:r>
                </w:p>
              </w:tc>
              <w:tc>
                <w:tcPr/>
                <w:p>
                  <w:pPr>
                    <w:pStyle w:val="Compact"/>
                    <w:jc w:val="center"/>
                  </w:pPr>
                  <w:r>
                    <w:t xml:space="preserve">Yes</w:t>
                  </w:r>
                </w:p>
              </w:tc>
              <w:tc>
                <w:tcPr/>
                <w:p>
                  <w:pPr>
                    <w:pStyle w:val="Compact"/>
                    <w:jc w:val="center"/>
                  </w:pPr>
                  <w:r>
                    <w:t xml:space="preserve">22.3 [0.1]</w:t>
                  </w:r>
                </w:p>
              </w:tc>
              <w:tc>
                <w:tcPr/>
                <w:p>
                  <w:pPr>
                    <w:pStyle w:val="Compact"/>
                    <w:jc w:val="center"/>
                  </w:pPr>
                  <w:r>
                    <w:t xml:space="preserve">22.3 [0.1]</w:t>
                  </w:r>
                </w:p>
              </w:tc>
              <w:tc>
                <w:tcPr/>
                <w:p>
                  <w:pPr>
                    <w:pStyle w:val="Compact"/>
                    <w:jc w:val="center"/>
                  </w:pPr>
                  <w:r>
                    <w:t xml:space="preserve">22.0 [0.1]</w:t>
                  </w:r>
                </w:p>
              </w:tc>
              <w:tc>
                <w:tcPr/>
                <w:p>
                  <w:pPr>
                    <w:pStyle w:val="Compact"/>
                    <w:jc w:val="center"/>
                  </w:pPr>
                  <w:r>
                    <w:t xml:space="preserve">22.0 [0.1]</w:t>
                  </w:r>
                </w:p>
              </w:tc>
            </w:tr>
            <w:tr>
              <w:tc>
                <w:tcPr/>
                <w:p>
                  <w:pPr>
                    <w:pStyle w:val="Compact"/>
                  </w:pPr>
                </w:p>
              </w:tc>
              <w:tc>
                <w:tcPr/>
                <w:p>
                  <w:pPr>
                    <w:pStyle w:val="Compact"/>
                  </w:pPr>
                </w:p>
              </w:tc>
              <w:tc>
                <w:tcPr/>
                <w:p>
                  <w:pPr>
                    <w:pStyle w:val="Compact"/>
                    <w:jc w:val="center"/>
                  </w:pPr>
                  <w:r>
                    <w:t xml:space="preserve">No</w:t>
                  </w:r>
                </w:p>
              </w:tc>
              <w:tc>
                <w:tcPr/>
                <w:p>
                  <w:pPr>
                    <w:pStyle w:val="Compact"/>
                    <w:jc w:val="center"/>
                  </w:pPr>
                  <w:r>
                    <w:t xml:space="preserve">16.4 [0.2]</w:t>
                  </w:r>
                </w:p>
              </w:tc>
              <w:tc>
                <w:tcPr/>
                <w:p>
                  <w:pPr>
                    <w:pStyle w:val="Compact"/>
                    <w:jc w:val="center"/>
                  </w:pPr>
                  <w:r>
                    <w:t xml:space="preserve">16.4 [0.2]</w:t>
                  </w:r>
                </w:p>
              </w:tc>
              <w:tc>
                <w:tcPr/>
                <w:p>
                  <w:pPr>
                    <w:pStyle w:val="Compact"/>
                    <w:jc w:val="center"/>
                  </w:pPr>
                  <w:r>
                    <w:t xml:space="preserve">16.0 [0.2]</w:t>
                  </w:r>
                </w:p>
              </w:tc>
              <w:tc>
                <w:tcPr/>
                <w:p>
                  <w:pPr>
                    <w:pStyle w:val="Compact"/>
                    <w:jc w:val="center"/>
                  </w:pPr>
                  <w:r>
                    <w:t xml:space="preserve">16.0 [0.2]</w:t>
                  </w:r>
                </w:p>
              </w:tc>
            </w:tr>
            <w:tr>
              <w:tc>
                <w:tcPr/>
                <w:p>
                  <w:pPr>
                    <w:pStyle w:val="Compact"/>
                    <w:jc w:val="center"/>
                  </w:pPr>
                  <w:r>
                    <w:t xml:space="preserve">Years with uncontrolled hypertension</w:t>
                  </w:r>
                </w:p>
              </w:tc>
              <w:tc>
                <w:tcPr/>
                <w:p>
                  <w:pPr>
                    <w:pStyle w:val="Compact"/>
                    <w:jc w:val="center"/>
                  </w:pPr>
                  <w:r>
                    <w:t xml:space="preserve">Non-Hispanic Black</w:t>
                  </w:r>
                </w:p>
              </w:tc>
              <w:tc>
                <w:tcPr/>
                <w:p>
                  <w:pPr>
                    <w:pStyle w:val="Compact"/>
                    <w:jc w:val="center"/>
                  </w:pPr>
                  <w:r>
                    <w:t xml:space="preserve">Yes</w:t>
                  </w:r>
                </w:p>
              </w:tc>
              <w:tc>
                <w:tcPr/>
                <w:p>
                  <w:pPr>
                    <w:pStyle w:val="Compact"/>
                    <w:jc w:val="center"/>
                  </w:pPr>
                  <w:r>
                    <w:t xml:space="preserve">9.0 [0.1]</w:t>
                  </w:r>
                </w:p>
              </w:tc>
              <w:tc>
                <w:tcPr/>
                <w:p>
                  <w:pPr>
                    <w:pStyle w:val="Compact"/>
                    <w:jc w:val="center"/>
                  </w:pPr>
                  <w:r>
                    <w:t xml:space="preserve">9.8 [0.1]</w:t>
                  </w:r>
                </w:p>
              </w:tc>
              <w:tc>
                <w:tcPr/>
                <w:p>
                  <w:pPr>
                    <w:pStyle w:val="Compact"/>
                    <w:jc w:val="center"/>
                  </w:pPr>
                  <w:r>
                    <w:t xml:space="preserve">7.9 [0.1]</w:t>
                  </w:r>
                </w:p>
              </w:tc>
              <w:tc>
                <w:tcPr/>
                <w:p>
                  <w:pPr>
                    <w:pStyle w:val="Compact"/>
                    <w:jc w:val="center"/>
                  </w:pPr>
                  <w:r>
                    <w:t xml:space="preserve">8.2 [0.1]</w:t>
                  </w:r>
                </w:p>
              </w:tc>
            </w:tr>
            <w:tr>
              <w:tc>
                <w:tcPr/>
                <w:p>
                  <w:pPr>
                    <w:pStyle w:val="Compact"/>
                  </w:pPr>
                </w:p>
              </w:tc>
              <w:tc>
                <w:tcPr/>
                <w:p>
                  <w:pPr>
                    <w:pStyle w:val="Compact"/>
                  </w:pPr>
                </w:p>
              </w:tc>
              <w:tc>
                <w:tcPr/>
                <w:p>
                  <w:pPr>
                    <w:pStyle w:val="Compact"/>
                    <w:jc w:val="center"/>
                  </w:pPr>
                  <w:r>
                    <w:t xml:space="preserve">No</w:t>
                  </w:r>
                </w:p>
              </w:tc>
              <w:tc>
                <w:tcPr/>
                <w:p>
                  <w:pPr>
                    <w:pStyle w:val="Compact"/>
                    <w:jc w:val="center"/>
                  </w:pPr>
                  <w:r>
                    <w:t xml:space="preserve">7.6 [0.1]</w:t>
                  </w:r>
                </w:p>
              </w:tc>
              <w:tc>
                <w:tcPr/>
                <w:p>
                  <w:pPr>
                    <w:pStyle w:val="Compact"/>
                    <w:jc w:val="center"/>
                  </w:pPr>
                  <w:r>
                    <w:t xml:space="preserve">7.9 [0.1]</w:t>
                  </w:r>
                </w:p>
              </w:tc>
              <w:tc>
                <w:tcPr/>
                <w:p>
                  <w:pPr>
                    <w:pStyle w:val="Compact"/>
                    <w:jc w:val="center"/>
                  </w:pPr>
                  <w:r>
                    <w:t xml:space="preserve">6.7 [0.1]</w:t>
                  </w:r>
                </w:p>
              </w:tc>
              <w:tc>
                <w:tcPr/>
                <w:p>
                  <w:pPr>
                    <w:pStyle w:val="Compact"/>
                    <w:jc w:val="center"/>
                  </w:pPr>
                  <w:r>
                    <w:t xml:space="preserve">6.8 [0.1]</w:t>
                  </w:r>
                </w:p>
              </w:tc>
            </w:tr>
            <w:tr>
              <w:tc>
                <w:tcPr/>
                <w:p>
                  <w:pPr>
                    <w:pStyle w:val="Compact"/>
                  </w:pPr>
                </w:p>
              </w:tc>
              <w:tc>
                <w:tcPr/>
                <w:p>
                  <w:pPr>
                    <w:pStyle w:val="Compact"/>
                    <w:jc w:val="center"/>
                  </w:pPr>
                  <w:r>
                    <w:t xml:space="preserve">Non-Hispanic white</w:t>
                  </w:r>
                </w:p>
              </w:tc>
              <w:tc>
                <w:tcPr/>
                <w:p>
                  <w:pPr>
                    <w:pStyle w:val="Compact"/>
                    <w:jc w:val="center"/>
                  </w:pPr>
                  <w:r>
                    <w:t xml:space="preserve">Yes</w:t>
                  </w:r>
                </w:p>
              </w:tc>
              <w:tc>
                <w:tcPr/>
                <w:p>
                  <w:pPr>
                    <w:pStyle w:val="Compact"/>
                    <w:jc w:val="center"/>
                  </w:pPr>
                  <w:r>
                    <w:t xml:space="preserve">7.1 [0.1]</w:t>
                  </w:r>
                </w:p>
              </w:tc>
              <w:tc>
                <w:tcPr/>
                <w:p>
                  <w:pPr>
                    <w:pStyle w:val="Compact"/>
                    <w:jc w:val="center"/>
                  </w:pPr>
                  <w:r>
                    <w:t xml:space="preserve">7.1 [0.1]</w:t>
                  </w:r>
                </w:p>
              </w:tc>
              <w:tc>
                <w:tcPr/>
                <w:p>
                  <w:pPr>
                    <w:pStyle w:val="Compact"/>
                    <w:jc w:val="center"/>
                  </w:pPr>
                  <w:r>
                    <w:t xml:space="preserve">7.5 [0.1]</w:t>
                  </w:r>
                </w:p>
              </w:tc>
              <w:tc>
                <w:tcPr/>
                <w:p>
                  <w:pPr>
                    <w:pStyle w:val="Compact"/>
                    <w:jc w:val="center"/>
                  </w:pPr>
                  <w:r>
                    <w:t xml:space="preserve">7.5 [0.1]</w:t>
                  </w:r>
                </w:p>
              </w:tc>
            </w:tr>
            <w:tr>
              <w:tc>
                <w:tcPr/>
                <w:p>
                  <w:pPr>
                    <w:pStyle w:val="Compact"/>
                  </w:pPr>
                </w:p>
              </w:tc>
              <w:tc>
                <w:tcPr/>
                <w:p>
                  <w:pPr>
                    <w:pStyle w:val="Compact"/>
                  </w:pPr>
                </w:p>
              </w:tc>
              <w:tc>
                <w:tcPr/>
                <w:p>
                  <w:pPr>
                    <w:pStyle w:val="Compact"/>
                    <w:jc w:val="center"/>
                  </w:pPr>
                  <w:r>
                    <w:t xml:space="preserve">No</w:t>
                  </w:r>
                </w:p>
              </w:tc>
              <w:tc>
                <w:tcPr/>
                <w:p>
                  <w:pPr>
                    <w:pStyle w:val="Compact"/>
                    <w:jc w:val="center"/>
                  </w:pPr>
                  <w:r>
                    <w:t xml:space="preserve">6.3 [0.1]</w:t>
                  </w:r>
                </w:p>
              </w:tc>
              <w:tc>
                <w:tcPr/>
                <w:p>
                  <w:pPr>
                    <w:pStyle w:val="Compact"/>
                    <w:jc w:val="center"/>
                  </w:pPr>
                  <w:r>
                    <w:t xml:space="preserve">6.3 [0.1]</w:t>
                  </w:r>
                </w:p>
              </w:tc>
              <w:tc>
                <w:tcPr/>
                <w:p>
                  <w:pPr>
                    <w:pStyle w:val="Compact"/>
                    <w:jc w:val="center"/>
                  </w:pPr>
                  <w:r>
                    <w:t xml:space="preserve">6.6 [0.1]</w:t>
                  </w:r>
                </w:p>
              </w:tc>
              <w:tc>
                <w:tcPr/>
                <w:p>
                  <w:pPr>
                    <w:pStyle w:val="Compact"/>
                    <w:jc w:val="center"/>
                  </w:pPr>
                  <w:r>
                    <w:t xml:space="preserve">6.6 [0.1]</w:t>
                  </w:r>
                </w:p>
              </w:tc>
            </w:tr>
            <w:tr>
              <w:tc>
                <w:tcPr/>
                <w:p>
                  <w:pPr>
                    <w:pStyle w:val="Compact"/>
                    <w:jc w:val="center"/>
                  </w:pPr>
                  <w:r>
                    <w:t xml:space="preserve">Life expectancy</w:t>
                  </w:r>
                </w:p>
              </w:tc>
              <w:tc>
                <w:tcPr/>
                <w:p>
                  <w:pPr>
                    <w:pStyle w:val="Compact"/>
                    <w:jc w:val="center"/>
                  </w:pPr>
                  <w:r>
                    <w:t xml:space="preserve">Non-Hispanic Black</w:t>
                  </w:r>
                </w:p>
              </w:tc>
              <w:tc>
                <w:tcPr/>
                <w:p>
                  <w:pPr>
                    <w:pStyle w:val="Compact"/>
                    <w:jc w:val="center"/>
                  </w:pPr>
                  <w:r>
                    <w:t xml:space="preserve">Yes</w:t>
                  </w:r>
                </w:p>
              </w:tc>
              <w:tc>
                <w:tcPr/>
                <w:p>
                  <w:pPr>
                    <w:pStyle w:val="Compact"/>
                    <w:jc w:val="center"/>
                  </w:pPr>
                  <w:r>
                    <w:t xml:space="preserve">36.1 [0.1]</w:t>
                  </w:r>
                </w:p>
              </w:tc>
              <w:tc>
                <w:tcPr/>
                <w:p>
                  <w:pPr>
                    <w:pStyle w:val="Compact"/>
                    <w:jc w:val="center"/>
                  </w:pPr>
                  <w:r>
                    <w:t xml:space="preserve">35.8 [0.1]</w:t>
                  </w:r>
                </w:p>
              </w:tc>
              <w:tc>
                <w:tcPr/>
                <w:p>
                  <w:pPr>
                    <w:pStyle w:val="Compact"/>
                    <w:jc w:val="center"/>
                  </w:pPr>
                  <w:r>
                    <w:t xml:space="preserve">36.3 [0.1]</w:t>
                  </w:r>
                </w:p>
              </w:tc>
              <w:tc>
                <w:tcPr/>
                <w:p>
                  <w:pPr>
                    <w:pStyle w:val="Compact"/>
                    <w:jc w:val="center"/>
                  </w:pPr>
                  <w:r>
                    <w:t xml:space="preserve">36.2 [0.1]</w:t>
                  </w:r>
                </w:p>
              </w:tc>
            </w:tr>
            <w:tr>
              <w:tc>
                <w:tcPr/>
                <w:p>
                  <w:pPr>
                    <w:pStyle w:val="Compact"/>
                  </w:pPr>
                </w:p>
              </w:tc>
              <w:tc>
                <w:tcPr/>
                <w:p>
                  <w:pPr>
                    <w:pStyle w:val="Compact"/>
                  </w:pPr>
                </w:p>
              </w:tc>
              <w:tc>
                <w:tcPr/>
                <w:p>
                  <w:pPr>
                    <w:pStyle w:val="Compact"/>
                    <w:jc w:val="center"/>
                  </w:pPr>
                  <w:r>
                    <w:t xml:space="preserve">No</w:t>
                  </w:r>
                </w:p>
              </w:tc>
              <w:tc>
                <w:tcPr/>
                <w:p>
                  <w:pPr>
                    <w:pStyle w:val="Compact"/>
                    <w:jc w:val="center"/>
                  </w:pPr>
                  <w:r>
                    <w:t xml:space="preserve">33.0 [0.1]</w:t>
                  </w:r>
                </w:p>
              </w:tc>
              <w:tc>
                <w:tcPr/>
                <w:p>
                  <w:pPr>
                    <w:pStyle w:val="Compact"/>
                    <w:jc w:val="center"/>
                  </w:pPr>
                  <w:r>
                    <w:t xml:space="preserve">32.8 [0.1]</w:t>
                  </w:r>
                </w:p>
              </w:tc>
              <w:tc>
                <w:tcPr/>
                <w:p>
                  <w:pPr>
                    <w:pStyle w:val="Compact"/>
                    <w:jc w:val="center"/>
                  </w:pPr>
                  <w:r>
                    <w:t xml:space="preserve">33.1 [0.1]</w:t>
                  </w:r>
                </w:p>
              </w:tc>
              <w:tc>
                <w:tcPr/>
                <w:p>
                  <w:pPr>
                    <w:pStyle w:val="Compact"/>
                    <w:jc w:val="center"/>
                  </w:pPr>
                  <w:r>
                    <w:t xml:space="preserve">33.0 [0.1]</w:t>
                  </w:r>
                </w:p>
              </w:tc>
            </w:tr>
            <w:tr>
              <w:tc>
                <w:tcPr/>
                <w:p>
                  <w:pPr>
                    <w:pStyle w:val="Compact"/>
                  </w:pPr>
                </w:p>
              </w:tc>
              <w:tc>
                <w:tcPr/>
                <w:p>
                  <w:pPr>
                    <w:pStyle w:val="Compact"/>
                    <w:jc w:val="center"/>
                  </w:pPr>
                  <w:r>
                    <w:t xml:space="preserve">Non-Hispanic white</w:t>
                  </w:r>
                </w:p>
              </w:tc>
              <w:tc>
                <w:tcPr/>
                <w:p>
                  <w:pPr>
                    <w:pStyle w:val="Compact"/>
                    <w:jc w:val="center"/>
                  </w:pPr>
                  <w:r>
                    <w:t xml:space="preserve">Yes</w:t>
                  </w:r>
                </w:p>
              </w:tc>
              <w:tc>
                <w:tcPr/>
                <w:p>
                  <w:pPr>
                    <w:pStyle w:val="Compact"/>
                    <w:jc w:val="center"/>
                  </w:pPr>
                  <w:r>
                    <w:t xml:space="preserve">40.1 [0.1]</w:t>
                  </w:r>
                </w:p>
              </w:tc>
              <w:tc>
                <w:tcPr/>
                <w:p>
                  <w:pPr>
                    <w:pStyle w:val="Compact"/>
                    <w:jc w:val="center"/>
                  </w:pPr>
                  <w:r>
                    <w:t xml:space="preserve">40.1 [0.1]</w:t>
                  </w:r>
                </w:p>
              </w:tc>
              <w:tc>
                <w:tcPr/>
                <w:p>
                  <w:pPr>
                    <w:pStyle w:val="Compact"/>
                    <w:jc w:val="center"/>
                  </w:pPr>
                  <w:r>
                    <w:t xml:space="preserve">40.1 [0.1]</w:t>
                  </w:r>
                </w:p>
              </w:tc>
              <w:tc>
                <w:tcPr/>
                <w:p>
                  <w:pPr>
                    <w:pStyle w:val="Compact"/>
                    <w:jc w:val="center"/>
                  </w:pPr>
                  <w:r>
                    <w:t xml:space="preserve">40.1 [0.1]</w:t>
                  </w:r>
                </w:p>
              </w:tc>
            </w:tr>
            <w:tr>
              <w:tc>
                <w:tcPr/>
                <w:p>
                  <w:pPr>
                    <w:pStyle w:val="Compact"/>
                  </w:pPr>
                </w:p>
              </w:tc>
              <w:tc>
                <w:tcPr/>
                <w:p>
                  <w:pPr>
                    <w:pStyle w:val="Compact"/>
                  </w:pPr>
                </w:p>
              </w:tc>
              <w:tc>
                <w:tcPr/>
                <w:p>
                  <w:pPr>
                    <w:pStyle w:val="Compact"/>
                    <w:jc w:val="center"/>
                  </w:pPr>
                  <w:r>
                    <w:t xml:space="preserve">No</w:t>
                  </w:r>
                </w:p>
              </w:tc>
              <w:tc>
                <w:tcPr/>
                <w:p>
                  <w:pPr>
                    <w:pStyle w:val="Compact"/>
                    <w:jc w:val="center"/>
                  </w:pPr>
                  <w:r>
                    <w:t xml:space="preserve">37.3 [0.2]</w:t>
                  </w:r>
                </w:p>
              </w:tc>
              <w:tc>
                <w:tcPr/>
                <w:p>
                  <w:pPr>
                    <w:pStyle w:val="Compact"/>
                    <w:jc w:val="center"/>
                  </w:pPr>
                  <w:r>
                    <w:t xml:space="preserve">37.3 [0.2]</w:t>
                  </w:r>
                </w:p>
              </w:tc>
              <w:tc>
                <w:tcPr/>
                <w:p>
                  <w:pPr>
                    <w:pStyle w:val="Compact"/>
                    <w:jc w:val="center"/>
                  </w:pPr>
                  <w:r>
                    <w:t xml:space="preserve">37.2 [0.2]</w:t>
                  </w:r>
                </w:p>
              </w:tc>
              <w:tc>
                <w:tcPr/>
                <w:p>
                  <w:pPr>
                    <w:pStyle w:val="Compact"/>
                    <w:jc w:val="center"/>
                  </w:pPr>
                  <w:r>
                    <w:t xml:space="preserve">37.2 [0.2]</w:t>
                  </w:r>
                </w:p>
              </w:tc>
            </w:tr>
          </w:tbl>
          <w:p>
            <w:pPr>
              <w:jc w:val="center"/>
            </w:pPr>
            <w:pPr>
              <w:jc w:val="left"/>
              <w:spacing w:before="200"/>
              <w:pStyle w:val="ImageCaption"/>
            </w:pPr>
            <w:r>
              <w:t xml:space="preserve">Table S15: Main outcomes for non-Hispanic Black and non-Hispanic white adults comparing antihypertensive treatment guidelines with and without race adjustment by insurance status in secondary analysis (Mean [Monte Carlo standard error])</w:t>
            </w:r>
          </w:p>
          <w:bookmarkEnd w:id="192"/>
        </w:tc>
      </w:tr>
    </w:tbl>
    <w:bookmarkStart w:id="254" w:name="refs"/>
    <w:bookmarkStart w:id="193" w:name="ref-navar2016temporal"/>
    <w:p>
      <w:pPr>
        <w:pStyle w:val="Bibliography"/>
      </w:pPr>
      <w:r>
        <w:t xml:space="preserve">1.</w:t>
      </w:r>
      <w:r>
        <w:t xml:space="preserve"> </w:t>
      </w:r>
      <w:r>
        <w:t xml:space="preserve">	</w:t>
      </w:r>
      <w:r>
        <w:t xml:space="preserve">Navar AM, Peterson ED, Wojdyla D, et al. Temporal changes in the association between modifiable risk factors and coronary heart disease incidence.</w:t>
      </w:r>
      <w:r>
        <w:t xml:space="preserve"> </w:t>
      </w:r>
      <w:r>
        <w:rPr>
          <w:i/>
          <w:iCs/>
        </w:rPr>
        <w:t xml:space="preserve">Jama</w:t>
      </w:r>
      <w:r>
        <w:t xml:space="preserve">. 2016;316(19):2041-2043.</w:t>
      </w:r>
    </w:p>
    <w:bookmarkEnd w:id="193"/>
    <w:bookmarkStart w:id="194" w:name="ref-aggarwal2021racial"/>
    <w:p>
      <w:pPr>
        <w:pStyle w:val="Bibliography"/>
      </w:pPr>
      <w:r>
        <w:t xml:space="preserve">2.</w:t>
      </w:r>
      <w:r>
        <w:t xml:space="preserve"> </w:t>
      </w:r>
      <w:r>
        <w:t xml:space="preserve">	</w:t>
      </w:r>
      <w:r>
        <w:t xml:space="preserve">Aggarwal R, Chiu N, Wadhera RK, et al. Racial/ethnic disparities in hypertension prevalence, awareness, treatment, and control in the united states, 2013 to 2018.</w:t>
      </w:r>
      <w:r>
        <w:t xml:space="preserve"> </w:t>
      </w:r>
      <w:r>
        <w:rPr>
          <w:i/>
          <w:iCs/>
        </w:rPr>
        <w:t xml:space="preserve">Hypertension</w:t>
      </w:r>
      <w:r>
        <w:t xml:space="preserve">. 2021;78(6):1719-1726.</w:t>
      </w:r>
    </w:p>
    <w:bookmarkEnd w:id="194"/>
    <w:bookmarkStart w:id="195" w:name="ref-muntner2018potential"/>
    <w:p>
      <w:pPr>
        <w:pStyle w:val="Bibliography"/>
      </w:pPr>
      <w:r>
        <w:t xml:space="preserve">3.</w:t>
      </w:r>
      <w:r>
        <w:t xml:space="preserve"> </w:t>
      </w:r>
      <w:r>
        <w:t xml:space="preserve">	</w:t>
      </w:r>
      <w:r>
        <w:t xml:space="preserve">Muntner P, Carey RM, Gidding S, et al. Potential US population impact of the 2017 ACC/AHA high blood pressure guideline.</w:t>
      </w:r>
      <w:r>
        <w:t xml:space="preserve"> </w:t>
      </w:r>
      <w:r>
        <w:rPr>
          <w:i/>
          <w:iCs/>
        </w:rPr>
        <w:t xml:space="preserve">Journal of the American College of Cardiology</w:t>
      </w:r>
      <w:r>
        <w:t xml:space="preserve">. 2018;71(2):109-118.</w:t>
      </w:r>
    </w:p>
    <w:bookmarkEnd w:id="195"/>
    <w:bookmarkStart w:id="197" w:name="ref-cdc2023million"/>
    <w:p>
      <w:pPr>
        <w:pStyle w:val="Bibliography"/>
      </w:pPr>
      <w:r>
        <w:t xml:space="preserve">4.</w:t>
      </w:r>
      <w:r>
        <w:t xml:space="preserve"> </w:t>
      </w:r>
      <w:r>
        <w:t xml:space="preserve">	</w:t>
      </w:r>
      <w:r>
        <w:t xml:space="preserve">Disease Control C for, Prevention. Estimated hypertension prevalence, treatment, and control among u.s. adults. 2023.</w:t>
      </w:r>
      <w:r>
        <w:t xml:space="preserve"> </w:t>
      </w:r>
      <w:hyperlink r:id="rId196">
        <w:r>
          <w:rPr>
            <w:rStyle w:val="Hyperlink"/>
          </w:rPr>
          <w:t xml:space="preserve">https://millionhearts.hhs.gov/data-reports/hypertension-prevalence.html</w:t>
        </w:r>
      </w:hyperlink>
    </w:p>
    <w:bookmarkEnd w:id="197"/>
    <w:bookmarkStart w:id="198" w:name="ref-muntner2020trends"/>
    <w:p>
      <w:pPr>
        <w:pStyle w:val="Bibliography"/>
      </w:pPr>
      <w:r>
        <w:t xml:space="preserve">5.</w:t>
      </w:r>
      <w:r>
        <w:t xml:space="preserve"> </w:t>
      </w:r>
      <w:r>
        <w:t xml:space="preserve">	</w:t>
      </w:r>
      <w:r>
        <w:t xml:space="preserve">Muntner P, Hardy ST, Fine LJ, et al. Trends in blood pressure control among US adults with hypertension, 1999-2000 to 2017-2018.</w:t>
      </w:r>
      <w:r>
        <w:t xml:space="preserve"> </w:t>
      </w:r>
      <w:r>
        <w:rPr>
          <w:i/>
          <w:iCs/>
        </w:rPr>
        <w:t xml:space="preserve">Jama</w:t>
      </w:r>
      <w:r>
        <w:t xml:space="preserve">. 2020;324(12):1190-1200.</w:t>
      </w:r>
    </w:p>
    <w:bookmarkEnd w:id="198"/>
    <w:bookmarkStart w:id="199" w:name="ref-whelton20182017"/>
    <w:p>
      <w:pPr>
        <w:pStyle w:val="Bibliography"/>
      </w:pPr>
      <w:r>
        <w:t xml:space="preserve">6.</w:t>
      </w:r>
      <w:r>
        <w:t xml:space="preserve"> </w:t>
      </w:r>
      <w:r>
        <w:t xml:space="preserve">	</w:t>
      </w:r>
      <w:r>
        <w:t xml:space="preserve">Whelton PK, Carey RM, Aronow WS, et al.</w:t>
      </w:r>
      <w:r>
        <w:t xml:space="preserve"> 2017 ACC/AHA/AAPA/ABC/ACPM/AGS/APhA/ASH/ASPC/NMA/PCNA guideline for the prevention, detection, evaluation, and management of high blood pressure in adults: A report of the american college of cardiology/american heart association task force on clinical practice guidelines.</w:t>
      </w:r>
      <w:r>
        <w:t xml:space="preserve"> </w:t>
      </w:r>
      <w:r>
        <w:rPr>
          <w:i/>
          <w:iCs/>
        </w:rPr>
        <w:t xml:space="preserve">Journal of the American College of Cardiology</w:t>
      </w:r>
      <w:r>
        <w:t xml:space="preserve">. 2018;71(19):e127-e248.</w:t>
      </w:r>
    </w:p>
    <w:bookmarkEnd w:id="199"/>
    <w:bookmarkStart w:id="200" w:name="ref-wright2005outcomes"/>
    <w:p>
      <w:pPr>
        <w:pStyle w:val="Bibliography"/>
      </w:pPr>
      <w:r>
        <w:t xml:space="preserve">7.</w:t>
      </w:r>
      <w:r>
        <w:t xml:space="preserve"> </w:t>
      </w:r>
      <w:r>
        <w:t xml:space="preserve">	</w:t>
      </w:r>
      <w:r>
        <w:t xml:space="preserve">Wright JT, Dunn JK, Cutler JA, et al.</w:t>
      </w:r>
      <w:r>
        <w:t xml:space="preserve"> Outcomes in hypertensive black and nonblack patients treated with chlorthalidone, amlodipine, and lisinopril.</w:t>
      </w:r>
      <w:r>
        <w:t xml:space="preserve"> </w:t>
      </w:r>
      <w:r>
        <w:rPr>
          <w:i/>
          <w:iCs/>
        </w:rPr>
        <w:t xml:space="preserve">Jama</w:t>
      </w:r>
      <w:r>
        <w:t xml:space="preserve">. 2005;293(13):1595-1608.</w:t>
      </w:r>
    </w:p>
    <w:bookmarkEnd w:id="200"/>
    <w:bookmarkStart w:id="201" w:name="ref-leenen2006clinical"/>
    <w:p>
      <w:pPr>
        <w:pStyle w:val="Bibliography"/>
      </w:pPr>
      <w:r>
        <w:t xml:space="preserve">8.</w:t>
      </w:r>
      <w:r>
        <w:t xml:space="preserve"> </w:t>
      </w:r>
      <w:r>
        <w:t xml:space="preserve">	</w:t>
      </w:r>
      <w:r>
        <w:t xml:space="preserve">Leenen FH, Nwachuku CE, Black HR, et al.</w:t>
      </w:r>
      <w:r>
        <w:t xml:space="preserve"> Clinical events in high-risk hypertensive patients randomly assigned to calcium channel blocker versus angiotensin-converting enzyme inhibitor in the antihypertensive and lipid-lowering treatment to prevent heart attack trial.</w:t>
      </w:r>
      <w:r>
        <w:t xml:space="preserve"> </w:t>
      </w:r>
      <w:r>
        <w:rPr>
          <w:i/>
          <w:iCs/>
        </w:rPr>
        <w:t xml:space="preserve">Hypertension</w:t>
      </w:r>
      <w:r>
        <w:t xml:space="preserve">. 2006;48(3):374-384.</w:t>
      </w:r>
    </w:p>
    <w:bookmarkEnd w:id="201"/>
    <w:bookmarkStart w:id="202" w:name="ref-wright2008clinical"/>
    <w:p>
      <w:pPr>
        <w:pStyle w:val="Bibliography"/>
      </w:pPr>
      <w:r>
        <w:t xml:space="preserve">9.</w:t>
      </w:r>
      <w:r>
        <w:t xml:space="preserve"> </w:t>
      </w:r>
      <w:r>
        <w:t xml:space="preserve">	</w:t>
      </w:r>
      <w:r>
        <w:t xml:space="preserve">Wright JT, Harris-Haywood S, Pressel S, et al.</w:t>
      </w:r>
      <w:r>
        <w:t xml:space="preserve"> Clinical outcomes by race in hypertensive patients with and without the metabolic syndrome: Antihypertensive and lipid-lowering treatment to prevent heart attack trial (ALLHAT).</w:t>
      </w:r>
      <w:r>
        <w:t xml:space="preserve"> </w:t>
      </w:r>
      <w:r>
        <w:rPr>
          <w:i/>
          <w:iCs/>
        </w:rPr>
        <w:t xml:space="preserve">Archives of Internal Medicine</w:t>
      </w:r>
      <w:r>
        <w:t xml:space="preserve">. 2008;168(2):207-217.</w:t>
      </w:r>
    </w:p>
    <w:bookmarkEnd w:id="202"/>
    <w:bookmarkStart w:id="203" w:name="ref-james20142014"/>
    <w:p>
      <w:pPr>
        <w:pStyle w:val="Bibliography"/>
      </w:pPr>
      <w:r>
        <w:t xml:space="preserve">10.</w:t>
      </w:r>
      <w:r>
        <w:t xml:space="preserve"> </w:t>
      </w:r>
      <w:r>
        <w:t xml:space="preserve">	</w:t>
      </w:r>
      <w:r>
        <w:t xml:space="preserve">James PA, Oparil S, Carter BL, et al.</w:t>
      </w:r>
      <w:r>
        <w:t xml:space="preserve"> 2014 evidence-based guideline for the management of high blood pressure in adults: Report from the panel members appointed to the eighth joint national committee (JNC 8).</w:t>
      </w:r>
      <w:r>
        <w:t xml:space="preserve"> </w:t>
      </w:r>
      <w:r>
        <w:rPr>
          <w:i/>
          <w:iCs/>
        </w:rPr>
        <w:t xml:space="preserve">Jama</w:t>
      </w:r>
      <w:r>
        <w:t xml:space="preserve">. 2014;311(5):507-520.</w:t>
      </w:r>
    </w:p>
    <w:bookmarkEnd w:id="203"/>
    <w:bookmarkStart w:id="204" w:name="ref-williams20182018"/>
    <w:p>
      <w:pPr>
        <w:pStyle w:val="Bibliography"/>
      </w:pPr>
      <w:r>
        <w:t xml:space="preserve">11.</w:t>
      </w:r>
      <w:r>
        <w:t xml:space="preserve"> </w:t>
      </w:r>
      <w:r>
        <w:t xml:space="preserve">	</w:t>
      </w:r>
      <w:r>
        <w:t xml:space="preserve">Williams B, Mancia G, Spiering W, et al.</w:t>
      </w:r>
      <w:r>
        <w:t xml:space="preserve"> 2018 ESC/ESH guidelines for the management of arterial hypertension: The task force for the management of arterial hypertension of the european society of cardiology (ESC) and the european society of hypertension (ESH).</w:t>
      </w:r>
      <w:r>
        <w:t xml:space="preserve"> </w:t>
      </w:r>
      <w:r>
        <w:rPr>
          <w:i/>
          <w:iCs/>
        </w:rPr>
        <w:t xml:space="preserve">European heart journal</w:t>
      </w:r>
      <w:r>
        <w:t xml:space="preserve">. 2018;39(33):3021-3104.</w:t>
      </w:r>
    </w:p>
    <w:bookmarkEnd w:id="204"/>
    <w:bookmarkStart w:id="205" w:name="ref-vyas2020hidden"/>
    <w:p>
      <w:pPr>
        <w:pStyle w:val="Bibliography"/>
      </w:pPr>
      <w:r>
        <w:t xml:space="preserve">12.</w:t>
      </w:r>
      <w:r>
        <w:t xml:space="preserve"> </w:t>
      </w:r>
      <w:r>
        <w:t xml:space="preserve">	</w:t>
      </w:r>
      <w:r>
        <w:t xml:space="preserve">Vyas DA, Eisenstein LG, Jones DS. Hidden in plain sight—reconsidering the use of race correction in clinical algorithms.</w:t>
      </w:r>
      <w:r>
        <w:t xml:space="preserve"> </w:t>
      </w:r>
      <w:r>
        <w:rPr>
          <w:i/>
          <w:iCs/>
        </w:rPr>
        <w:t xml:space="preserve">New England Journal of Medicine</w:t>
      </w:r>
      <w:r>
        <w:t xml:space="preserve">. 2020;383:9.</w:t>
      </w:r>
    </w:p>
    <w:bookmarkEnd w:id="205"/>
    <w:bookmarkStart w:id="206" w:name="ref-cerdena2020race"/>
    <w:p>
      <w:pPr>
        <w:pStyle w:val="Bibliography"/>
      </w:pPr>
      <w:r>
        <w:t xml:space="preserve">13.</w:t>
      </w:r>
      <w:r>
        <w:t xml:space="preserve"> </w:t>
      </w:r>
      <w:r>
        <w:t xml:space="preserve">	</w:t>
      </w:r>
      <w:r>
        <w:t xml:space="preserve">Cerdeña JP, Plaisime MV, Tsai J. From race-based to race-conscious medicine: How anti-racist uprisings call us to act.</w:t>
      </w:r>
      <w:r>
        <w:t xml:space="preserve"> </w:t>
      </w:r>
      <w:r>
        <w:rPr>
          <w:i/>
          <w:iCs/>
        </w:rPr>
        <w:t xml:space="preserve">The Lancet</w:t>
      </w:r>
      <w:r>
        <w:t xml:space="preserve">. 2020;396(10257):1125-1128.</w:t>
      </w:r>
    </w:p>
    <w:bookmarkEnd w:id="206"/>
    <w:bookmarkStart w:id="207" w:name="ref-neal2021racial"/>
    <w:p>
      <w:pPr>
        <w:pStyle w:val="Bibliography"/>
      </w:pPr>
      <w:r>
        <w:t xml:space="preserve">14.</w:t>
      </w:r>
      <w:r>
        <w:t xml:space="preserve"> </w:t>
      </w:r>
      <w:r>
        <w:t xml:space="preserve">	</w:t>
      </w:r>
      <w:r>
        <w:t xml:space="preserve">Neal RE, Morse M. Racial health inequities and clinical algorithms: A time for action.</w:t>
      </w:r>
      <w:r>
        <w:t xml:space="preserve"> </w:t>
      </w:r>
      <w:r>
        <w:rPr>
          <w:i/>
          <w:iCs/>
        </w:rPr>
        <w:t xml:space="preserve">Clinical Journal of the American Society of Nephrology</w:t>
      </w:r>
      <w:r>
        <w:t xml:space="preserve">. 2021;16(7):1120-1121.</w:t>
      </w:r>
    </w:p>
    <w:bookmarkEnd w:id="207"/>
    <w:bookmarkStart w:id="208" w:name="ref-wright2022eliminating"/>
    <w:p>
      <w:pPr>
        <w:pStyle w:val="Bibliography"/>
      </w:pPr>
      <w:r>
        <w:t xml:space="preserve">15.</w:t>
      </w:r>
      <w:r>
        <w:t xml:space="preserve"> </w:t>
      </w:r>
      <w:r>
        <w:t xml:space="preserve">	</w:t>
      </w:r>
      <w:r>
        <w:t xml:space="preserve">Wright JL, Davis WS, Joseph MM, et al. Eliminating race-based medicine.</w:t>
      </w:r>
      <w:r>
        <w:t xml:space="preserve"> </w:t>
      </w:r>
      <w:r>
        <w:rPr>
          <w:i/>
          <w:iCs/>
        </w:rPr>
        <w:t xml:space="preserve">Pediatrics</w:t>
      </w:r>
      <w:r>
        <w:t xml:space="preserve">. 2022;150(1):e2022057998.</w:t>
      </w:r>
    </w:p>
    <w:bookmarkEnd w:id="208"/>
    <w:bookmarkStart w:id="209" w:name="ref-borrell2021race"/>
    <w:p>
      <w:pPr>
        <w:pStyle w:val="Bibliography"/>
      </w:pPr>
      <w:r>
        <w:t xml:space="preserve">16.</w:t>
      </w:r>
      <w:r>
        <w:t xml:space="preserve"> </w:t>
      </w:r>
      <w:r>
        <w:t xml:space="preserve">	</w:t>
      </w:r>
      <w:r>
        <w:t xml:space="preserve">Borrell LN, Elhawary JR, Fuentes-Afflick E, et al.</w:t>
      </w:r>
      <w:r>
        <w:t xml:space="preserve"> Race and genetic ancestry in medicine—a time for reckoning with racism.</w:t>
      </w:r>
      <w:r>
        <w:t xml:space="preserve"> </w:t>
      </w:r>
      <w:r>
        <w:rPr>
          <w:i/>
          <w:iCs/>
        </w:rPr>
        <w:t xml:space="preserve">New England Journal of Medicine</w:t>
      </w:r>
      <w:r>
        <w:t xml:space="preserve">. 2021;384:5.</w:t>
      </w:r>
    </w:p>
    <w:bookmarkEnd w:id="209"/>
    <w:bookmarkStart w:id="210" w:name="ref-inker2021new"/>
    <w:p>
      <w:pPr>
        <w:pStyle w:val="Bibliography"/>
      </w:pPr>
      <w:r>
        <w:t xml:space="preserve">17.</w:t>
      </w:r>
      <w:r>
        <w:t xml:space="preserve"> </w:t>
      </w:r>
      <w:r>
        <w:t xml:space="preserve">	</w:t>
      </w:r>
      <w:r>
        <w:t xml:space="preserve">Inker LA, Eneanya ND, Coresh J, et al.</w:t>
      </w:r>
      <w:r>
        <w:t xml:space="preserve"> New creatinine-and cystatin c–based equations to estimate GFR without race.</w:t>
      </w:r>
      <w:r>
        <w:t xml:space="preserve"> </w:t>
      </w:r>
      <w:r>
        <w:rPr>
          <w:i/>
          <w:iCs/>
        </w:rPr>
        <w:t xml:space="preserve">New England Journal of Medicine</w:t>
      </w:r>
      <w:r>
        <w:t xml:space="preserve">. 2021;385(19):1737-1749.</w:t>
      </w:r>
    </w:p>
    <w:bookmarkEnd w:id="210"/>
    <w:bookmarkStart w:id="211" w:name="ref-khan2024development"/>
    <w:p>
      <w:pPr>
        <w:pStyle w:val="Bibliography"/>
      </w:pPr>
      <w:r>
        <w:t xml:space="preserve">18.</w:t>
      </w:r>
      <w:r>
        <w:t xml:space="preserve"> </w:t>
      </w:r>
      <w:r>
        <w:t xml:space="preserve">	</w:t>
      </w:r>
      <w:r>
        <w:t xml:space="preserve">Khan SS, Matsushita K, Sang Y, et al.</w:t>
      </w:r>
      <w:r>
        <w:t xml:space="preserve"> Development and validation of the american heart association’s PREVENT equations.</w:t>
      </w:r>
      <w:r>
        <w:t xml:space="preserve"> </w:t>
      </w:r>
      <w:r>
        <w:rPr>
          <w:i/>
          <w:iCs/>
        </w:rPr>
        <w:t xml:space="preserve">Circulation</w:t>
      </w:r>
      <w:r>
        <w:t xml:space="preserve">. 2024;149(6):430-449.</w:t>
      </w:r>
    </w:p>
    <w:bookmarkEnd w:id="211"/>
    <w:bookmarkStart w:id="212" w:name="ref-ndumele2025role"/>
    <w:p>
      <w:pPr>
        <w:pStyle w:val="Bibliography"/>
      </w:pPr>
      <w:r>
        <w:t xml:space="preserve">19.</w:t>
      </w:r>
      <w:r>
        <w:t xml:space="preserve"> </w:t>
      </w:r>
      <w:r>
        <w:t xml:space="preserve">	</w:t>
      </w:r>
      <w:r>
        <w:t xml:space="preserve">Ndumele CE, Ferdinand KC, Khan SS. The role of race in cardiovascular disease risk prediction.</w:t>
      </w:r>
      <w:r>
        <w:t xml:space="preserve"> </w:t>
      </w:r>
      <w:r>
        <w:rPr>
          <w:i/>
          <w:iCs/>
        </w:rPr>
        <w:t xml:space="preserve">Circulation</w:t>
      </w:r>
      <w:r>
        <w:t xml:space="preserve">. 2025;151(11):741-743.</w:t>
      </w:r>
    </w:p>
    <w:bookmarkEnd w:id="212"/>
    <w:bookmarkStart w:id="213" w:name="ref-writing20252025"/>
    <w:p>
      <w:pPr>
        <w:pStyle w:val="Bibliography"/>
      </w:pPr>
      <w:r>
        <w:t xml:space="preserve">20.</w:t>
      </w:r>
      <w:r>
        <w:t xml:space="preserve"> </w:t>
      </w:r>
      <w:r>
        <w:t xml:space="preserve">	</w:t>
      </w:r>
      <w:r>
        <w:t xml:space="preserve">Members* WC, Jones DW, Ferdinand KC, et al.</w:t>
      </w:r>
      <w:r>
        <w:t xml:space="preserve"> 2025 AHA/ACC/AANP/AAPA/ABC/ACCP/ACPM/AGS/AMA/ASPC/NMA/PCNA/SGIM guideline for the prevention, detection, evaluation and management of high blood pressure in adults: A report of the american college of cardiology/american heart association joint committee on clinical practice guidelines.</w:t>
      </w:r>
      <w:r>
        <w:t xml:space="preserve"> </w:t>
      </w:r>
      <w:r>
        <w:rPr>
          <w:i/>
          <w:iCs/>
        </w:rPr>
        <w:t xml:space="preserve">Circulation</w:t>
      </w:r>
      <w:r>
        <w:t xml:space="preserve">. 2025;152(11):e114-e218.</w:t>
      </w:r>
    </w:p>
    <w:bookmarkEnd w:id="213"/>
    <w:bookmarkStart w:id="214" w:name="ref-rose2025ai"/>
    <w:p>
      <w:pPr>
        <w:pStyle w:val="Bibliography"/>
      </w:pPr>
      <w:r>
        <w:t xml:space="preserve">21.</w:t>
      </w:r>
      <w:r>
        <w:t xml:space="preserve"> </w:t>
      </w:r>
      <w:r>
        <w:t xml:space="preserve">	</w:t>
      </w:r>
      <w:r>
        <w:t xml:space="preserve">Rose S. AI hype cycles and reality in health care. In:</w:t>
      </w:r>
      <w:r>
        <w:t xml:space="preserve"> </w:t>
      </w:r>
      <w:r>
        <w:rPr>
          <w:i/>
          <w:iCs/>
        </w:rPr>
        <w:t xml:space="preserve">JAMA Health Forum</w:t>
      </w:r>
      <w:r>
        <w:t xml:space="preserve">. Vol 6. American Medical Association; 2025:e251904-e251904.</w:t>
      </w:r>
    </w:p>
    <w:bookmarkEnd w:id="214"/>
    <w:bookmarkStart w:id="215" w:name="ref-CDC2018"/>
    <w:p>
      <w:pPr>
        <w:pStyle w:val="Bibliography"/>
      </w:pPr>
      <w:r>
        <w:t xml:space="preserve">22.</w:t>
      </w:r>
      <w:r>
        <w:t xml:space="preserve"> </w:t>
      </w:r>
      <w:r>
        <w:t xml:space="preserve">	</w:t>
      </w:r>
      <w:r>
        <w:t xml:space="preserve">Health USD of, Human Services C for DC, Prevention. National health and nutrition examination survey data. Published online 2018.</w:t>
      </w:r>
    </w:p>
    <w:bookmarkEnd w:id="215"/>
    <w:bookmarkStart w:id="216" w:name="ref-phillips2017prime"/>
    <w:p>
      <w:pPr>
        <w:pStyle w:val="Bibliography"/>
      </w:pPr>
      <w:r>
        <w:t xml:space="preserve">23.</w:t>
      </w:r>
      <w:r>
        <w:t xml:space="preserve"> </w:t>
      </w:r>
      <w:r>
        <w:t xml:space="preserve">	</w:t>
      </w:r>
      <w:r>
        <w:t xml:space="preserve">Phillips R. The PRIME registry helps thousands of primary care clinicians liberate EHR data and prepare for MIPS. Published online 2017.</w:t>
      </w:r>
    </w:p>
    <w:bookmarkEnd w:id="216"/>
    <w:bookmarkStart w:id="218" w:name="ref-afcdata2026"/>
    <w:p>
      <w:pPr>
        <w:pStyle w:val="Bibliography"/>
      </w:pPr>
      <w:r>
        <w:t xml:space="preserve">24.</w:t>
      </w:r>
      <w:r>
        <w:t xml:space="preserve"> </w:t>
      </w:r>
      <w:r>
        <w:t xml:space="preserve">	</w:t>
      </w:r>
      <w:r>
        <w:t xml:space="preserve">Ayin Vala and Shiying Hao and Stanford Center for Population Health Sciences. AFC RIF. Published online September 2026. doi:</w:t>
      </w:r>
      <w:hyperlink r:id="rId217">
        <w:r>
          <w:rPr>
            <w:rStyle w:val="Hyperlink"/>
          </w:rPr>
          <w:t xml:space="preserve">10.57761/6nty-x112</w:t>
        </w:r>
      </w:hyperlink>
    </w:p>
    <w:bookmarkEnd w:id="218"/>
    <w:bookmarkStart w:id="219" w:name="ref-arias2023united"/>
    <w:p>
      <w:pPr>
        <w:pStyle w:val="Bibliography"/>
      </w:pPr>
      <w:r>
        <w:t xml:space="preserve">25.</w:t>
      </w:r>
      <w:r>
        <w:t xml:space="preserve"> </w:t>
      </w:r>
      <w:r>
        <w:t xml:space="preserve">	</w:t>
      </w:r>
      <w:r>
        <w:t xml:space="preserve">Arias E, Xu J, Kochanek K. United states life tables, 2021. Published online 2023.</w:t>
      </w:r>
    </w:p>
    <w:bookmarkEnd w:id="219"/>
    <w:bookmarkStart w:id="221" w:name="ref-National2024what"/>
    <w:p>
      <w:pPr>
        <w:pStyle w:val="Bibliography"/>
      </w:pPr>
      <w:r>
        <w:t xml:space="preserve">26.</w:t>
      </w:r>
      <w:r>
        <w:t xml:space="preserve"> </w:t>
      </w:r>
      <w:r>
        <w:t xml:space="preserve">	</w:t>
      </w:r>
      <w:r>
        <w:t xml:space="preserve">What is high blood pressure?</w:t>
      </w:r>
      <w:r>
        <w:t xml:space="preserve"> </w:t>
      </w:r>
      <w:r>
        <w:rPr>
          <w:i/>
          <w:iCs/>
        </w:rPr>
        <w:t xml:space="preserve">National Heart Lung and Blood Institute</w:t>
      </w:r>
      <w:r>
        <w:t xml:space="preserve">. Published online April 2024.</w:t>
      </w:r>
      <w:r>
        <w:t xml:space="preserve"> </w:t>
      </w:r>
      <w:hyperlink r:id="rId220">
        <w:r>
          <w:rPr>
            <w:rStyle w:val="Hyperlink"/>
          </w:rPr>
          <w:t xml:space="preserve">https://www.nhlbi.nih.gov/health/high-blood-pressure</w:t>
        </w:r>
      </w:hyperlink>
    </w:p>
    <w:bookmarkEnd w:id="221"/>
    <w:bookmarkStart w:id="222" w:name="ref-hansen2005ambulatory"/>
    <w:p>
      <w:pPr>
        <w:pStyle w:val="Bibliography"/>
      </w:pPr>
      <w:r>
        <w:t xml:space="preserve">27.</w:t>
      </w:r>
      <w:r>
        <w:t xml:space="preserve"> </w:t>
      </w:r>
      <w:r>
        <w:t xml:space="preserve">	</w:t>
      </w:r>
      <w:r>
        <w:t xml:space="preserve">Hansen TW, Jeppesen J, Rasmussen S, Ibsen H, Torp-Pedersen C. Ambulatory blood pressure and mortality: A population-based study.</w:t>
      </w:r>
      <w:r>
        <w:t xml:space="preserve"> </w:t>
      </w:r>
      <w:r>
        <w:rPr>
          <w:i/>
          <w:iCs/>
        </w:rPr>
        <w:t xml:space="preserve">Hypertension</w:t>
      </w:r>
      <w:r>
        <w:t xml:space="preserve">. 2005;45(4):499-504.</w:t>
      </w:r>
    </w:p>
    <w:bookmarkEnd w:id="222"/>
    <w:bookmarkStart w:id="223" w:name="ref-antihypertensive2002major"/>
    <w:p>
      <w:pPr>
        <w:pStyle w:val="Bibliography"/>
      </w:pPr>
      <w:r>
        <w:t xml:space="preserve">28.</w:t>
      </w:r>
      <w:r>
        <w:t xml:space="preserve"> </w:t>
      </w:r>
      <w:r>
        <w:t xml:space="preserve">	</w:t>
      </w:r>
      <w:r>
        <w:t xml:space="preserve">Antihypertensive T, ALLHAT Collaborative Research Group C for the, et al.</w:t>
      </w:r>
      <w:r>
        <w:t xml:space="preserve"> Major outcomes in high-risk hypertensive patients randomized to angiotensin-converting enzyme inhibitor or calcium channel blocker vs diuretic: The antihypertensive and lipid-lowering treatment to prevent heart attack trial (ALLHAT).</w:t>
      </w:r>
      <w:r>
        <w:t xml:space="preserve"> </w:t>
      </w:r>
      <w:r>
        <w:rPr>
          <w:i/>
          <w:iCs/>
        </w:rPr>
        <w:t xml:space="preserve">Jama</w:t>
      </w:r>
      <w:r>
        <w:t xml:space="preserve">. 2002;288(23):2981-2997.</w:t>
      </w:r>
    </w:p>
    <w:bookmarkEnd w:id="223"/>
    <w:bookmarkStart w:id="224" w:name="ref-holt2022differences"/>
    <w:p>
      <w:pPr>
        <w:pStyle w:val="Bibliography"/>
      </w:pPr>
      <w:r>
        <w:t xml:space="preserve">29.</w:t>
      </w:r>
      <w:r>
        <w:t xml:space="preserve"> </w:t>
      </w:r>
      <w:r>
        <w:t xml:space="preserve">	</w:t>
      </w:r>
      <w:r>
        <w:t xml:space="preserve">Holt HK, Gildengorin G, Karliner L, Fontil V, Pramanik R, Potter MB. Differences in hypertension medication prescribing for black americans and their association with hypertension outcomes.</w:t>
      </w:r>
      <w:r>
        <w:t xml:space="preserve"> </w:t>
      </w:r>
      <w:r>
        <w:rPr>
          <w:i/>
          <w:iCs/>
        </w:rPr>
        <w:t xml:space="preserve">The Journal of the American Board of Family Medicine</w:t>
      </w:r>
      <w:r>
        <w:t xml:space="preserve">. 2022;35(1):26-34.</w:t>
      </w:r>
    </w:p>
    <w:bookmarkEnd w:id="224"/>
    <w:bookmarkStart w:id="225" w:name="ref-cusick2026novel"/>
    <w:p>
      <w:pPr>
        <w:pStyle w:val="Bibliography"/>
      </w:pPr>
      <w:r>
        <w:t xml:space="preserve">30.</w:t>
      </w:r>
      <w:r>
        <w:t xml:space="preserve"> </w:t>
      </w:r>
      <w:r>
        <w:t xml:space="preserve">	</w:t>
      </w:r>
      <w:r>
        <w:t xml:space="preserve">Cusick MM, Alarid-Escudero F, Goldhaber-Fiebert JD, Rose S. A novel decision-modeling framework for health policy analyses when outcomes are influenced by social and disease processes.</w:t>
      </w:r>
      <w:r>
        <w:t xml:space="preserve"> </w:t>
      </w:r>
      <w:r>
        <w:rPr>
          <w:i/>
          <w:iCs/>
        </w:rPr>
        <w:t xml:space="preserve">Medical Decision Making</w:t>
      </w:r>
      <w:r>
        <w:t xml:space="preserve">. 2026;46(5):549-559.</w:t>
      </w:r>
    </w:p>
    <w:bookmarkEnd w:id="225"/>
    <w:bookmarkStart w:id="226" w:name="ref-butler2013measures"/>
    <w:p>
      <w:pPr>
        <w:pStyle w:val="Bibliography"/>
      </w:pPr>
      <w:r>
        <w:t xml:space="preserve">31.</w:t>
      </w:r>
      <w:r>
        <w:t xml:space="preserve"> </w:t>
      </w:r>
      <w:r>
        <w:t xml:space="preserve">	</w:t>
      </w:r>
      <w:r>
        <w:t xml:space="preserve">Butler DC, Petterson S, Phillips RL, Bazemore AW. Measures of social deprivation that predict health care access and need within a rational area of primary care service delivery.</w:t>
      </w:r>
      <w:r>
        <w:t xml:space="preserve"> </w:t>
      </w:r>
      <w:r>
        <w:rPr>
          <w:i/>
          <w:iCs/>
        </w:rPr>
        <w:t xml:space="preserve">Health services research</w:t>
      </w:r>
      <w:r>
        <w:t xml:space="preserve">. 2013;48(2pt1):539-559.</w:t>
      </w:r>
    </w:p>
    <w:bookmarkEnd w:id="226"/>
    <w:bookmarkStart w:id="227" w:name="ref-wilper2009health"/>
    <w:p>
      <w:pPr>
        <w:pStyle w:val="Bibliography"/>
      </w:pPr>
      <w:r>
        <w:t xml:space="preserve">32.</w:t>
      </w:r>
      <w:r>
        <w:t xml:space="preserve"> </w:t>
      </w:r>
      <w:r>
        <w:t xml:space="preserve">	</w:t>
      </w:r>
      <w:r>
        <w:t xml:space="preserve">Wilper AP, Woolhandler S, Lasser KE, McCormick D, Bor DH, Himmelstein DU. Health insurance and mortality in US adults.</w:t>
      </w:r>
      <w:r>
        <w:t xml:space="preserve"> </w:t>
      </w:r>
      <w:r>
        <w:rPr>
          <w:i/>
          <w:iCs/>
        </w:rPr>
        <w:t xml:space="preserve">American journal of public health</w:t>
      </w:r>
      <w:r>
        <w:t xml:space="preserve">. 2009;99(12):2289-2295.</w:t>
      </w:r>
    </w:p>
    <w:bookmarkEnd w:id="227"/>
    <w:bookmarkStart w:id="228" w:name="ref-kronick2009health"/>
    <w:p>
      <w:pPr>
        <w:pStyle w:val="Bibliography"/>
      </w:pPr>
      <w:r>
        <w:t xml:space="preserve">33.</w:t>
      </w:r>
      <w:r>
        <w:t xml:space="preserve"> </w:t>
      </w:r>
      <w:r>
        <w:t xml:space="preserve">	</w:t>
      </w:r>
      <w:r>
        <w:t xml:space="preserve">Kronick R. Health insurance coverage and mortality revisited.</w:t>
      </w:r>
      <w:r>
        <w:t xml:space="preserve"> </w:t>
      </w:r>
      <w:r>
        <w:rPr>
          <w:i/>
          <w:iCs/>
        </w:rPr>
        <w:t xml:space="preserve">Health services research</w:t>
      </w:r>
      <w:r>
        <w:t xml:space="preserve">. 2009;44(4):1211-1231.</w:t>
      </w:r>
    </w:p>
    <w:bookmarkEnd w:id="228"/>
    <w:bookmarkStart w:id="230" w:name="ref-tolbert2024uninsured"/>
    <w:p>
      <w:pPr>
        <w:pStyle w:val="Bibliography"/>
      </w:pPr>
      <w:r>
        <w:t xml:space="preserve">34.</w:t>
      </w:r>
      <w:r>
        <w:t xml:space="preserve"> </w:t>
      </w:r>
      <w:r>
        <w:t xml:space="preserve">	</w:t>
      </w:r>
      <w:r>
        <w:t xml:space="preserve">Tolbert J, Drake P, Singh R. The uninsured population and health coverage. In, ed.Altman D.</w:t>
      </w:r>
      <w:r>
        <w:t xml:space="preserve"> </w:t>
      </w:r>
      <w:r>
        <w:rPr>
          <w:i/>
          <w:iCs/>
        </w:rPr>
        <w:t xml:space="preserve">Health Policy 101</w:t>
      </w:r>
      <w:r>
        <w:t xml:space="preserve">. KFF; 2024.</w:t>
      </w:r>
      <w:hyperlink r:id="rId229">
        <w:r>
          <w:rPr>
            <w:rStyle w:val="Hyperlink"/>
          </w:rPr>
          <w:t xml:space="preserve"> </w:t>
        </w:r>
        <w:r>
          <w:rPr>
            <w:rStyle w:val="Hyperlink"/>
          </w:rPr>
          <w:t xml:space="preserve">https://www.kff.org/health-policy-101-the-uninsured-population-and-health-coverage/</w:t>
        </w:r>
      </w:hyperlink>
    </w:p>
    <w:bookmarkEnd w:id="230"/>
    <w:bookmarkStart w:id="231" w:name="ref-fernandez2019medication"/>
    <w:p>
      <w:pPr>
        <w:pStyle w:val="Bibliography"/>
      </w:pPr>
      <w:r>
        <w:t xml:space="preserve">35.</w:t>
      </w:r>
      <w:r>
        <w:t xml:space="preserve"> </w:t>
      </w:r>
      <w:r>
        <w:t xml:space="preserve">	</w:t>
      </w:r>
      <w:r>
        <w:t xml:space="preserve">Fernandez-Lazaro CI, Adams DP, Fernandez-Lazaro D, Garcia-González JM, Caballero-Garcia A, Miron-Canelo JA. Medication adherence and barriers among low-income, uninsured patients with multiple chronic conditions.</w:t>
      </w:r>
      <w:r>
        <w:t xml:space="preserve"> </w:t>
      </w:r>
      <w:r>
        <w:rPr>
          <w:i/>
          <w:iCs/>
        </w:rPr>
        <w:t xml:space="preserve">Research in Social and Administrative Pharmacy</w:t>
      </w:r>
      <w:r>
        <w:t xml:space="preserve">. 2019;15(6):744-753.</w:t>
      </w:r>
    </w:p>
    <w:bookmarkEnd w:id="231"/>
    <w:bookmarkStart w:id="232" w:name="ref-wright2002effect"/>
    <w:p>
      <w:pPr>
        <w:pStyle w:val="Bibliography"/>
      </w:pPr>
      <w:r>
        <w:t xml:space="preserve">36.</w:t>
      </w:r>
      <w:r>
        <w:t xml:space="preserve"> </w:t>
      </w:r>
      <w:r>
        <w:t xml:space="preserve">	</w:t>
      </w:r>
      <w:r>
        <w:t xml:space="preserve">Wright Jr JT, Bakris G, Greene T, et al.</w:t>
      </w:r>
      <w:r>
        <w:t xml:space="preserve"> Effect of blood pressure lowering and antihypertensive drug class on progression of hypertensive kidney disease: Results from the AASK trial.</w:t>
      </w:r>
      <w:r>
        <w:t xml:space="preserve"> </w:t>
      </w:r>
      <w:r>
        <w:rPr>
          <w:i/>
          <w:iCs/>
        </w:rPr>
        <w:t xml:space="preserve">Jama</w:t>
      </w:r>
      <w:r>
        <w:t xml:space="preserve">. 2002;288(19):2421-2431.</w:t>
      </w:r>
    </w:p>
    <w:bookmarkEnd w:id="232"/>
    <w:bookmarkStart w:id="233" w:name="ref-preston1998age"/>
    <w:p>
      <w:pPr>
        <w:pStyle w:val="Bibliography"/>
      </w:pPr>
      <w:r>
        <w:t xml:space="preserve">37.</w:t>
      </w:r>
      <w:r>
        <w:t xml:space="preserve"> </w:t>
      </w:r>
      <w:r>
        <w:t xml:space="preserve">	</w:t>
      </w:r>
      <w:r>
        <w:t xml:space="preserve">Preston RA, Materson BJ, Reda DJ, et al.</w:t>
      </w:r>
      <w:r>
        <w:t xml:space="preserve"> Age-race subgroup compared with renin profile as predictors of blood pressure response to antihypertensive therapy.</w:t>
      </w:r>
      <w:r>
        <w:t xml:space="preserve"> </w:t>
      </w:r>
      <w:r>
        <w:rPr>
          <w:i/>
          <w:iCs/>
        </w:rPr>
        <w:t xml:space="preserve">Jama</w:t>
      </w:r>
      <w:r>
        <w:t xml:space="preserve">. 1998;280(13):1168-1172.</w:t>
      </w:r>
    </w:p>
    <w:bookmarkEnd w:id="233"/>
    <w:bookmarkStart w:id="234" w:name="ref-gupta2010ethnic"/>
    <w:p>
      <w:pPr>
        <w:pStyle w:val="Bibliography"/>
      </w:pPr>
      <w:r>
        <w:t xml:space="preserve">38.</w:t>
      </w:r>
      <w:r>
        <w:t xml:space="preserve"> </w:t>
      </w:r>
      <w:r>
        <w:t xml:space="preserve">	</w:t>
      </w:r>
      <w:r>
        <w:t xml:space="preserve">Gupta AK, Poulter NR, Dobson J, et al. Ethnic differences in blood pressure response to first and second-line antihypertensive therapies in patients randomized in the ASCOT trial.</w:t>
      </w:r>
      <w:r>
        <w:t xml:space="preserve"> </w:t>
      </w:r>
      <w:r>
        <w:rPr>
          <w:i/>
          <w:iCs/>
        </w:rPr>
        <w:t xml:space="preserve">American journal of hypertension</w:t>
      </w:r>
      <w:r>
        <w:t xml:space="preserve">. 2010;23(9):1023-1030.</w:t>
      </w:r>
    </w:p>
    <w:bookmarkEnd w:id="234"/>
    <w:bookmarkStart w:id="235" w:name="ref-gupta2010racial"/>
    <w:p>
      <w:pPr>
        <w:pStyle w:val="Bibliography"/>
      </w:pPr>
      <w:r>
        <w:t xml:space="preserve">39.</w:t>
      </w:r>
      <w:r>
        <w:t xml:space="preserve"> </w:t>
      </w:r>
      <w:r>
        <w:t xml:space="preserve">	</w:t>
      </w:r>
      <w:r>
        <w:t xml:space="preserve">Gupta AK. Racial differences in response to antihypertensive therapy: Does one size fits all?</w:t>
      </w:r>
      <w:r>
        <w:t xml:space="preserve"> </w:t>
      </w:r>
      <w:r>
        <w:rPr>
          <w:i/>
          <w:iCs/>
        </w:rPr>
        <w:t xml:space="preserve">International journal of preventive medicine</w:t>
      </w:r>
      <w:r>
        <w:t xml:space="preserve">. 2010;1(4):217.</w:t>
      </w:r>
    </w:p>
    <w:bookmarkEnd w:id="235"/>
    <w:bookmarkStart w:id="236" w:name="ref-goleva2024racial"/>
    <w:p>
      <w:pPr>
        <w:pStyle w:val="Bibliography"/>
      </w:pPr>
      <w:r>
        <w:t xml:space="preserve">40.</w:t>
      </w:r>
      <w:r>
        <w:t xml:space="preserve"> </w:t>
      </w:r>
      <w:r>
        <w:t xml:space="preserve">	</w:t>
      </w:r>
      <w:r>
        <w:t xml:space="preserve">Goleva SB, Williams A, Schlueter DJ, et al. Racial and ethnic disparities in antihypertensive medication prescribing patterns and effectiveness.</w:t>
      </w:r>
      <w:r>
        <w:t xml:space="preserve"> </w:t>
      </w:r>
      <w:r>
        <w:rPr>
          <w:i/>
          <w:iCs/>
        </w:rPr>
        <w:t xml:space="preserve">Clinical Pharmacology &amp; Therapeutics</w:t>
      </w:r>
      <w:r>
        <w:t xml:space="preserve">. 2024;116(6):1544-1553.</w:t>
      </w:r>
    </w:p>
    <w:bookmarkEnd w:id="236"/>
    <w:bookmarkStart w:id="237" w:name="ref-sehgal2004overlap"/>
    <w:p>
      <w:pPr>
        <w:pStyle w:val="Bibliography"/>
      </w:pPr>
      <w:r>
        <w:t xml:space="preserve">41.</w:t>
      </w:r>
      <w:r>
        <w:t xml:space="preserve"> </w:t>
      </w:r>
      <w:r>
        <w:t xml:space="preserve">	</w:t>
      </w:r>
      <w:r>
        <w:t xml:space="preserve">Sehgal AR. Overlap between whites and blacks in response to antihypertensive drugs.</w:t>
      </w:r>
      <w:r>
        <w:t xml:space="preserve"> </w:t>
      </w:r>
      <w:r>
        <w:rPr>
          <w:i/>
          <w:iCs/>
        </w:rPr>
        <w:t xml:space="preserve">Hypertension</w:t>
      </w:r>
      <w:r>
        <w:t xml:space="preserve">. 2004;43(3):566-572.</w:t>
      </w:r>
    </w:p>
    <w:bookmarkEnd w:id="237"/>
    <w:bookmarkStart w:id="238" w:name="ref-hertz2005racial"/>
    <w:p>
      <w:pPr>
        <w:pStyle w:val="Bibliography"/>
      </w:pPr>
      <w:r>
        <w:t xml:space="preserve">42.</w:t>
      </w:r>
      <w:r>
        <w:t xml:space="preserve"> </w:t>
      </w:r>
      <w:r>
        <w:t xml:space="preserve">	</w:t>
      </w:r>
      <w:r>
        <w:t xml:space="preserve">Hertz RP, Unger AN, Cornell JA, Saunders E. Racial disparities in hypertension prevalence, awareness, and management.</w:t>
      </w:r>
      <w:r>
        <w:t xml:space="preserve"> </w:t>
      </w:r>
      <w:r>
        <w:rPr>
          <w:i/>
          <w:iCs/>
        </w:rPr>
        <w:t xml:space="preserve">Archives of internal medicine</w:t>
      </w:r>
      <w:r>
        <w:t xml:space="preserve">. 2005;165(18):2098-2104.</w:t>
      </w:r>
    </w:p>
    <w:bookmarkEnd w:id="238"/>
    <w:bookmarkStart w:id="239" w:name="ref-abrahamowicz2023racial"/>
    <w:p>
      <w:pPr>
        <w:pStyle w:val="Bibliography"/>
      </w:pPr>
      <w:r>
        <w:t xml:space="preserve">43.</w:t>
      </w:r>
      <w:r>
        <w:t xml:space="preserve"> </w:t>
      </w:r>
      <w:r>
        <w:t xml:space="preserve">	</w:t>
      </w:r>
      <w:r>
        <w:t xml:space="preserve">Abrahamowicz AA, Ebinger J, Whelton SP, Commodore-Mensah Y, Yang E. Racial and ethnic disparities in hypertension: Barriers and opportunities to improve blood pressure control.</w:t>
      </w:r>
      <w:r>
        <w:t xml:space="preserve"> </w:t>
      </w:r>
      <w:r>
        <w:rPr>
          <w:i/>
          <w:iCs/>
        </w:rPr>
        <w:t xml:space="preserve">Current Cardiology Reports</w:t>
      </w:r>
      <w:r>
        <w:t xml:space="preserve">. 2023;25(1):17-27.</w:t>
      </w:r>
    </w:p>
    <w:bookmarkEnd w:id="239"/>
    <w:bookmarkStart w:id="240" w:name="ref-cusick2024algorithmic"/>
    <w:p>
      <w:pPr>
        <w:pStyle w:val="Bibliography"/>
      </w:pPr>
      <w:r>
        <w:t xml:space="preserve">44.</w:t>
      </w:r>
      <w:r>
        <w:t xml:space="preserve"> </w:t>
      </w:r>
      <w:r>
        <w:t xml:space="preserve">	</w:t>
      </w:r>
      <w:r>
        <w:t xml:space="preserve">Cusick MM, Chertow GM, Owens DK, Williams MY, Rose S. Algorithmic changes are not enough: Evaluating the removal of race adjustment from the eGFR equation.</w:t>
      </w:r>
      <w:r>
        <w:t xml:space="preserve"> </w:t>
      </w:r>
      <w:r>
        <w:rPr>
          <w:i/>
          <w:iCs/>
        </w:rPr>
        <w:t xml:space="preserve">Proceedings of the fifth Conference on Health, Inference, and Learning</w:t>
      </w:r>
      <w:r>
        <w:t xml:space="preserve">. Published online 2024:619-643.</w:t>
      </w:r>
    </w:p>
    <w:bookmarkEnd w:id="240"/>
    <w:bookmarkStart w:id="241" w:name="ref-zink2024race"/>
    <w:p>
      <w:pPr>
        <w:pStyle w:val="Bibliography"/>
      </w:pPr>
      <w:r>
        <w:t xml:space="preserve">45.</w:t>
      </w:r>
      <w:r>
        <w:t xml:space="preserve"> </w:t>
      </w:r>
      <w:r>
        <w:t xml:space="preserve">	</w:t>
      </w:r>
      <w:r>
        <w:t xml:space="preserve">Zink A, Obermeyer Z, Pierson E. Race adjustments in clinical algorithms can help correct for racial disparities in data quality.</w:t>
      </w:r>
      <w:r>
        <w:t xml:space="preserve"> </w:t>
      </w:r>
      <w:r>
        <w:rPr>
          <w:i/>
          <w:iCs/>
        </w:rPr>
        <w:t xml:space="preserve">Proceedings of the National Academy of Sciences</w:t>
      </w:r>
      <w:r>
        <w:t xml:space="preserve">. 2024;121(34):e2402267121.</w:t>
      </w:r>
    </w:p>
    <w:bookmarkEnd w:id="241"/>
    <w:bookmarkStart w:id="242" w:name="ref-bonner2023clinical"/>
    <w:p>
      <w:pPr>
        <w:pStyle w:val="Bibliography"/>
      </w:pPr>
      <w:r>
        <w:t xml:space="preserve">46.</w:t>
      </w:r>
      <w:r>
        <w:t xml:space="preserve"> </w:t>
      </w:r>
      <w:r>
        <w:t xml:space="preserve">	</w:t>
      </w:r>
      <w:r>
        <w:t xml:space="preserve">Bonner SN, Lagisetty K, Reddy RM, Engeda Y, Griggs JJ, Valley TS. Clinical implications of removing race-corrected pulmonary function tests for african american patients requiring surgery for lung cancer.</w:t>
      </w:r>
      <w:r>
        <w:t xml:space="preserve"> </w:t>
      </w:r>
      <w:r>
        <w:rPr>
          <w:i/>
          <w:iCs/>
        </w:rPr>
        <w:t xml:space="preserve">JAMA surgery</w:t>
      </w:r>
      <w:r>
        <w:t xml:space="preserve">. 2023;158(10):1061-1068.</w:t>
      </w:r>
    </w:p>
    <w:bookmarkEnd w:id="242"/>
    <w:bookmarkStart w:id="243" w:name="ref-gilliam2022use"/>
    <w:p>
      <w:pPr>
        <w:pStyle w:val="Bibliography"/>
      </w:pPr>
      <w:r>
        <w:t xml:space="preserve">47.</w:t>
      </w:r>
      <w:r>
        <w:t xml:space="preserve"> </w:t>
      </w:r>
      <w:r>
        <w:t xml:space="preserve">	</w:t>
      </w:r>
      <w:r>
        <w:t xml:space="preserve">Gilliam CA, Lindo EG, Cannon S, Kennedy L, Jewell TE, Tieder JS. Use of race in pediatric clinical practice guidelines: A systematic review.</w:t>
      </w:r>
      <w:r>
        <w:t xml:space="preserve"> </w:t>
      </w:r>
      <w:r>
        <w:rPr>
          <w:i/>
          <w:iCs/>
        </w:rPr>
        <w:t xml:space="preserve">JAMA pediatrics</w:t>
      </w:r>
      <w:r>
        <w:t xml:space="preserve">. 2022;176(8):804-810.</w:t>
      </w:r>
    </w:p>
    <w:bookmarkEnd w:id="243"/>
    <w:bookmarkStart w:id="244" w:name="ref-american2020joint"/>
    <w:p>
      <w:pPr>
        <w:pStyle w:val="Bibliography"/>
      </w:pPr>
      <w:r>
        <w:t xml:space="preserve">48.</w:t>
      </w:r>
      <w:r>
        <w:t xml:space="preserve"> </w:t>
      </w:r>
      <w:r>
        <w:t xml:space="preserve">	</w:t>
      </w:r>
      <w:r>
        <w:t xml:space="preserve">Obstetricians AC of, Gynecologists, et al.</w:t>
      </w:r>
      <w:r>
        <w:t xml:space="preserve"> Joint statement: Collective action addressing racism. Published online 2020.</w:t>
      </w:r>
    </w:p>
    <w:bookmarkEnd w:id="244"/>
    <w:bookmarkStart w:id="245" w:name="ref-davidson2021actions"/>
    <w:p>
      <w:pPr>
        <w:pStyle w:val="Bibliography"/>
      </w:pPr>
      <w:r>
        <w:t xml:space="preserve">49.</w:t>
      </w:r>
      <w:r>
        <w:t xml:space="preserve"> </w:t>
      </w:r>
      <w:r>
        <w:t xml:space="preserve">	</w:t>
      </w:r>
      <w:r>
        <w:t xml:space="preserve">Davidson KW, Mangione CM, Barry MJ, et al.</w:t>
      </w:r>
      <w:r>
        <w:t xml:space="preserve"> Actions to transform US preventive services task force methods to mitigate systemic racism in clinical preventive services.</w:t>
      </w:r>
      <w:r>
        <w:t xml:space="preserve"> </w:t>
      </w:r>
      <w:r>
        <w:rPr>
          <w:i/>
          <w:iCs/>
        </w:rPr>
        <w:t xml:space="preserve">Jama</w:t>
      </w:r>
      <w:r>
        <w:t xml:space="preserve">. 2021;326(23):2405-2411.</w:t>
      </w:r>
    </w:p>
    <w:bookmarkEnd w:id="245"/>
    <w:bookmarkStart w:id="246" w:name="ref-ruggenenti1999renoprotective"/>
    <w:p>
      <w:pPr>
        <w:pStyle w:val="Bibliography"/>
      </w:pPr>
      <w:r>
        <w:t xml:space="preserve">50.</w:t>
      </w:r>
      <w:r>
        <w:t xml:space="preserve"> </w:t>
      </w:r>
      <w:r>
        <w:t xml:space="preserve">	</w:t>
      </w:r>
      <w:r>
        <w:t xml:space="preserve">Ruggenenti P, Perna A, Gherardi G, et al. Renoprotective properties of ACE-inhibition in non-diabetic nephropathies with non-nephrotic proteinuria.</w:t>
      </w:r>
      <w:r>
        <w:t xml:space="preserve"> </w:t>
      </w:r>
      <w:r>
        <w:rPr>
          <w:i/>
          <w:iCs/>
        </w:rPr>
        <w:t xml:space="preserve">The Lancet</w:t>
      </w:r>
      <w:r>
        <w:t xml:space="preserve">. 1999;354(9176):359-364.</w:t>
      </w:r>
    </w:p>
    <w:bookmarkEnd w:id="246"/>
    <w:bookmarkStart w:id="247" w:name="ref-brenner2001effects"/>
    <w:p>
      <w:pPr>
        <w:pStyle w:val="Bibliography"/>
      </w:pPr>
      <w:r>
        <w:t xml:space="preserve">51.</w:t>
      </w:r>
      <w:r>
        <w:t xml:space="preserve"> </w:t>
      </w:r>
      <w:r>
        <w:t xml:space="preserve">	</w:t>
      </w:r>
      <w:r>
        <w:t xml:space="preserve">Brenner BM, Cooper ME, De Zeeuw D, et al. Effects of losartan on renal and cardiovascular outcomes in patients with type 2 diabetes and nephropathy.</w:t>
      </w:r>
      <w:r>
        <w:t xml:space="preserve"> </w:t>
      </w:r>
      <w:r>
        <w:rPr>
          <w:i/>
          <w:iCs/>
        </w:rPr>
        <w:t xml:space="preserve">New England journal of medicine</w:t>
      </w:r>
      <w:r>
        <w:t xml:space="preserve">. 2001;345(12):861-869.</w:t>
      </w:r>
    </w:p>
    <w:bookmarkEnd w:id="247"/>
    <w:bookmarkStart w:id="248" w:name="ref-brush2024hypertension"/>
    <w:p>
      <w:pPr>
        <w:pStyle w:val="Bibliography"/>
      </w:pPr>
      <w:r>
        <w:t xml:space="preserve">52.</w:t>
      </w:r>
      <w:r>
        <w:t xml:space="preserve"> </w:t>
      </w:r>
      <w:r>
        <w:t xml:space="preserve">	</w:t>
      </w:r>
      <w:r>
        <w:t xml:space="preserve">Brush Jr JE, Lu Y, Liu Y, et al.</w:t>
      </w:r>
      <w:r>
        <w:t xml:space="preserve"> Hypertension trends and disparities over 12 years in a large health system: Leveraging the electronic health records.</w:t>
      </w:r>
      <w:r>
        <w:t xml:space="preserve"> </w:t>
      </w:r>
      <w:r>
        <w:rPr>
          <w:i/>
          <w:iCs/>
        </w:rPr>
        <w:t xml:space="preserve">Journal of the American Heart Association</w:t>
      </w:r>
      <w:r>
        <w:t xml:space="preserve">. 2024;13(9):e033253.</w:t>
      </w:r>
    </w:p>
    <w:bookmarkEnd w:id="248"/>
    <w:bookmarkStart w:id="249" w:name="ref-koenker1999goodness"/>
    <w:p>
      <w:pPr>
        <w:pStyle w:val="Bibliography"/>
      </w:pPr>
      <w:r>
        <w:t xml:space="preserve">53.</w:t>
      </w:r>
      <w:r>
        <w:t xml:space="preserve"> </w:t>
      </w:r>
      <w:r>
        <w:t xml:space="preserve">	</w:t>
      </w:r>
      <w:r>
        <w:t xml:space="preserve">Koenker R, Machado JA. Goodness of fit and related inference processes for quantile regression.</w:t>
      </w:r>
      <w:r>
        <w:t xml:space="preserve"> </w:t>
      </w:r>
      <w:r>
        <w:rPr>
          <w:i/>
          <w:iCs/>
        </w:rPr>
        <w:t xml:space="preserve">Journal of the american statistical association</w:t>
      </w:r>
      <w:r>
        <w:t xml:space="preserve">. 1999;94(448):1296-1310.</w:t>
      </w:r>
    </w:p>
    <w:bookmarkEnd w:id="249"/>
    <w:bookmarkStart w:id="250" w:name="ref-vasan2002residual"/>
    <w:p>
      <w:pPr>
        <w:pStyle w:val="Bibliography"/>
      </w:pPr>
      <w:r>
        <w:t xml:space="preserve">54.</w:t>
      </w:r>
      <w:r>
        <w:t xml:space="preserve"> </w:t>
      </w:r>
      <w:r>
        <w:t xml:space="preserve">	</w:t>
      </w:r>
      <w:r>
        <w:t xml:space="preserve">Vasan RS, Beiser A, Seshadri S, et al. Residual lifetime risk for developing hypertension in middle-aged women and men: The framingham heart study.</w:t>
      </w:r>
      <w:r>
        <w:t xml:space="preserve"> </w:t>
      </w:r>
      <w:r>
        <w:rPr>
          <w:i/>
          <w:iCs/>
        </w:rPr>
        <w:t xml:space="preserve">Jama</w:t>
      </w:r>
      <w:r>
        <w:t xml:space="preserve">. 2002;287(8):1003-1010.</w:t>
      </w:r>
    </w:p>
    <w:bookmarkEnd w:id="250"/>
    <w:bookmarkStart w:id="251" w:name="ref-chen2019lifetime"/>
    <w:p>
      <w:pPr>
        <w:pStyle w:val="Bibliography"/>
      </w:pPr>
      <w:r>
        <w:t xml:space="preserve">55.</w:t>
      </w:r>
      <w:r>
        <w:t xml:space="preserve"> </w:t>
      </w:r>
      <w:r>
        <w:t xml:space="preserve">	</w:t>
      </w:r>
      <w:r>
        <w:t xml:space="preserve">Chen V, Ning H, Allen N, et al. Lifetime risks for hypertension by contemporary guidelines in african american and white men and women.</w:t>
      </w:r>
      <w:r>
        <w:t xml:space="preserve"> </w:t>
      </w:r>
      <w:r>
        <w:rPr>
          <w:i/>
          <w:iCs/>
        </w:rPr>
        <w:t xml:space="preserve">JAMA cardiology</w:t>
      </w:r>
      <w:r>
        <w:t xml:space="preserve">. 2019;4(5):455-459.</w:t>
      </w:r>
    </w:p>
    <w:bookmarkEnd w:id="251"/>
    <w:bookmarkStart w:id="253" w:name="ref-hill2024health"/>
    <w:p>
      <w:pPr>
        <w:pStyle w:val="Bibliography"/>
      </w:pPr>
      <w:r>
        <w:t xml:space="preserve">56.</w:t>
      </w:r>
      <w:r>
        <w:t xml:space="preserve"> </w:t>
      </w:r>
      <w:r>
        <w:t xml:space="preserve">	</w:t>
      </w:r>
      <w:r>
        <w:t xml:space="preserve">Hill L, Artiga S, Damico A. Health coverage by race and ethnicity, 2010-2022. Published online 2024.</w:t>
      </w:r>
      <w:r>
        <w:t xml:space="preserve"> </w:t>
      </w:r>
      <w:hyperlink r:id="rId252">
        <w:r>
          <w:rPr>
            <w:rStyle w:val="Hyperlink"/>
          </w:rPr>
          <w:t xml:space="preserve">https://www.kff.org/racial-equity-and-health-policy/issue-brief/health-coverage-by-race-and-ethnicity/</w:t>
        </w:r>
      </w:hyperlink>
    </w:p>
    <w:bookmarkEnd w:id="253"/>
    <w:bookmarkEnd w:id="254"/>
    <w:bookmarkEnd w:id="255"/>
    <w:bookmarkEnd w:id="2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25" Target="media/rId125.png" /><Relationship Type="http://schemas.openxmlformats.org/officeDocument/2006/relationships/image" Id="rId166" Target="media/rId166.png" /><Relationship Type="http://schemas.openxmlformats.org/officeDocument/2006/relationships/image" Id="rId144" Target="media/rId144.png" /><Relationship Type="http://schemas.openxmlformats.org/officeDocument/2006/relationships/image" Id="rId175" Target="media/rId175.png" /><Relationship Type="http://schemas.openxmlformats.org/officeDocument/2006/relationships/image" Id="rId185" Target="media/rId185.png" /><Relationship Type="http://schemas.openxmlformats.org/officeDocument/2006/relationships/image" Id="rId170" Target="media/rId170.png" /><Relationship Type="http://schemas.openxmlformats.org/officeDocument/2006/relationships/image" Id="rId180" Target="media/rId180.png" /><Relationship Type="http://schemas.openxmlformats.org/officeDocument/2006/relationships/image" Id="rId94" Target="media/rId94.png" /><Relationship Type="http://schemas.openxmlformats.org/officeDocument/2006/relationships/image" Id="rId90" Target="media/rId90.png" /><Relationship Type="http://schemas.openxmlformats.org/officeDocument/2006/relationships/image" Id="rId120" Target="media/rId120.png" /><Relationship Type="http://schemas.openxmlformats.org/officeDocument/2006/relationships/image" Id="rId29" Target="media/rId29.png" /><Relationship Type="http://schemas.openxmlformats.org/officeDocument/2006/relationships/image" Id="rId44" Target="media/rId44.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136" Target="media/rId136.png" /><Relationship Type="http://schemas.openxmlformats.org/officeDocument/2006/relationships/image" Id="rId131" Target="media/rId131.png" /><Relationship Type="http://schemas.openxmlformats.org/officeDocument/2006/relationships/image" Id="rId84" Target="media/rId84.png" /><Relationship Type="http://schemas.openxmlformats.org/officeDocument/2006/relationships/image" Id="rId79" Target="media/rId79.png" /><Relationship Type="http://schemas.openxmlformats.org/officeDocument/2006/relationships/image" Id="rId154" Target="media/rId154.png" /><Relationship Type="http://schemas.openxmlformats.org/officeDocument/2006/relationships/image" Id="rId149" Target="media/rId149.png" /><Relationship Type="http://schemas.openxmlformats.org/officeDocument/2006/relationships/image" Id="rId106" Target="media/rId106.png" /><Relationship Type="http://schemas.openxmlformats.org/officeDocument/2006/relationships/image" Id="rId101" Target="media/rId101.png" /><Relationship Type="http://schemas.openxmlformats.org/officeDocument/2006/relationships/image" Id="rId111" Target="media/rId111.png" /><Relationship Type="http://schemas.openxmlformats.org/officeDocument/2006/relationships/image" Id="rId116" Target="media/rId116.png" /><Relationship Type="http://schemas.openxmlformats.org/officeDocument/2006/relationships/hyperlink" Id="rId229" Target=" https://www.kff.org/health-policy-101-the-uninsured-population-and-health-coverage/" TargetMode="External" /><Relationship Type="http://schemas.openxmlformats.org/officeDocument/2006/relationships/hyperlink" Id="rId217" Target="https://doi.org/10.57761/6nty-x112" TargetMode="External" /><Relationship Type="http://schemas.openxmlformats.org/officeDocument/2006/relationships/hyperlink" Id="rId65" Target="https://github.com/StanfordHPDS/hypertension-guideline-microsim" TargetMode="External" /><Relationship Type="http://schemas.openxmlformats.org/officeDocument/2006/relationships/hyperlink" Id="rId196" Target="https://millionhearts.hhs.gov/data-reports/hypertension-prevalence.html" TargetMode="External" /><Relationship Type="http://schemas.openxmlformats.org/officeDocument/2006/relationships/hyperlink" Id="rId252" Target="https://www.kff.org/racial-equity-and-health-policy/issue-brief/health-coverage-by-race-and-ethnicity/" TargetMode="External" /><Relationship Type="http://schemas.openxmlformats.org/officeDocument/2006/relationships/hyperlink" Id="rId220" Target="https://www.nhlbi.nih.gov/health/high-blood-pressure" TargetMode="External" /></Relationships>
</file>

<file path=word/_rels/footnotes.xml.rels><?xml version="1.0" encoding="UTF-8"?><Relationships xmlns="http://schemas.openxmlformats.org/package/2006/relationships"><Relationship Type="http://schemas.openxmlformats.org/officeDocument/2006/relationships/hyperlink" Id="rId229" Target=" https://www.kff.org/health-policy-101-the-uninsured-population-and-health-coverage/" TargetMode="External" /><Relationship Type="http://schemas.openxmlformats.org/officeDocument/2006/relationships/hyperlink" Id="rId217" Target="https://doi.org/10.57761/6nty-x112" TargetMode="External" /><Relationship Type="http://schemas.openxmlformats.org/officeDocument/2006/relationships/hyperlink" Id="rId65" Target="https://github.com/StanfordHPDS/hypertension-guideline-microsim" TargetMode="External" /><Relationship Type="http://schemas.openxmlformats.org/officeDocument/2006/relationships/hyperlink" Id="rId196" Target="https://millionhearts.hhs.gov/data-reports/hypertension-prevalence.html" TargetMode="External" /><Relationship Type="http://schemas.openxmlformats.org/officeDocument/2006/relationships/hyperlink" Id="rId252" Target="https://www.kff.org/racial-equity-and-health-policy/issue-brief/health-coverage-by-race-and-ethnicity/" TargetMode="External" /><Relationship Type="http://schemas.openxmlformats.org/officeDocument/2006/relationships/hyperlink" Id="rId220" Target="https://www.nhlbi.nih.gov/health/high-blood-pressu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Hypertension disease natural history and healthcare utilization when treatment guidelines do not account for race</dc:title>
  <dc:creator>Marika M. Cusick; Malcolm Barrett; Fernando Alarid-Escudero; Jeremy D. Goldhaber-Fiebert; Sherri Rose</dc:creator>
  <cp:keywords/>
  <dcterms:created xsi:type="dcterms:W3CDTF">2026-10-22T23:05:01Z</dcterms:created>
  <dcterms:modified xsi:type="dcterms:W3CDTF">2026-10-22T23:05:01Z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american-medical-association.csl</vt:lpwstr>
  </property>
  <property fmtid="{D5CDD505-2E9C-101B-9397-08002B2CF9AE}" pid="10" name="date">
    <vt:lpwstr>2026-10-22</vt:lpwstr>
  </property>
  <property fmtid="{D5CDD505-2E9C-101B-9397-08002B2CF9AE}" pid="11" name="engines">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