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Effects of Urban Green Spaces on Mental Health Outcomes: A Cross-Sectional Study</w:t>
      </w:r>
    </w:p>
    <w:p>
      <w:pPr>
        <w:pStyle w:val="Author"/>
      </w:pPr>
      <w:r>
        <w:t xml:space="preserve">Jane Smith</w:t>
      </w:r>
    </w:p>
    <w:p>
      <w:pPr>
        <w:pStyle w:val="Author"/>
      </w:pPr>
      <w:r>
        <w:t xml:space="preserve">John Doe</w:t>
      </w:r>
    </w:p>
    <w:p>
      <w:pPr>
        <w:pStyle w:val="Author"/>
      </w:pPr>
      <w:r>
        <w:t xml:space="preserve">Maria Garcia</w:t>
      </w:r>
    </w:p>
    <w:p>
      <w:pPr>
        <w:pStyle w:val="Date"/>
      </w:pPr>
      <w:r>
        <w:t xml:space="preserve">2025-06-15</w:t>
      </w:r>
    </w:p>
    <w:p>
      <w:pPr>
        <w:pStyle w:val="AbstractTitle"/>
      </w:pPr>
      <w:r>
        <w:t xml:space="preserve">Abstract</w:t>
      </w:r>
    </w:p>
    <w:p>
      <w:pPr>
        <w:pStyle w:val="Abstract"/>
      </w:pPr>
      <w:r>
        <w:t xml:space="preserve">Urban green spaces have been suggested to improve mental health,</w:t>
      </w:r>
      <w:r>
        <w:t xml:space="preserve"> </w:t>
      </w:r>
      <w:r>
        <w:t xml:space="preserve">but evidence from diverse urban populations remains limited. This</w:t>
      </w:r>
      <w:r>
        <w:t xml:space="preserve"> </w:t>
      </w:r>
      <w:r>
        <w:t xml:space="preserve">study examined the relationship between proximity to green spaces</w:t>
      </w:r>
      <w:r>
        <w:t xml:space="preserve"> </w:t>
      </w:r>
      <w:r>
        <w:t xml:space="preserve">and self-reported mental health outcomes in a stratified sample of</w:t>
      </w:r>
      <w:r>
        <w:t xml:space="preserve"> </w:t>
      </w:r>
      <w:r>
        <w:t xml:space="preserve">1,200 urban residents across three European cities. Results indicate</w:t>
      </w:r>
      <w:r>
        <w:t xml:space="preserve"> </w:t>
      </w:r>
      <w:r>
        <w:t xml:space="preserve">a significant positive association between green space access and</w:t>
      </w:r>
      <w:r>
        <w:t xml:space="preserve"> </w:t>
      </w:r>
      <w:r>
        <w:t xml:space="preserve">mental well-being, with effect sizes varying by age group and</w:t>
      </w:r>
      <w:r>
        <w:t xml:space="preserve"> </w:t>
      </w:r>
      <w:r>
        <w:t xml:space="preserve">socioeconomic status.</w:t>
      </w:r>
    </w:p>
    <w:bookmarkStart w:id="20" w:name="introduction"/>
    <w:p>
      <w:pPr>
        <w:pStyle w:val="Heading2"/>
      </w:pPr>
      <w:r>
        <w:t xml:space="preserve">Introduction</w:t>
      </w:r>
    </w:p>
    <w:p>
      <w:pPr>
        <w:pStyle w:val="FirstParagraph"/>
      </w:pPr>
      <w:r>
        <w:t xml:space="preserve">Mental health disorders represent a growing public health concern in</w:t>
      </w:r>
      <w:r>
        <w:t xml:space="preserve"> </w:t>
      </w:r>
      <w:r>
        <w:t xml:space="preserve">urban environments worldwide. As urbanization continues to accelerate,</w:t>
      </w:r>
      <w:r>
        <w:t xml:space="preserve"> </w:t>
      </w:r>
      <w:r>
        <w:t xml:space="preserve">understanding the environmental determinants of mental health becomes</w:t>
      </w:r>
      <w:r>
        <w:t xml:space="preserve"> </w:t>
      </w:r>
      <w:r>
        <w:t xml:space="preserve">increasingly important.</w:t>
      </w:r>
      <w:r>
        <w:rPr>
          <w:u w:val="single"/>
        </w:rPr>
        <w:t xml:space="preserve">The World Health Organization estimates that over 55% of the global population now lives in urban areas, a figure projected to reach 68% by 2050.</w:t>
      </w:r>
    </w:p>
    <w:p>
      <w:pPr>
        <w:pStyle w:val="BodyText"/>
      </w:pPr>
      <w:r>
        <w:t xml:space="preserve">Previous research has suggested that exposure to natural environments</w:t>
      </w:r>
      <w:r>
        <w:t xml:space="preserve"> </w:t>
      </w:r>
      <w:r>
        <w:t xml:space="preserve">may have beneficial effects on psychological well-being. However, the</w:t>
      </w:r>
      <w:r>
        <w:t xml:space="preserve"> </w:t>
      </w:r>
      <w:r>
        <w:t xml:space="preserve">majority of studies have relied on cross-sectional</w:t>
      </w:r>
      <w:r>
        <w:t xml:space="preserve"> </w:t>
      </w:r>
      <w:r>
        <w:rPr>
          <w:strike/>
        </w:rPr>
        <w:t xml:space="preserve">designs, limiting</w:t>
      </w:r>
      <w:r>
        <w:rPr>
          <w:u w:val="single"/>
        </w:rPr>
        <w:t xml:space="preserve">designs with limited sample sizes, restricting both</w:t>
      </w:r>
      <w:r>
        <w:t xml:space="preserve"> </w:t>
      </w:r>
      <w:r>
        <w:t xml:space="preserve">causal</w:t>
      </w:r>
      <w:r>
        <w:t xml:space="preserve"> </w:t>
      </w:r>
      <w:r>
        <w:rPr>
          <w:strike/>
        </w:rPr>
        <w:t xml:space="preserve">inference.</w:t>
      </w:r>
      <w:r>
        <w:rPr>
          <w:u w:val="single"/>
        </w:rPr>
        <w:t xml:space="preserve">inference and generalizability. A recent meta-analysis by Chen et al. (2024) identified significant heterogeneity in effect sizes across studies, underscoring the need for larger, multi-site investigations.</w:t>
      </w:r>
    </w:p>
    <w:p>
      <w:pPr>
        <w:pStyle w:val="BodyText"/>
      </w:pPr>
      <w:r>
        <w:t xml:space="preserve">In this study, we aimed to examine the association between residential</w:t>
      </w:r>
      <w:r>
        <w:t xml:space="preserve"> </w:t>
      </w:r>
      <w:r>
        <w:t xml:space="preserve">proximity to urban green spaces and mental health outcomes in a</w:t>
      </w:r>
      <w:r>
        <w:t xml:space="preserve"> </w:t>
      </w:r>
      <w:r>
        <w:rPr>
          <w:strike/>
        </w:rPr>
        <w:t xml:space="preserve">diverse</w:t>
      </w:r>
      <w:r>
        <w:rPr>
          <w:u w:val="single"/>
        </w:rPr>
        <w:t xml:space="preserve">diverse, multi-city</w:t>
      </w:r>
      <w:r>
        <w:t xml:space="preserve"> </w:t>
      </w:r>
      <w:r>
        <w:t xml:space="preserve">sample of urban</w:t>
      </w:r>
      <w:r>
        <w:t xml:space="preserve"> </w:t>
      </w:r>
      <w:r>
        <w:rPr>
          <w:strike/>
        </w:rPr>
        <w:t xml:space="preserve">residents.</w:t>
      </w:r>
      <w:r>
        <w:rPr>
          <w:u w:val="single"/>
        </w:rPr>
        <w:t xml:space="preserve">residents, while also exploring potential effect modification by sociodemographic factors.</w:t>
      </w:r>
    </w:p>
    <w:bookmarkEnd w:id="20"/>
    <w:bookmarkStart w:id="24" w:name="methods"/>
    <w:p>
      <w:pPr>
        <w:pStyle w:val="Heading2"/>
      </w:pPr>
      <w:r>
        <w:t xml:space="preserve">Methods</w:t>
      </w:r>
    </w:p>
    <w:bookmarkStart w:id="21" w:name="study-design-and-participants"/>
    <w:p>
      <w:pPr>
        <w:pStyle w:val="Heading3"/>
      </w:pPr>
      <w:r>
        <w:t xml:space="preserve">Study Design and Participants</w:t>
      </w:r>
    </w:p>
    <w:p>
      <w:pPr>
        <w:pStyle w:val="FirstParagraph"/>
      </w:pPr>
      <w:r>
        <w:t xml:space="preserve">We conducted a cross-sectional survey of</w:t>
      </w:r>
      <w:r>
        <w:t xml:space="preserve"> </w:t>
      </w:r>
      <w:r>
        <w:rPr>
          <w:strike/>
        </w:rPr>
        <w:t xml:space="preserve">500</w:t>
      </w:r>
      <w:r>
        <w:rPr>
          <w:u w:val="single"/>
        </w:rPr>
        <w:t xml:space="preserve">1,200</w:t>
      </w:r>
      <w:r>
        <w:t xml:space="preserve"> </w:t>
      </w:r>
      <w:r>
        <w:t xml:space="preserve">adults</w:t>
      </w:r>
      <w:r>
        <w:t xml:space="preserve"> </w:t>
      </w:r>
      <w:r>
        <w:t xml:space="preserve">residing in</w:t>
      </w:r>
      <w:r>
        <w:t xml:space="preserve"> </w:t>
      </w:r>
      <w:r>
        <w:rPr>
          <w:strike/>
        </w:rPr>
        <w:t xml:space="preserve">a</w:t>
      </w:r>
      <w:r>
        <w:rPr>
          <w:u w:val="single"/>
        </w:rPr>
        <w:t xml:space="preserve">three</w:t>
      </w:r>
      <w:r>
        <w:t xml:space="preserve"> </w:t>
      </w:r>
      <w:r>
        <w:t xml:space="preserve">mid-sized European</w:t>
      </w:r>
      <w:r>
        <w:t xml:space="preserve"> </w:t>
      </w:r>
      <w:r>
        <w:rPr>
          <w:strike/>
        </w:rPr>
        <w:t xml:space="preserve">city</w:t>
      </w:r>
      <w:r>
        <w:rPr>
          <w:u w:val="single"/>
        </w:rPr>
        <w:t xml:space="preserve">cities (Birmingham, Lyon, and Rotterdam)</w:t>
      </w:r>
      <w:r>
        <w:t xml:space="preserve"> </w:t>
      </w:r>
      <w:r>
        <w:t xml:space="preserve">between January and June 2024.</w:t>
      </w:r>
      <w:r>
        <w:t xml:space="preserve"> </w:t>
      </w:r>
      <w:r>
        <w:t xml:space="preserve">Participants were recruited through</w:t>
      </w:r>
      <w:r>
        <w:t xml:space="preserve"> </w:t>
      </w:r>
      <w:r>
        <w:rPr>
          <w:u w:val="single"/>
        </w:rPr>
        <w:t xml:space="preserve">stratified</w:t>
      </w:r>
      <w:r>
        <w:t xml:space="preserve">random sampling of</w:t>
      </w:r>
      <w:r>
        <w:t xml:space="preserve"> </w:t>
      </w:r>
      <w:r>
        <w:t xml:space="preserve">residential</w:t>
      </w:r>
      <w:r>
        <w:t xml:space="preserve"> </w:t>
      </w:r>
      <w:r>
        <w:rPr>
          <w:strike/>
        </w:rPr>
        <w:t xml:space="preserve">addresses.</w:t>
      </w:r>
      <w:r>
        <w:rPr>
          <w:u w:val="single"/>
        </w:rPr>
        <w:t xml:space="preserve">addresses, ensuring representation across income quartiles.</w:t>
      </w:r>
      <w:r>
        <w:t xml:space="preserve"> </w:t>
      </w:r>
      <w:r>
        <w:t xml:space="preserve">Inclusion criteria were: age 18 years or older,</w:t>
      </w:r>
      <w:r>
        <w:t xml:space="preserve"> </w:t>
      </w:r>
      <w:r>
        <w:t xml:space="preserve">residence in the study area for at least 12 months, and ability to</w:t>
      </w:r>
      <w:r>
        <w:t xml:space="preserve"> </w:t>
      </w:r>
      <w:r>
        <w:t xml:space="preserve">complete the survey in</w:t>
      </w:r>
      <w:r>
        <w:t xml:space="preserve"> </w:t>
      </w:r>
      <w:r>
        <w:rPr>
          <w:u w:val="single"/>
        </w:rPr>
        <w:t xml:space="preserve">the local language or</w:t>
      </w:r>
      <w:r>
        <w:t xml:space="preserve">English.</w:t>
      </w:r>
    </w:p>
    <w:bookmarkEnd w:id="21"/>
    <w:bookmarkStart w:id="22" w:name="measures"/>
    <w:p>
      <w:pPr>
        <w:pStyle w:val="Heading3"/>
      </w:pPr>
      <w:r>
        <w:t xml:space="preserve">Measures</w:t>
      </w:r>
    </w:p>
    <w:p>
      <w:pPr>
        <w:pStyle w:val="FirstParagraph"/>
      </w:pPr>
      <w:r>
        <w:t xml:space="preserve">Mental health was assessed using the General Health Questionnaire</w:t>
      </w:r>
      <w:r>
        <w:t xml:space="preserve"> </w:t>
      </w:r>
      <w:r>
        <w:t xml:space="preserve">(GHQ-12), a widely used screening instrument for psychological</w:t>
      </w:r>
      <w:r>
        <w:t xml:space="preserve"> </w:t>
      </w:r>
      <w:r>
        <w:t xml:space="preserve">distress.</w:t>
      </w:r>
      <w:r>
        <w:rPr>
          <w:u w:val="single"/>
        </w:rPr>
        <w:t xml:space="preserve">We additionally administered the WHO-5 Well-Being Index as a secondary outcome measure.</w:t>
      </w:r>
      <w:r>
        <w:t xml:space="preserve"> </w:t>
      </w:r>
      <w:r>
        <w:t xml:space="preserve">Green space proximity was measured as</w:t>
      </w:r>
      <w:r>
        <w:t xml:space="preserve"> </w:t>
      </w:r>
      <w:r>
        <w:t xml:space="preserve">the Euclidean distance from each participant’s residence to the nearest</w:t>
      </w:r>
      <w:r>
        <w:t xml:space="preserve"> </w:t>
      </w:r>
      <w:r>
        <w:t xml:space="preserve">public green space of at least 1</w:t>
      </w:r>
      <w:r>
        <w:t xml:space="preserve"> </w:t>
      </w:r>
      <w:r>
        <w:rPr>
          <w:strike/>
        </w:rPr>
        <w:t xml:space="preserve">hectare.</w:t>
      </w:r>
      <w:r>
        <w:rPr>
          <w:u w:val="single"/>
        </w:rPr>
        <w:t xml:space="preserve">hectare, using municipal GIS databases.</w:t>
      </w:r>
    </w:p>
    <w:p>
      <w:pPr>
        <w:pStyle w:val="BodyText"/>
      </w:pPr>
      <w:r>
        <w:t xml:space="preserve">We also collected data on potential confounders including age, gender,</w:t>
      </w:r>
      <w:r>
        <w:t xml:space="preserve"> </w:t>
      </w:r>
      <w:r>
        <w:t xml:space="preserve">income, education level,</w:t>
      </w:r>
      <w:r>
        <w:t xml:space="preserve"> </w:t>
      </w:r>
      <w:r>
        <w:rPr>
          <w:u w:val="single"/>
        </w:rPr>
        <w:t xml:space="preserve">physical activity,</w:t>
      </w:r>
      <w:r>
        <w:t xml:space="preserve">and</w:t>
      </w:r>
      <w:r>
        <w:t xml:space="preserve"> </w:t>
      </w:r>
      <w:r>
        <w:rPr>
          <w:strike/>
        </w:rPr>
        <w:t xml:space="preserve">physical activity.</w:t>
      </w:r>
      <w:r>
        <w:rPr>
          <w:u w:val="single"/>
        </w:rPr>
        <w:t xml:space="preserve">neighbourhood deprivation index.</w:t>
      </w:r>
    </w:p>
    <w:bookmarkEnd w:id="22"/>
    <w:bookmarkStart w:id="23" w:name="statistical-analysis"/>
    <w:p>
      <w:pPr>
        <w:pStyle w:val="Heading3"/>
      </w:pPr>
      <w:r>
        <w:t xml:space="preserve">Statistical Analysis</w:t>
      </w:r>
    </w:p>
    <w:p>
      <w:pPr>
        <w:pStyle w:val="FirstParagraph"/>
      </w:pPr>
      <w:r>
        <w:t xml:space="preserve">We used</w:t>
      </w:r>
      <w:r>
        <w:t xml:space="preserve"> </w:t>
      </w:r>
      <w:r>
        <w:rPr>
          <w:strike/>
        </w:rPr>
        <w:t xml:space="preserve">multiple</w:t>
      </w:r>
      <w:r>
        <w:rPr>
          <w:u w:val="single"/>
        </w:rPr>
        <w:t xml:space="preserve">multilevel</w:t>
      </w:r>
      <w:r>
        <w:t xml:space="preserve"> </w:t>
      </w:r>
      <w:r>
        <w:t xml:space="preserve">linear regression</w:t>
      </w:r>
      <w:r>
        <w:rPr>
          <w:u w:val="single"/>
        </w:rPr>
        <w:t xml:space="preserve">with random intercepts for city</w:t>
      </w:r>
      <w:r>
        <w:t xml:space="preserve"> </w:t>
      </w:r>
      <w:r>
        <w:t xml:space="preserve">to examine the association between green space</w:t>
      </w:r>
      <w:r>
        <w:t xml:space="preserve"> </w:t>
      </w:r>
      <w:r>
        <w:t xml:space="preserve">proximity and GHQ-12 scores, adjusting for potential confounders.</w:t>
      </w:r>
      <w:r>
        <w:t xml:space="preserve"> </w:t>
      </w:r>
      <w:r>
        <w:rPr>
          <w:u w:val="single"/>
        </w:rPr>
        <w:t xml:space="preserve">We tested for effect modification by age group and income quartile using interaction terms. Sensitivity analyses included restricted cubic splines to assess non-linearity.</w:t>
      </w:r>
      <w:r>
        <w:t xml:space="preserve">All analyses were performed using R</w:t>
      </w:r>
      <w:r>
        <w:t xml:space="preserve"> </w:t>
      </w:r>
      <w:r>
        <w:t xml:space="preserve">version 4.</w:t>
      </w:r>
      <w:r>
        <w:rPr>
          <w:strike/>
        </w:rPr>
        <w:t xml:space="preserve">3.1.</w:t>
      </w:r>
      <w:r>
        <w:rPr>
          <w:u w:val="single"/>
        </w:rPr>
        <w:t xml:space="preserve">4.0.</w:t>
      </w:r>
    </w:p>
    <w:bookmarkEnd w:id="23"/>
    <w:bookmarkEnd w:id="24"/>
    <w:bookmarkStart w:id="25" w:name="results"/>
    <w:p>
      <w:pPr>
        <w:pStyle w:val="Heading2"/>
      </w:pPr>
      <w:r>
        <w:t xml:space="preserve">Results</w:t>
      </w:r>
    </w:p>
    <w:p>
      <w:pPr>
        <w:pStyle w:val="FirstParagraph"/>
      </w:pPr>
      <w:r>
        <w:t xml:space="preserve">Of the</w:t>
      </w:r>
      <w:r>
        <w:t xml:space="preserve"> </w:t>
      </w:r>
      <w:r>
        <w:rPr>
          <w:strike/>
        </w:rPr>
        <w:t xml:space="preserve">500</w:t>
      </w:r>
      <w:r>
        <w:rPr>
          <w:u w:val="single"/>
        </w:rPr>
        <w:t xml:space="preserve">1,200</w:t>
      </w:r>
      <w:r>
        <w:t xml:space="preserve"> </w:t>
      </w:r>
      <w:r>
        <w:t xml:space="preserve">participants,</w:t>
      </w:r>
      <w:r>
        <w:t xml:space="preserve"> </w:t>
      </w:r>
      <w:r>
        <w:rPr>
          <w:strike/>
        </w:rPr>
        <w:t xml:space="preserve">487</w:t>
      </w:r>
      <w:r>
        <w:rPr>
          <w:u w:val="single"/>
        </w:rPr>
        <w:t xml:space="preserve">1,147</w:t>
      </w:r>
      <w:r>
        <w:t xml:space="preserve"> </w:t>
      </w:r>
      <w:r>
        <w:t xml:space="preserve">provided</w:t>
      </w:r>
      <w:r>
        <w:t xml:space="preserve"> </w:t>
      </w:r>
      <w:r>
        <w:t xml:space="preserve">complete data and were included in the analysis. The mean age was</w:t>
      </w:r>
      <w:r>
        <w:t xml:space="preserve"> </w:t>
      </w:r>
      <w:r>
        <w:rPr>
          <w:strike/>
        </w:rPr>
        <w:t xml:space="preserve">42.3</w:t>
      </w:r>
      <w:r>
        <w:rPr>
          <w:u w:val="single"/>
        </w:rPr>
        <w:t xml:space="preserve">44.1</w:t>
      </w:r>
      <w:r>
        <w:t xml:space="preserve"> </w:t>
      </w:r>
      <w:r>
        <w:t xml:space="preserve">years (SD =</w:t>
      </w:r>
      <w:r>
        <w:t xml:space="preserve"> </w:t>
      </w:r>
      <w:r>
        <w:rPr>
          <w:strike/>
        </w:rPr>
        <w:t xml:space="preserve">14.1)</w:t>
      </w:r>
      <w:r>
        <w:rPr>
          <w:u w:val="single"/>
        </w:rPr>
        <w:t xml:space="preserve">15.3)</w:t>
      </w:r>
      <w:r>
        <w:t xml:space="preserve">, and</w:t>
      </w:r>
      <w:r>
        <w:t xml:space="preserve"> </w:t>
      </w:r>
      <w:r>
        <w:rPr>
          <w:strike/>
        </w:rPr>
        <w:t xml:space="preserve">52%</w:t>
      </w:r>
      <w:r>
        <w:rPr>
          <w:u w:val="single"/>
        </w:rPr>
        <w:t xml:space="preserve">53%</w:t>
      </w:r>
      <w:r>
        <w:t xml:space="preserve"> </w:t>
      </w:r>
      <w:r>
        <w:t xml:space="preserve">were female.</w:t>
      </w:r>
      <w:r>
        <w:rPr>
          <w:u w:val="single"/>
        </w:rPr>
        <w:t xml:space="preserve">The median distance to the nearest green space was 340 meters (IQR: 180–620).</w:t>
      </w:r>
    </w:p>
    <w:p>
      <w:pPr>
        <w:pStyle w:val="BodyText"/>
      </w:pPr>
      <w:r>
        <w:t xml:space="preserve">In the adjusted model, each 100-meter decrease in distance to green</w:t>
      </w:r>
      <w:r>
        <w:t xml:space="preserve"> </w:t>
      </w:r>
      <w:r>
        <w:t xml:space="preserve">space was associated with a 0.</w:t>
      </w:r>
      <w:r>
        <w:rPr>
          <w:strike/>
        </w:rPr>
        <w:t xml:space="preserve">8-</w:t>
      </w:r>
      <w:r>
        <w:rPr>
          <w:u w:val="single"/>
        </w:rPr>
        <w:t xml:space="preserve">6-</w:t>
      </w:r>
      <w:r>
        <w:t xml:space="preserve">point improvement in GHQ-12</w:t>
      </w:r>
      <w:r>
        <w:t xml:space="preserve"> </w:t>
      </w:r>
      <w:r>
        <w:t xml:space="preserve">scores (β = -0.</w:t>
      </w:r>
      <w:r>
        <w:rPr>
          <w:strike/>
        </w:rPr>
        <w:t xml:space="preserve">008,</w:t>
      </w:r>
      <w:r>
        <w:rPr>
          <w:u w:val="single"/>
        </w:rPr>
        <w:t xml:space="preserve">006,</w:t>
      </w:r>
      <w:r>
        <w:t xml:space="preserve"> </w:t>
      </w:r>
      <w:r>
        <w:t xml:space="preserve">95% CI: -0.</w:t>
      </w:r>
      <w:r>
        <w:rPr>
          <w:strike/>
        </w:rPr>
        <w:t xml:space="preserve">014</w:t>
      </w:r>
      <w:r>
        <w:rPr>
          <w:u w:val="single"/>
        </w:rPr>
        <w:t xml:space="preserve">010</w:t>
      </w:r>
      <w:r>
        <w:t xml:space="preserve"> </w:t>
      </w:r>
      <w:r>
        <w:t xml:space="preserve">to -0.002, p</w:t>
      </w:r>
      <w:r>
        <w:t xml:space="preserve"> </w:t>
      </w:r>
      <w:r>
        <w:t xml:space="preserve">= 0.</w:t>
      </w:r>
      <w:r>
        <w:rPr>
          <w:strike/>
        </w:rPr>
        <w:t xml:space="preserve">01)</w:t>
      </w:r>
      <w:r>
        <w:rPr>
          <w:u w:val="single"/>
        </w:rPr>
        <w:t xml:space="preserve">004)</w:t>
      </w:r>
      <w:r>
        <w:t xml:space="preserve">.</w:t>
      </w:r>
      <w:r>
        <w:rPr>
          <w:u w:val="single"/>
        </w:rPr>
        <w:t xml:space="preserve">Results were consistent when using the WHO-5 as the outcome measure.</w:t>
      </w:r>
    </w:p>
    <w:p>
      <w:pPr>
        <w:pStyle w:val="BodyText"/>
      </w:pPr>
      <w:r>
        <w:t xml:space="preserve">The association was stronger among participants aged 60 and older (β =</w:t>
      </w:r>
      <w:r>
        <w:t xml:space="preserve"> </w:t>
      </w:r>
      <w:r>
        <w:t xml:space="preserve">-0.</w:t>
      </w:r>
      <w:r>
        <w:rPr>
          <w:strike/>
        </w:rPr>
        <w:t xml:space="preserve">015,</w:t>
      </w:r>
      <w:r>
        <w:rPr>
          <w:u w:val="single"/>
        </w:rPr>
        <w:t xml:space="preserve">012,</w:t>
      </w:r>
      <w:r>
        <w:t xml:space="preserve"> </w:t>
      </w:r>
      <w:r>
        <w:t xml:space="preserve">p = 0.</w:t>
      </w:r>
      <w:r>
        <w:rPr>
          <w:strike/>
        </w:rPr>
        <w:t xml:space="preserve">003)</w:t>
      </w:r>
      <w:r>
        <w:rPr>
          <w:u w:val="single"/>
        </w:rPr>
        <w:t xml:space="preserve">001)</w:t>
      </w:r>
      <w:r>
        <w:t xml:space="preserve"> </w:t>
      </w:r>
      <w:r>
        <w:t xml:space="preserve">compared to younger age</w:t>
      </w:r>
      <w:r>
        <w:t xml:space="preserve"> </w:t>
      </w:r>
      <w:r>
        <w:t xml:space="preserve">groups.</w:t>
      </w:r>
      <w:r>
        <w:rPr>
          <w:u w:val="single"/>
        </w:rPr>
        <w:t xml:space="preserve">We also observed a significant interaction with income (p = 0.02), with stronger effects among participants in the lowest income quartile (β = -0.011, p &lt; 0.001).</w:t>
      </w:r>
    </w:p>
    <w:p>
      <w:pPr>
        <w:pStyle w:val="BodyText"/>
      </w:pPr>
      <w:r>
        <w:rPr>
          <w:u w:val="single"/>
        </w:rPr>
        <w:t xml:space="preserve">Spline analyses suggested a non-linear relationship, with diminishing returns beyond approximately 500 meters of proximity.</w:t>
      </w:r>
    </w:p>
    <w:bookmarkEnd w:id="25"/>
    <w:bookmarkStart w:id="26" w:name="discussion"/>
    <w:p>
      <w:pPr>
        <w:pStyle w:val="Heading2"/>
      </w:pPr>
      <w:r>
        <w:t xml:space="preserve">Discussion</w:t>
      </w:r>
    </w:p>
    <w:p>
      <w:pPr>
        <w:pStyle w:val="FirstParagraph"/>
      </w:pPr>
      <w:r>
        <w:t xml:space="preserve">Our findings suggest that proximity to urban green spaces is associated</w:t>
      </w:r>
      <w:r>
        <w:t xml:space="preserve"> </w:t>
      </w:r>
      <w:r>
        <w:t xml:space="preserve">with better mental health</w:t>
      </w:r>
      <w:r>
        <w:t xml:space="preserve"> </w:t>
      </w:r>
      <w:r>
        <w:rPr>
          <w:strike/>
        </w:rPr>
        <w:t xml:space="preserve">outcomes.</w:t>
      </w:r>
      <w:r>
        <w:rPr>
          <w:u w:val="single"/>
        </w:rPr>
        <w:t xml:space="preserve">outcomes across multiple European cities.</w:t>
      </w:r>
      <w:r>
        <w:t xml:space="preserve"> </w:t>
      </w:r>
      <w:r>
        <w:t xml:space="preserve">These results are consistent with previous research</w:t>
      </w:r>
      <w:r>
        <w:t xml:space="preserve"> </w:t>
      </w:r>
      <w:r>
        <w:t xml:space="preserve">highlighting the psychological benefits of nature</w:t>
      </w:r>
      <w:r>
        <w:t xml:space="preserve"> </w:t>
      </w:r>
      <w:r>
        <w:rPr>
          <w:strike/>
        </w:rPr>
        <w:t xml:space="preserve">exposure.</w:t>
      </w:r>
      <w:r>
        <w:rPr>
          <w:u w:val="single"/>
        </w:rPr>
        <w:t xml:space="preserve">exposure, and extend the evidence base by demonstrating effect modification by socioeconomic status.</w:t>
      </w:r>
    </w:p>
    <w:p>
      <w:pPr>
        <w:pStyle w:val="BodyText"/>
      </w:pPr>
      <w:r>
        <w:rPr>
          <w:u w:val="single"/>
        </w:rPr>
        <w:t xml:space="preserve">The stronger association observed among lower-income participants is particularly noteworthy, as these populations often have reduced access to green spaces. This finding aligns with environmental justice frameworks and suggests that equitable distribution of green spaces could help reduce mental health disparities.</w:t>
      </w:r>
    </w:p>
    <w:p>
      <w:pPr>
        <w:pStyle w:val="BodyText"/>
      </w:pPr>
      <w:r>
        <w:t xml:space="preserve">Several limitations should be noted. First, the cross-sectional design</w:t>
      </w:r>
      <w:r>
        <w:t xml:space="preserve"> </w:t>
      </w:r>
      <w:r>
        <w:t xml:space="preserve">precludes causal inference. Second, we relied on self-reported mental</w:t>
      </w:r>
      <w:r>
        <w:t xml:space="preserve"> </w:t>
      </w:r>
      <w:r>
        <w:t xml:space="preserve">health</w:t>
      </w:r>
      <w:r>
        <w:t xml:space="preserve"> </w:t>
      </w:r>
      <w:r>
        <w:rPr>
          <w:strike/>
        </w:rPr>
        <w:t xml:space="preserve">measures.</w:t>
      </w:r>
      <w:r>
        <w:rPr>
          <w:u w:val="single"/>
        </w:rPr>
        <w:t xml:space="preserve">measures, though we mitigated this concern by using two validated instruments.</w:t>
      </w:r>
      <w:r>
        <w:t xml:space="preserve"> </w:t>
      </w:r>
      <w:r>
        <w:t xml:space="preserve">Third, we did not account for the</w:t>
      </w:r>
      <w:r>
        <w:t xml:space="preserve"> </w:t>
      </w:r>
      <w:r>
        <w:t xml:space="preserve">quality</w:t>
      </w:r>
      <w:r>
        <w:t xml:space="preserve"> </w:t>
      </w:r>
      <w:r>
        <w:rPr>
          <w:u w:val="single"/>
        </w:rPr>
        <w:t xml:space="preserve">or type</w:t>
      </w:r>
      <w:r>
        <w:t xml:space="preserve">of green</w:t>
      </w:r>
      <w:r>
        <w:t xml:space="preserve"> </w:t>
      </w:r>
      <w:r>
        <w:rPr>
          <w:strike/>
        </w:rPr>
        <w:t xml:space="preserve">spaces.</w:t>
      </w:r>
      <w:r>
        <w:rPr>
          <w:u w:val="single"/>
        </w:rPr>
        <w:t xml:space="preserve">spaces, which may influence the magnitude of health effects.</w:t>
      </w:r>
    </w:p>
    <w:p>
      <w:pPr>
        <w:pStyle w:val="BodyText"/>
      </w:pPr>
      <w:r>
        <w:t xml:space="preserve">Future research should employ longitudinal designs and incorporate</w:t>
      </w:r>
      <w:r>
        <w:t xml:space="preserve"> </w:t>
      </w:r>
      <w:r>
        <w:t xml:space="preserve">objective measures of mental</w:t>
      </w:r>
      <w:r>
        <w:t xml:space="preserve"> </w:t>
      </w:r>
      <w:r>
        <w:rPr>
          <w:u w:val="single"/>
        </w:rPr>
        <w:t xml:space="preserve">health, such as clinical diagnoses from electronic</w:t>
      </w:r>
      <w:r>
        <w:t xml:space="preserve">health</w:t>
      </w:r>
      <w:r>
        <w:rPr>
          <w:u w:val="single"/>
        </w:rPr>
        <w:t xml:space="preserve">records,</w:t>
      </w:r>
      <w:r>
        <w:t xml:space="preserve"> </w:t>
      </w:r>
      <w:r>
        <w:t xml:space="preserve">to strengthen the evidence base.</w:t>
      </w:r>
    </w:p>
    <w:bookmarkEnd w:id="26"/>
    <w:bookmarkStart w:id="27" w:name="conclusion"/>
    <w:p>
      <w:pPr>
        <w:pStyle w:val="Heading2"/>
      </w:pPr>
      <w:r>
        <w:t xml:space="preserve">Conclusion</w:t>
      </w:r>
    </w:p>
    <w:p>
      <w:pPr>
        <w:pStyle w:val="FirstParagraph"/>
      </w:pPr>
      <w:r>
        <w:t xml:space="preserve">This</w:t>
      </w:r>
      <w:r>
        <w:t xml:space="preserve"> </w:t>
      </w:r>
      <w:r>
        <w:rPr>
          <w:u w:val="single"/>
        </w:rPr>
        <w:t xml:space="preserve">multi-city</w:t>
      </w:r>
      <w:r>
        <w:t xml:space="preserve">study provides</w:t>
      </w:r>
      <w:r>
        <w:rPr>
          <w:u w:val="single"/>
        </w:rPr>
        <w:t xml:space="preserve">robust</w:t>
      </w:r>
      <w:r>
        <w:t xml:space="preserve"> </w:t>
      </w:r>
      <w:r>
        <w:t xml:space="preserve">evidence supporting</w:t>
      </w:r>
      <w:r>
        <w:t xml:space="preserve"> </w:t>
      </w:r>
      <w:r>
        <w:t xml:space="preserve">the mental health benefits of urban green</w:t>
      </w:r>
      <w:r>
        <w:t xml:space="preserve"> </w:t>
      </w:r>
      <w:r>
        <w:rPr>
          <w:strike/>
        </w:rPr>
        <w:t xml:space="preserve">spaces.</w:t>
      </w:r>
      <w:r>
        <w:rPr>
          <w:u w:val="single"/>
        </w:rPr>
        <w:t xml:space="preserve">spaces, with effects that are particularly pronounced among older adults and lower-income residents.</w:t>
      </w:r>
      <w:r>
        <w:t xml:space="preserve"> </w:t>
      </w:r>
      <w:r>
        <w:t xml:space="preserve">Urban planners</w:t>
      </w:r>
      <w:r>
        <w:rPr>
          <w:u w:val="single"/>
        </w:rPr>
        <w:t xml:space="preserve">and public health practitioners</w:t>
      </w:r>
      <w:r>
        <w:t xml:space="preserve"> </w:t>
      </w:r>
      <w:r>
        <w:t xml:space="preserve">should consider these findings when designing</w:t>
      </w:r>
      <w:r>
        <w:t xml:space="preserve"> </w:t>
      </w:r>
      <w:r>
        <w:rPr>
          <w:u w:val="single"/>
        </w:rPr>
        <w:t xml:space="preserve">equitable</w:t>
      </w:r>
      <w:r>
        <w:t xml:space="preserve">cities that promote</w:t>
      </w:r>
      <w:r>
        <w:t xml:space="preserve"> </w:t>
      </w:r>
      <w:r>
        <w:rPr>
          <w:u w:val="single"/>
        </w:rPr>
        <w:t xml:space="preserve">population</w:t>
      </w:r>
      <w:r>
        <w:t xml:space="preserve">well-being.</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Urban Green Spaces on Mental Health Outcomes: A Cross-Sectional Study</dc:title>
  <dc:creator>Jane Smith; John Doe; Maria Garcia</dc:creator>
  <cp:keywords/>
  <dcterms:created xsi:type="dcterms:W3CDTF">2026-03-22T18:09:16Z</dcterms:created>
  <dcterms:modified xsi:type="dcterms:W3CDTF">2026-03-22T18:09:16Z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Urban green spaces have been suggested to improve mental health, but evidence from diverse urban populations remains limited. This study examined the relationship between proximity to green spaces and self-reported mental health outcomes in a stratified sample of 1,200 urban residents across three European cities. Results indicate a significant positive association between green space access and mental well-being, with effect sizes varying by age group and socioeconomic status.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ate">
    <vt:lpwstr>2025-06-15</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