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240" w:after="60"/>
        <w:jc w:val="center"/>
      </w:pPr>
      <w:r>
        <w:rPr>
          <w:rFonts w:ascii="Arial" w:cs="Arial" w:eastAsia="Arial" w:hAnsi="Arial"/>
          <w:b/>
          <w:bCs/>
          <w:color w:val="1F4E79"/>
          <w:sz w:val="52"/>
          <w:szCs w:val="52"/>
        </w:rPr>
        <w:t xml:space="preserve">STANFORTE EDGE LTD/GTE</w:t>
      </w:r>
    </w:p>
    <w:p>
      <w:pPr>
        <w:spacing w:before="0" w:after="80"/>
        <w:jc w:val="center"/>
      </w:pPr>
      <w:r>
        <w:rPr>
          <w:rFonts w:ascii="Arial" w:cs="Arial" w:eastAsia="Arial" w:hAnsi="Arial"/>
          <w:i/>
          <w:iCs/>
          <w:color w:val="2E75B6"/>
          <w:sz w:val="28"/>
          <w:szCs w:val="28"/>
        </w:rPr>
        <w:t xml:space="preserve">(Project Enable Africa)</w:t>
      </w:r>
    </w:p>
    <w:p>
      <w:pPr>
        <w:spacing w:before="60" w:after="60"/>
      </w:pPr>
      <w:r>
        <w:t xml:space="preserve"/>
      </w:r>
    </w:p>
    <w:p>
      <w:pPr>
        <w:pBdr>
          <w:top w:val="single" w:color="2E75B6" w:sz="6" w:space="4"/>
          <w:bottom w:val="single" w:color="2E75B6" w:sz="6" w:space="4"/>
        </w:pBdr>
        <w:spacing w:before="120" w:after="120"/>
        <w:jc w:val="center"/>
      </w:pPr>
      <w:r>
        <w:rPr>
          <w:rFonts w:ascii="Arial" w:cs="Arial" w:eastAsia="Arial" w:hAnsi="Arial"/>
          <w:b/>
          <w:bCs/>
          <w:color w:val="1F4E79"/>
          <w:sz w:val="40"/>
          <w:szCs w:val="40"/>
        </w:rPr>
        <w:t xml:space="preserve">ANTI-FRAUD &amp; ANTI-CORRUPTION POLICY</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Version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Effective Date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___________________________</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Approved By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Board of Directors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Next Review</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Every 2 years from effective date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Applies To</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 staff, board members, consultants, volunteers, vendors and partners of Stanforte Edge Ltd/Gte and Project Enable Africa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Related Documents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Financial Policy &amp; Procedures Manual v1.01  |  Safeguarding Policy  |  Code of Conduct</w:t>
            </w:r>
          </w:p>
        </w:tc>
      </w:tr>
    </w:tbl>
    <w:p>
      <w:pPr>
        <w:spacing w:before="60" w:after="60"/>
      </w:pPr>
      <w:r>
        <w:t xml:space="preserve"/>
      </w:r>
    </w:p>
    <w:p>
      <w:pPr>
        <w:spacing w:before="60" w:after="60"/>
      </w:pPr>
      <w:r>
        <w:t xml:space="preserve"/>
      </w:r>
    </w:p>
    <w:p>
      <w:pPr>
        <w:jc w:val="center"/>
      </w:pPr>
      <w:r>
        <w:rPr>
          <w:rFonts w:ascii="Arial" w:cs="Arial" w:eastAsia="Arial" w:hAnsi="Arial"/>
          <w:b/>
          <w:bCs/>
          <w:color w:val="C00000"/>
          <w:sz w:val="20"/>
          <w:szCs w:val="20"/>
        </w:rPr>
        <w:t xml:space="preserve">CONFIDENTIAL DOCUMENT</w:t>
      </w:r>
    </w:p>
    <w:p>
      <w:pPr>
        <w:pageBreakBefore/>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 Introduction &amp; Purpose</w:t>
      </w:r>
    </w:p>
    <w:p>
      <w:pPr>
        <w:spacing w:before="60" w:after="60"/>
      </w:pPr>
      <w:r>
        <w:rPr>
          <w:rFonts w:ascii="Arial" w:cs="Arial" w:eastAsia="Arial" w:hAnsi="Arial"/>
          <w:sz w:val="22"/>
          <w:szCs w:val="22"/>
        </w:rPr>
        <w:t xml:space="preserve">Stanforte Edge Ltd/Gte and its subsidiary Project Enable Africa are committed to maintaining the highest standards of integrity, transparency and accountability in all operations and financial management. The organisation operates a zero-tolerance approach to fraud, corruption, bribery and any form of financial misconduct.</w:t>
      </w:r>
    </w:p>
    <w:p>
      <w:pPr>
        <w:spacing w:before="60" w:after="60"/>
      </w:pPr>
      <w:r>
        <w:t xml:space="preserve"/>
      </w:r>
    </w:p>
    <w:p>
      <w:pPr>
        <w:spacing w:before="60" w:after="60"/>
      </w:pPr>
      <w:r>
        <w:rPr>
          <w:rFonts w:ascii="Arial" w:cs="Arial" w:eastAsia="Arial" w:hAnsi="Arial"/>
          <w:sz w:val="22"/>
          <w:szCs w:val="22"/>
        </w:rPr>
        <w:t xml:space="preserve">This policy establishes the framework for preventing, detecting, reporting and responding to fraud and corruption across the entire organisation, including all projects, subsidiaries and partnerships. It applies to all individuals acting on behalf of Stanforte Edge in any capacity.</w:t>
      </w:r>
    </w:p>
    <w:p>
      <w:pPr>
        <w:spacing w:before="60" w:after="60"/>
      </w:pPr>
      <w:r>
        <w:t xml:space="preserve"/>
      </w:r>
    </w:p>
    <w:p>
      <w:pPr>
        <w:spacing w:before="60" w:after="60"/>
      </w:pPr>
      <w:r>
        <w:rPr>
          <w:rFonts w:ascii="Arial" w:cs="Arial" w:eastAsia="Arial" w:hAnsi="Arial"/>
          <w:sz w:val="22"/>
          <w:szCs w:val="22"/>
        </w:rPr>
        <w:t xml:space="preserve">This policy should be read alongside the Financial Policy &amp; Procedures Manual (v1.01), the Safeguarding Policy, and the Code of Conduct.</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1.1 Objectives</w:t>
      </w:r>
    </w:p>
    <w:p>
      <w:pPr>
        <w:pStyle w:val="ListParagraph"/>
        <w:numPr>
          <w:ilvl w:val="0"/>
          <w:numId w:val="2"/>
        </w:numPr>
        <w:spacing w:before="40" w:after="40"/>
      </w:pPr>
      <w:r>
        <w:rPr>
          <w:rFonts w:ascii="Arial" w:cs="Arial" w:eastAsia="Arial" w:hAnsi="Arial"/>
          <w:sz w:val="22"/>
          <w:szCs w:val="22"/>
        </w:rPr>
        <w:t xml:space="preserve">Create a culture of zero tolerance for fraud and corruption.</w:t>
      </w:r>
    </w:p>
    <w:p>
      <w:pPr>
        <w:pStyle w:val="ListParagraph"/>
        <w:numPr>
          <w:ilvl w:val="0"/>
          <w:numId w:val="2"/>
        </w:numPr>
        <w:spacing w:before="40" w:after="40"/>
      </w:pPr>
      <w:r>
        <w:rPr>
          <w:rFonts w:ascii="Arial" w:cs="Arial" w:eastAsia="Arial" w:hAnsi="Arial"/>
          <w:sz w:val="22"/>
          <w:szCs w:val="22"/>
        </w:rPr>
        <w:t xml:space="preserve">Establish clear responsibilities for prevention, detection and reporting.</w:t>
      </w:r>
    </w:p>
    <w:p>
      <w:pPr>
        <w:pStyle w:val="ListParagraph"/>
        <w:numPr>
          <w:ilvl w:val="0"/>
          <w:numId w:val="2"/>
        </w:numPr>
        <w:spacing w:before="40" w:after="40"/>
      </w:pPr>
      <w:r>
        <w:rPr>
          <w:rFonts w:ascii="Arial" w:cs="Arial" w:eastAsia="Arial" w:hAnsi="Arial"/>
          <w:sz w:val="22"/>
          <w:szCs w:val="22"/>
        </w:rPr>
        <w:t xml:space="preserve">Define what constitutes fraud and corruption within the organisation.</w:t>
      </w:r>
    </w:p>
    <w:p>
      <w:pPr>
        <w:pStyle w:val="ListParagraph"/>
        <w:numPr>
          <w:ilvl w:val="0"/>
          <w:numId w:val="2"/>
        </w:numPr>
        <w:spacing w:before="40" w:after="40"/>
      </w:pPr>
      <w:r>
        <w:rPr>
          <w:rFonts w:ascii="Arial" w:cs="Arial" w:eastAsia="Arial" w:hAnsi="Arial"/>
          <w:sz w:val="22"/>
          <w:szCs w:val="22"/>
        </w:rPr>
        <w:t xml:space="preserve">Set out a fair, transparent process for investigation and response.</w:t>
      </w:r>
    </w:p>
    <w:p>
      <w:pPr>
        <w:pStyle w:val="ListParagraph"/>
        <w:numPr>
          <w:ilvl w:val="0"/>
          <w:numId w:val="2"/>
        </w:numPr>
        <w:spacing w:before="40" w:after="40"/>
      </w:pPr>
      <w:r>
        <w:rPr>
          <w:rFonts w:ascii="Arial" w:cs="Arial" w:eastAsia="Arial" w:hAnsi="Arial"/>
          <w:sz w:val="22"/>
          <w:szCs w:val="22"/>
        </w:rPr>
        <w:t xml:space="preserve">Protect individuals who report suspected wrongdoing in good faith.</w:t>
      </w:r>
    </w:p>
    <w:p>
      <w:pPr>
        <w:pStyle w:val="ListParagraph"/>
        <w:numPr>
          <w:ilvl w:val="0"/>
          <w:numId w:val="2"/>
        </w:numPr>
        <w:spacing w:before="40" w:after="40"/>
      </w:pPr>
      <w:r>
        <w:rPr>
          <w:rFonts w:ascii="Arial" w:cs="Arial" w:eastAsia="Arial" w:hAnsi="Arial"/>
          <w:sz w:val="22"/>
          <w:szCs w:val="22"/>
        </w:rPr>
        <w:t xml:space="preserve">Ensure compliance with Nigerian law and donor requirements.</w:t>
      </w:r>
    </w:p>
    <w:p>
      <w:pPr>
        <w:pageBreakBefore/>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2. Scope</w:t>
      </w:r>
    </w:p>
    <w:p>
      <w:pPr>
        <w:spacing w:before="60" w:after="60"/>
      </w:pPr>
      <w:r>
        <w:rPr>
          <w:rFonts w:ascii="Arial" w:cs="Arial" w:eastAsia="Arial" w:hAnsi="Arial"/>
          <w:sz w:val="22"/>
          <w:szCs w:val="22"/>
        </w:rPr>
        <w:t xml:space="preserve">This policy applies to all:</w:t>
      </w:r>
    </w:p>
    <w:p>
      <w:pPr>
        <w:pStyle w:val="ListParagraph"/>
        <w:numPr>
          <w:ilvl w:val="0"/>
          <w:numId w:val="2"/>
        </w:numPr>
        <w:spacing w:before="40" w:after="40"/>
      </w:pPr>
      <w:r>
        <w:rPr>
          <w:rFonts w:ascii="Arial" w:cs="Arial" w:eastAsia="Arial" w:hAnsi="Arial"/>
          <w:sz w:val="22"/>
          <w:szCs w:val="22"/>
        </w:rPr>
        <w:t xml:space="preserve">Full-time, part-time and contract staff</w:t>
      </w:r>
    </w:p>
    <w:p>
      <w:pPr>
        <w:pStyle w:val="ListParagraph"/>
        <w:numPr>
          <w:ilvl w:val="0"/>
          <w:numId w:val="2"/>
        </w:numPr>
        <w:spacing w:before="40" w:after="40"/>
      </w:pPr>
      <w:r>
        <w:rPr>
          <w:rFonts w:ascii="Arial" w:cs="Arial" w:eastAsia="Arial" w:hAnsi="Arial"/>
          <w:sz w:val="22"/>
          <w:szCs w:val="22"/>
        </w:rPr>
        <w:t xml:space="preserve">Board of Directors members</w:t>
      </w:r>
    </w:p>
    <w:p>
      <w:pPr>
        <w:pStyle w:val="ListParagraph"/>
        <w:numPr>
          <w:ilvl w:val="0"/>
          <w:numId w:val="2"/>
        </w:numPr>
        <w:spacing w:before="40" w:after="40"/>
      </w:pPr>
      <w:r>
        <w:rPr>
          <w:rFonts w:ascii="Arial" w:cs="Arial" w:eastAsia="Arial" w:hAnsi="Arial"/>
          <w:sz w:val="22"/>
          <w:szCs w:val="22"/>
        </w:rPr>
        <w:t xml:space="preserve">Consultants and advisors</w:t>
      </w:r>
    </w:p>
    <w:p>
      <w:pPr>
        <w:pStyle w:val="ListParagraph"/>
        <w:numPr>
          <w:ilvl w:val="0"/>
          <w:numId w:val="2"/>
        </w:numPr>
        <w:spacing w:before="40" w:after="40"/>
      </w:pPr>
      <w:r>
        <w:rPr>
          <w:rFonts w:ascii="Arial" w:cs="Arial" w:eastAsia="Arial" w:hAnsi="Arial"/>
          <w:sz w:val="22"/>
          <w:szCs w:val="22"/>
        </w:rPr>
        <w:t xml:space="preserve">Volunteers and interns</w:t>
      </w:r>
    </w:p>
    <w:p>
      <w:pPr>
        <w:pStyle w:val="ListParagraph"/>
        <w:numPr>
          <w:ilvl w:val="0"/>
          <w:numId w:val="2"/>
        </w:numPr>
        <w:spacing w:before="40" w:after="40"/>
      </w:pPr>
      <w:r>
        <w:rPr>
          <w:rFonts w:ascii="Arial" w:cs="Arial" w:eastAsia="Arial" w:hAnsi="Arial"/>
          <w:sz w:val="22"/>
          <w:szCs w:val="22"/>
        </w:rPr>
        <w:t xml:space="preserve">Vendors, suppliers and service providers</w:t>
      </w:r>
    </w:p>
    <w:p>
      <w:pPr>
        <w:pStyle w:val="ListParagraph"/>
        <w:numPr>
          <w:ilvl w:val="0"/>
          <w:numId w:val="2"/>
        </w:numPr>
        <w:spacing w:before="40" w:after="40"/>
      </w:pPr>
      <w:r>
        <w:rPr>
          <w:rFonts w:ascii="Arial" w:cs="Arial" w:eastAsia="Arial" w:hAnsi="Arial"/>
          <w:sz w:val="22"/>
          <w:szCs w:val="22"/>
        </w:rPr>
        <w:t xml:space="preserve">Partner organisations acting on behalf of Stanforte Edge</w:t>
      </w:r>
    </w:p>
    <w:p>
      <w:pPr>
        <w:spacing w:before="60" w:after="60"/>
      </w:pPr>
      <w:r>
        <w:t xml:space="preserve"/>
      </w:r>
    </w:p>
    <w:p>
      <w:pPr>
        <w:spacing w:before="60" w:after="60"/>
      </w:pPr>
      <w:r>
        <w:rPr>
          <w:rFonts w:ascii="Arial" w:cs="Arial" w:eastAsia="Arial" w:hAnsi="Arial"/>
          <w:sz w:val="22"/>
          <w:szCs w:val="22"/>
        </w:rPr>
        <w:t xml:space="preserve">The policy covers all activities and transactions carried out in the name of Stanforte Edge Ltd/Gte and Project Enable Africa, including those funded by donor grants.</w:t>
      </w:r>
    </w:p>
    <w:p>
      <w:pPr>
        <w:pageBreakBefore/>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3. Definitions</w:t>
      </w:r>
    </w:p>
    <w:p>
      <w:pPr>
        <w:spacing w:before="60" w:after="60"/>
      </w:pPr>
      <w:r>
        <w:rPr>
          <w:rFonts w:ascii="Arial" w:cs="Arial" w:eastAsia="Arial" w:hAnsi="Arial"/>
          <w:sz w:val="22"/>
          <w:szCs w:val="22"/>
        </w:rPr>
        <w:t xml:space="preserve">For the purposes of this policy, the following definitions apply: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Fraud</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Any intentional act or omission designed to deceive, resulting in an unauthorised benefit to oneself or another, or a loss to the organisation or donors.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Corruption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The misuse of entrusted power or position for personal gain, including bribery, extortion, embezzlement or nepotism.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Bribery</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Offering, giving, receiving or soliciting anything of value to improperly influence the actions of another person.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Misappropriation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The improper or unlawful use of organisational funds, assets or resources for personal benefit.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Conflict of Interest</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 situation where a personal interest could improperly influence a professional decision or action.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Whistleblower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 person who reports suspected wrongdoing in good faith under the protections of this policy.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Financial Misconduct</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Any breach of financial policies, procedures or controls, whether intentional or through gross negligence.</w:t>
            </w:r>
          </w:p>
        </w:tc>
      </w:tr>
    </w:tbl>
    <w:p>
      <w:pPr>
        <w:pageBreakBefore/>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4. Prohibited Conduct</w:t>
      </w:r>
    </w:p>
    <w:p>
      <w:pPr>
        <w:spacing w:before="60" w:after="60"/>
      </w:pPr>
      <w:r>
        <w:rPr>
          <w:rFonts w:ascii="Arial" w:cs="Arial" w:eastAsia="Arial" w:hAnsi="Arial"/>
          <w:sz w:val="22"/>
          <w:szCs w:val="22"/>
        </w:rPr>
        <w:t xml:space="preserve">The following acts are strictly prohibited for all persons covered by this policy:</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4.1 Fraud &amp; Misappropriation</w:t>
      </w:r>
    </w:p>
    <w:p>
      <w:pPr>
        <w:pStyle w:val="ListParagraph"/>
        <w:numPr>
          <w:ilvl w:val="0"/>
          <w:numId w:val="2"/>
        </w:numPr>
        <w:spacing w:before="40" w:after="40"/>
      </w:pPr>
      <w:r>
        <w:rPr>
          <w:rFonts w:ascii="Arial" w:cs="Arial" w:eastAsia="Arial" w:hAnsi="Arial"/>
          <w:sz w:val="22"/>
          <w:szCs w:val="22"/>
        </w:rPr>
        <w:t xml:space="preserve">Theft, misappropriation or misuse of organisational or donor funds, assets or resources</w:t>
      </w:r>
    </w:p>
    <w:p>
      <w:pPr>
        <w:pStyle w:val="ListParagraph"/>
        <w:numPr>
          <w:ilvl w:val="0"/>
          <w:numId w:val="2"/>
        </w:numPr>
        <w:spacing w:before="40" w:after="40"/>
      </w:pPr>
      <w:r>
        <w:rPr>
          <w:rFonts w:ascii="Arial" w:cs="Arial" w:eastAsia="Arial" w:hAnsi="Arial"/>
          <w:sz w:val="22"/>
          <w:szCs w:val="22"/>
        </w:rPr>
        <w:t xml:space="preserve">Falsification, forgery or manipulation of financial records, invoices, receipts or supporting documents</w:t>
      </w:r>
    </w:p>
    <w:p>
      <w:pPr>
        <w:pStyle w:val="ListParagraph"/>
        <w:numPr>
          <w:ilvl w:val="0"/>
          <w:numId w:val="2"/>
        </w:numPr>
        <w:spacing w:before="40" w:after="40"/>
      </w:pPr>
      <w:r>
        <w:rPr>
          <w:rFonts w:ascii="Arial" w:cs="Arial" w:eastAsia="Arial" w:hAnsi="Arial"/>
          <w:sz w:val="22"/>
          <w:szCs w:val="22"/>
        </w:rPr>
        <w:t xml:space="preserve">Submitting false or inflated expense claims</w:t>
      </w:r>
    </w:p>
    <w:p>
      <w:pPr>
        <w:pStyle w:val="ListParagraph"/>
        <w:numPr>
          <w:ilvl w:val="0"/>
          <w:numId w:val="2"/>
        </w:numPr>
        <w:spacing w:before="40" w:after="40"/>
      </w:pPr>
      <w:r>
        <w:rPr>
          <w:rFonts w:ascii="Arial" w:cs="Arial" w:eastAsia="Arial" w:hAnsi="Arial"/>
          <w:sz w:val="22"/>
          <w:szCs w:val="22"/>
        </w:rPr>
        <w:t xml:space="preserve">Diverting donor funds for purposes other than those approved in the grant agreement</w:t>
      </w:r>
    </w:p>
    <w:p>
      <w:pPr>
        <w:pStyle w:val="ListParagraph"/>
        <w:numPr>
          <w:ilvl w:val="0"/>
          <w:numId w:val="2"/>
        </w:numPr>
        <w:spacing w:before="40" w:after="40"/>
      </w:pPr>
      <w:r>
        <w:rPr>
          <w:rFonts w:ascii="Arial" w:cs="Arial" w:eastAsia="Arial" w:hAnsi="Arial"/>
          <w:sz w:val="22"/>
          <w:szCs w:val="22"/>
        </w:rPr>
        <w:t xml:space="preserve">Authorising or processing payments to fictitious vendors, employees or beneficiaries</w:t>
      </w:r>
    </w:p>
    <w:p>
      <w:pPr>
        <w:pStyle w:val="ListParagraph"/>
        <w:numPr>
          <w:ilvl w:val="0"/>
          <w:numId w:val="2"/>
        </w:numPr>
        <w:spacing w:before="40" w:after="40"/>
      </w:pPr>
      <w:r>
        <w:rPr>
          <w:rFonts w:ascii="Arial" w:cs="Arial" w:eastAsia="Arial" w:hAnsi="Arial"/>
          <w:sz w:val="22"/>
          <w:szCs w:val="22"/>
        </w:rPr>
        <w:t xml:space="preserve">Manipulating the accounting system or financial records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4.2 Corruption &amp; Bribery</w:t>
      </w:r>
    </w:p>
    <w:p>
      <w:pPr>
        <w:pStyle w:val="ListParagraph"/>
        <w:numPr>
          <w:ilvl w:val="0"/>
          <w:numId w:val="2"/>
        </w:numPr>
        <w:spacing w:before="40" w:after="40"/>
      </w:pPr>
      <w:r>
        <w:rPr>
          <w:rFonts w:ascii="Arial" w:cs="Arial" w:eastAsia="Arial" w:hAnsi="Arial"/>
          <w:sz w:val="22"/>
          <w:szCs w:val="22"/>
        </w:rPr>
        <w:t xml:space="preserve">Offering, paying, soliciting or accepting bribes or kickbacks in any form</w:t>
      </w:r>
    </w:p>
    <w:p>
      <w:pPr>
        <w:pStyle w:val="ListParagraph"/>
        <w:numPr>
          <w:ilvl w:val="0"/>
          <w:numId w:val="2"/>
        </w:numPr>
        <w:spacing w:before="40" w:after="40"/>
      </w:pPr>
      <w:r>
        <w:rPr>
          <w:rFonts w:ascii="Arial" w:cs="Arial" w:eastAsia="Arial" w:hAnsi="Arial"/>
          <w:sz w:val="22"/>
          <w:szCs w:val="22"/>
        </w:rPr>
        <w:t xml:space="preserve">Receiving personal gifts, payments or benefits in exchange for favourable treatment in procurement or decision-making</w:t>
      </w:r>
    </w:p>
    <w:p>
      <w:pPr>
        <w:pStyle w:val="ListParagraph"/>
        <w:numPr>
          <w:ilvl w:val="0"/>
          <w:numId w:val="2"/>
        </w:numPr>
        <w:spacing w:before="40" w:after="40"/>
      </w:pPr>
      <w:r>
        <w:rPr>
          <w:rFonts w:ascii="Arial" w:cs="Arial" w:eastAsia="Arial" w:hAnsi="Arial"/>
          <w:sz w:val="22"/>
          <w:szCs w:val="22"/>
        </w:rPr>
        <w:t xml:space="preserve">Improperly using one’s position to benefit oneself, family members or associates</w:t>
      </w:r>
    </w:p>
    <w:p>
      <w:pPr>
        <w:pStyle w:val="ListParagraph"/>
        <w:numPr>
          <w:ilvl w:val="0"/>
          <w:numId w:val="2"/>
        </w:numPr>
        <w:spacing w:before="40" w:after="40"/>
      </w:pPr>
      <w:r>
        <w:rPr>
          <w:rFonts w:ascii="Arial" w:cs="Arial" w:eastAsia="Arial" w:hAnsi="Arial"/>
          <w:sz w:val="22"/>
          <w:szCs w:val="22"/>
        </w:rPr>
        <w:t xml:space="preserve">Engaging in nepotism in hiring, procurement or resource allocation</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4.3 Conflicts of Interest</w:t>
      </w:r>
    </w:p>
    <w:p>
      <w:pPr>
        <w:pStyle w:val="ListParagraph"/>
        <w:numPr>
          <w:ilvl w:val="0"/>
          <w:numId w:val="2"/>
        </w:numPr>
        <w:spacing w:before="40" w:after="40"/>
      </w:pPr>
      <w:r>
        <w:rPr>
          <w:rFonts w:ascii="Arial" w:cs="Arial" w:eastAsia="Arial" w:hAnsi="Arial"/>
          <w:sz w:val="22"/>
          <w:szCs w:val="22"/>
        </w:rPr>
        <w:t xml:space="preserve">Failing to disclose a personal, financial or business interest that may conflict with organisational duties</w:t>
      </w:r>
    </w:p>
    <w:p>
      <w:pPr>
        <w:pStyle w:val="ListParagraph"/>
        <w:numPr>
          <w:ilvl w:val="0"/>
          <w:numId w:val="2"/>
        </w:numPr>
        <w:spacing w:before="40" w:after="40"/>
      </w:pPr>
      <w:r>
        <w:rPr>
          <w:rFonts w:ascii="Arial" w:cs="Arial" w:eastAsia="Arial" w:hAnsi="Arial"/>
          <w:sz w:val="22"/>
          <w:szCs w:val="22"/>
        </w:rPr>
        <w:t xml:space="preserve">Participating in a decision-making process where a personal conflict of interest exists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4.4 Circumvention of Controls</w:t>
      </w:r>
    </w:p>
    <w:p>
      <w:pPr>
        <w:pStyle w:val="ListParagraph"/>
        <w:numPr>
          <w:ilvl w:val="0"/>
          <w:numId w:val="2"/>
        </w:numPr>
        <w:spacing w:before="40" w:after="40"/>
      </w:pPr>
      <w:r>
        <w:rPr>
          <w:rFonts w:ascii="Arial" w:cs="Arial" w:eastAsia="Arial" w:hAnsi="Arial"/>
          <w:sz w:val="22"/>
          <w:szCs w:val="22"/>
        </w:rPr>
        <w:t xml:space="preserve">Bypassing or overriding established financial approval processes</w:t>
      </w:r>
    </w:p>
    <w:p>
      <w:pPr>
        <w:pStyle w:val="ListParagraph"/>
        <w:numPr>
          <w:ilvl w:val="0"/>
          <w:numId w:val="2"/>
        </w:numPr>
        <w:spacing w:before="40" w:after="40"/>
      </w:pPr>
      <w:r>
        <w:rPr>
          <w:rFonts w:ascii="Arial" w:cs="Arial" w:eastAsia="Arial" w:hAnsi="Arial"/>
          <w:sz w:val="22"/>
          <w:szCs w:val="22"/>
        </w:rPr>
        <w:t xml:space="preserve">Pressuring staff to breach financial controls or this policy</w:t>
      </w:r>
    </w:p>
    <w:p>
      <w:pPr>
        <w:pStyle w:val="ListParagraph"/>
        <w:numPr>
          <w:ilvl w:val="0"/>
          <w:numId w:val="2"/>
        </w:numPr>
        <w:spacing w:before="40" w:after="40"/>
      </w:pPr>
      <w:r>
        <w:rPr>
          <w:rFonts w:ascii="Arial" w:cs="Arial" w:eastAsia="Arial" w:hAnsi="Arial"/>
          <w:sz w:val="22"/>
          <w:szCs w:val="22"/>
        </w:rPr>
        <w:t xml:space="preserve">Splitting transactions to avoid approval thresholds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single" w:color="C00000" w:sz="4"/>
              <w:right w:val="single" w:color="C00000" w:sz="4"/>
            </w:tcBorders>
            <w:shd w:fill="FFF2F2" w:val="clear"/>
            <w:tcMar>
              <w:top w:type="dxa" w:w="120"/>
              <w:left w:type="dxa" w:w="200"/>
              <w:bottom w:type="dxa" w:w="120"/>
              <w:right w:type="dxa" w:w="140"/>
            </w:tcMar>
          </w:tcPr>
          <w:p>
            <w:r>
              <w:rPr>
                <w:rFonts w:ascii="Arial" w:cs="Arial" w:eastAsia="Arial" w:hAnsi="Arial"/>
                <w:b/>
                <w:bCs/>
                <w:color w:val="C00000"/>
                <w:sz w:val="21"/>
                <w:szCs w:val="21"/>
              </w:rPr>
              <w:t xml:space="preserve">ZERO TOLERANCE: Stanforte Edge applies zero tolerance to all forms of fraud and corruption. Any breach of this policy will result in disciplinary action up to and including termination, and may be referred to law enforcement.</w:t>
            </w:r>
          </w:p>
        </w:tc>
      </w:tr>
    </w:tbl>
    <w:p>
      <w:pPr>
        <w:pageBreakBefore/>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5. Roles and Responsibilities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5.1 Board of Directors</w:t>
      </w:r>
    </w:p>
    <w:p>
      <w:pPr>
        <w:pStyle w:val="ListParagraph"/>
        <w:numPr>
          <w:ilvl w:val="0"/>
          <w:numId w:val="2"/>
        </w:numPr>
        <w:spacing w:before="40" w:after="40"/>
      </w:pPr>
      <w:r>
        <w:rPr>
          <w:rFonts w:ascii="Arial" w:cs="Arial" w:eastAsia="Arial" w:hAnsi="Arial"/>
          <w:sz w:val="22"/>
          <w:szCs w:val="22"/>
        </w:rPr>
        <w:t xml:space="preserve">Has ultimate responsibility for ensuring this policy is in place and effective.</w:t>
      </w:r>
    </w:p>
    <w:p>
      <w:pPr>
        <w:pStyle w:val="ListParagraph"/>
        <w:numPr>
          <w:ilvl w:val="0"/>
          <w:numId w:val="2"/>
        </w:numPr>
        <w:spacing w:before="40" w:after="40"/>
      </w:pPr>
      <w:r>
        <w:rPr>
          <w:rFonts w:ascii="Arial" w:cs="Arial" w:eastAsia="Arial" w:hAnsi="Arial"/>
          <w:sz w:val="22"/>
          <w:szCs w:val="22"/>
        </w:rPr>
        <w:t xml:space="preserve">Approves this policy and any material amendments.</w:t>
      </w:r>
    </w:p>
    <w:p>
      <w:pPr>
        <w:pStyle w:val="ListParagraph"/>
        <w:numPr>
          <w:ilvl w:val="0"/>
          <w:numId w:val="2"/>
        </w:numPr>
        <w:spacing w:before="40" w:after="40"/>
      </w:pPr>
      <w:r>
        <w:rPr>
          <w:rFonts w:ascii="Arial" w:cs="Arial" w:eastAsia="Arial" w:hAnsi="Arial"/>
          <w:sz w:val="22"/>
          <w:szCs w:val="22"/>
        </w:rPr>
        <w:t xml:space="preserve">Receives reports of significant fraud or corruption incidents.</w:t>
      </w:r>
    </w:p>
    <w:p>
      <w:pPr>
        <w:pStyle w:val="ListParagraph"/>
        <w:numPr>
          <w:ilvl w:val="0"/>
          <w:numId w:val="2"/>
        </w:numPr>
        <w:spacing w:before="40" w:after="40"/>
      </w:pPr>
      <w:r>
        <w:rPr>
          <w:rFonts w:ascii="Arial" w:cs="Arial" w:eastAsia="Arial" w:hAnsi="Arial"/>
          <w:sz w:val="22"/>
          <w:szCs w:val="22"/>
        </w:rPr>
        <w:t xml:space="preserve">Ensures appropriate investigation and corrective action is taken.</w:t>
      </w:r>
    </w:p>
    <w:p>
      <w:pPr>
        <w:pStyle w:val="ListParagraph"/>
        <w:numPr>
          <w:ilvl w:val="0"/>
          <w:numId w:val="2"/>
        </w:numPr>
        <w:spacing w:before="40" w:after="40"/>
      </w:pPr>
      <w:r>
        <w:rPr>
          <w:rFonts w:ascii="Arial" w:cs="Arial" w:eastAsia="Arial" w:hAnsi="Arial"/>
          <w:sz w:val="22"/>
          <w:szCs w:val="22"/>
        </w:rPr>
        <w:t xml:space="preserve">Reviews anti-fraud controls as part of annual governance oversight.</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5.2 Executive Director</w:t>
      </w:r>
    </w:p>
    <w:p>
      <w:pPr>
        <w:pStyle w:val="ListParagraph"/>
        <w:numPr>
          <w:ilvl w:val="0"/>
          <w:numId w:val="2"/>
        </w:numPr>
        <w:spacing w:before="40" w:after="40"/>
      </w:pPr>
      <w:r>
        <w:rPr>
          <w:rFonts w:ascii="Arial" w:cs="Arial" w:eastAsia="Arial" w:hAnsi="Arial"/>
          <w:sz w:val="22"/>
          <w:szCs w:val="22"/>
        </w:rPr>
        <w:t xml:space="preserve">Champions a culture of integrity and zero tolerance across the organisation.</w:t>
      </w:r>
    </w:p>
    <w:p>
      <w:pPr>
        <w:pStyle w:val="ListParagraph"/>
        <w:numPr>
          <w:ilvl w:val="0"/>
          <w:numId w:val="2"/>
        </w:numPr>
        <w:spacing w:before="40" w:after="40"/>
      </w:pPr>
      <w:r>
        <w:rPr>
          <w:rFonts w:ascii="Arial" w:cs="Arial" w:eastAsia="Arial" w:hAnsi="Arial"/>
          <w:sz w:val="22"/>
          <w:szCs w:val="22"/>
        </w:rPr>
        <w:t xml:space="preserve">Ensures all staff are aware of and trained on this policy.</w:t>
      </w:r>
    </w:p>
    <w:p>
      <w:pPr>
        <w:pStyle w:val="ListParagraph"/>
        <w:numPr>
          <w:ilvl w:val="0"/>
          <w:numId w:val="2"/>
        </w:numPr>
        <w:spacing w:before="40" w:after="40"/>
      </w:pPr>
      <w:r>
        <w:rPr>
          <w:rFonts w:ascii="Arial" w:cs="Arial" w:eastAsia="Arial" w:hAnsi="Arial"/>
          <w:sz w:val="22"/>
          <w:szCs w:val="22"/>
        </w:rPr>
        <w:t xml:space="preserve">Receives and acts on reports of suspected fraud or corruption.</w:t>
      </w:r>
    </w:p>
    <w:p>
      <w:pPr>
        <w:pStyle w:val="ListParagraph"/>
        <w:numPr>
          <w:ilvl w:val="0"/>
          <w:numId w:val="2"/>
        </w:numPr>
        <w:spacing w:before="40" w:after="40"/>
      </w:pPr>
      <w:r>
        <w:rPr>
          <w:rFonts w:ascii="Arial" w:cs="Arial" w:eastAsia="Arial" w:hAnsi="Arial"/>
          <w:sz w:val="22"/>
          <w:szCs w:val="22"/>
        </w:rPr>
        <w:t xml:space="preserve">Authorises investigations and reports significant incidents to the Board of Directors.</w:t>
      </w:r>
    </w:p>
    <w:p>
      <w:pPr>
        <w:pStyle w:val="ListParagraph"/>
        <w:numPr>
          <w:ilvl w:val="0"/>
          <w:numId w:val="2"/>
        </w:numPr>
        <w:spacing w:before="40" w:after="40"/>
      </w:pPr>
      <w:r>
        <w:rPr>
          <w:rFonts w:ascii="Arial" w:cs="Arial" w:eastAsia="Arial" w:hAnsi="Arial"/>
          <w:sz w:val="22"/>
          <w:szCs w:val="22"/>
        </w:rPr>
        <w:t xml:space="preserve">Reports fraud incidents to donors where required by grant agreements.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5.3 Finance Team</w:t>
      </w:r>
    </w:p>
    <w:p>
      <w:pPr>
        <w:pStyle w:val="ListParagraph"/>
        <w:numPr>
          <w:ilvl w:val="0"/>
          <w:numId w:val="2"/>
        </w:numPr>
        <w:spacing w:before="40" w:after="40"/>
      </w:pPr>
      <w:r>
        <w:rPr>
          <w:rFonts w:ascii="Arial" w:cs="Arial" w:eastAsia="Arial" w:hAnsi="Arial"/>
          <w:sz w:val="22"/>
          <w:szCs w:val="22"/>
        </w:rPr>
        <w:t xml:space="preserve">Maintains robust financial controls to prevent and detect fraud.</w:t>
      </w:r>
    </w:p>
    <w:p>
      <w:pPr>
        <w:pStyle w:val="ListParagraph"/>
        <w:numPr>
          <w:ilvl w:val="0"/>
          <w:numId w:val="2"/>
        </w:numPr>
        <w:spacing w:before="40" w:after="40"/>
      </w:pPr>
      <w:r>
        <w:rPr>
          <w:rFonts w:ascii="Arial" w:cs="Arial" w:eastAsia="Arial" w:hAnsi="Arial"/>
          <w:sz w:val="22"/>
          <w:szCs w:val="22"/>
        </w:rPr>
        <w:t xml:space="preserve">Monitors transactions for unusual patterns or anomalies.</w:t>
      </w:r>
    </w:p>
    <w:p>
      <w:pPr>
        <w:pStyle w:val="ListParagraph"/>
        <w:numPr>
          <w:ilvl w:val="0"/>
          <w:numId w:val="2"/>
        </w:numPr>
        <w:spacing w:before="40" w:after="40"/>
      </w:pPr>
      <w:r>
        <w:rPr>
          <w:rFonts w:ascii="Arial" w:cs="Arial" w:eastAsia="Arial" w:hAnsi="Arial"/>
          <w:sz w:val="22"/>
          <w:szCs w:val="22"/>
        </w:rPr>
        <w:t xml:space="preserve">Reports any suspected irregularities to the Executive Director immediately.</w:t>
      </w:r>
    </w:p>
    <w:p>
      <w:pPr>
        <w:pStyle w:val="ListParagraph"/>
        <w:numPr>
          <w:ilvl w:val="0"/>
          <w:numId w:val="2"/>
        </w:numPr>
        <w:spacing w:before="40" w:after="40"/>
      </w:pPr>
      <w:r>
        <w:rPr>
          <w:rFonts w:ascii="Arial" w:cs="Arial" w:eastAsia="Arial" w:hAnsi="Arial"/>
          <w:sz w:val="22"/>
          <w:szCs w:val="22"/>
        </w:rPr>
        <w:t xml:space="preserve">Ensures all financial records are accurate, complete and securely maintained.</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5.4 All Staff, Consultants &amp; Board Members</w:t>
      </w:r>
    </w:p>
    <w:p>
      <w:pPr>
        <w:pStyle w:val="ListParagraph"/>
        <w:numPr>
          <w:ilvl w:val="0"/>
          <w:numId w:val="2"/>
        </w:numPr>
        <w:spacing w:before="40" w:after="40"/>
      </w:pPr>
      <w:r>
        <w:rPr>
          <w:rFonts w:ascii="Arial" w:cs="Arial" w:eastAsia="Arial" w:hAnsi="Arial"/>
          <w:sz w:val="22"/>
          <w:szCs w:val="22"/>
        </w:rPr>
        <w:t xml:space="preserve">Act with integrity and in accordance with this policy at all times.</w:t>
      </w:r>
    </w:p>
    <w:p>
      <w:pPr>
        <w:pStyle w:val="ListParagraph"/>
        <w:numPr>
          <w:ilvl w:val="0"/>
          <w:numId w:val="2"/>
        </w:numPr>
        <w:spacing w:before="40" w:after="40"/>
      </w:pPr>
      <w:r>
        <w:rPr>
          <w:rFonts w:ascii="Arial" w:cs="Arial" w:eastAsia="Arial" w:hAnsi="Arial"/>
          <w:sz w:val="22"/>
          <w:szCs w:val="22"/>
        </w:rPr>
        <w:t xml:space="preserve">Report any suspected fraud, corruption or financial misconduct promptly.</w:t>
      </w:r>
    </w:p>
    <w:p>
      <w:pPr>
        <w:pStyle w:val="ListParagraph"/>
        <w:numPr>
          <w:ilvl w:val="0"/>
          <w:numId w:val="2"/>
        </w:numPr>
        <w:spacing w:before="40" w:after="40"/>
      </w:pPr>
      <w:r>
        <w:rPr>
          <w:rFonts w:ascii="Arial" w:cs="Arial" w:eastAsia="Arial" w:hAnsi="Arial"/>
          <w:sz w:val="22"/>
          <w:szCs w:val="22"/>
        </w:rPr>
        <w:t xml:space="preserve">Cooperate fully with any investigation conducted under this policy.</w:t>
      </w:r>
    </w:p>
    <w:p>
      <w:pPr>
        <w:pStyle w:val="ListParagraph"/>
        <w:numPr>
          <w:ilvl w:val="0"/>
          <w:numId w:val="2"/>
        </w:numPr>
        <w:spacing w:before="40" w:after="40"/>
      </w:pPr>
      <w:r>
        <w:rPr>
          <w:rFonts w:ascii="Arial" w:cs="Arial" w:eastAsia="Arial" w:hAnsi="Arial"/>
          <w:sz w:val="22"/>
          <w:szCs w:val="22"/>
        </w:rPr>
        <w:t xml:space="preserve">Disclose any actual or potential conflict of interest to their line manager.</w:t>
      </w:r>
    </w:p>
    <w:p>
      <w:pPr>
        <w:pStyle w:val="ListParagraph"/>
        <w:numPr>
          <w:ilvl w:val="0"/>
          <w:numId w:val="2"/>
        </w:numPr>
        <w:spacing w:before="40" w:after="40"/>
      </w:pPr>
      <w:r>
        <w:rPr>
          <w:rFonts w:ascii="Arial" w:cs="Arial" w:eastAsia="Arial" w:hAnsi="Arial"/>
          <w:sz w:val="22"/>
          <w:szCs w:val="22"/>
        </w:rPr>
        <w:t xml:space="preserve">Refuse any gift, payment or benefit that could compromise their integrity or impartiality.</w:t>
      </w:r>
    </w:p>
    <w:p>
      <w:pPr>
        <w:pageBreakBefore/>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6. Prevention Measures</w:t>
      </w:r>
    </w:p>
    <w:p>
      <w:pPr>
        <w:spacing w:before="60" w:after="60"/>
      </w:pPr>
      <w:r>
        <w:rPr>
          <w:rFonts w:ascii="Arial" w:cs="Arial" w:eastAsia="Arial" w:hAnsi="Arial"/>
          <w:sz w:val="22"/>
          <w:szCs w:val="22"/>
        </w:rPr>
        <w:t xml:space="preserve">Stanforte Edge employs the following measures to prevent fraud and corruption:</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6.1 Financial Controls</w:t>
      </w:r>
    </w:p>
    <w:p>
      <w:pPr>
        <w:pStyle w:val="ListParagraph"/>
        <w:numPr>
          <w:ilvl w:val="0"/>
          <w:numId w:val="2"/>
        </w:numPr>
        <w:spacing w:before="40" w:after="40"/>
      </w:pPr>
      <w:r>
        <w:rPr>
          <w:rFonts w:ascii="Arial" w:cs="Arial" w:eastAsia="Arial" w:hAnsi="Arial"/>
          <w:sz w:val="22"/>
          <w:szCs w:val="22"/>
        </w:rPr>
        <w:t xml:space="preserve">Multi-party approval process for all financial transactions (see Financial Policy &amp; Procedures Manual v1.01, Section 5).</w:t>
      </w:r>
    </w:p>
    <w:p>
      <w:pPr>
        <w:pStyle w:val="ListParagraph"/>
        <w:numPr>
          <w:ilvl w:val="0"/>
          <w:numId w:val="2"/>
        </w:numPr>
        <w:spacing w:before="40" w:after="40"/>
      </w:pPr>
      <w:r>
        <w:rPr>
          <w:rFonts w:ascii="Arial" w:cs="Arial" w:eastAsia="Arial" w:hAnsi="Arial"/>
          <w:sz w:val="22"/>
          <w:szCs w:val="22"/>
        </w:rPr>
        <w:t xml:space="preserve">Board of Directors approval required for all expenditures above ₦2,000,000.</w:t>
      </w:r>
    </w:p>
    <w:p>
      <w:pPr>
        <w:pStyle w:val="ListParagraph"/>
        <w:numPr>
          <w:ilvl w:val="0"/>
          <w:numId w:val="2"/>
        </w:numPr>
        <w:spacing w:before="40" w:after="40"/>
      </w:pPr>
      <w:r>
        <w:rPr>
          <w:rFonts w:ascii="Arial" w:cs="Arial" w:eastAsia="Arial" w:hAnsi="Arial"/>
          <w:sz w:val="22"/>
          <w:szCs w:val="22"/>
        </w:rPr>
        <w:t xml:space="preserve">Segregation of duties so that no single person controls all stages of a transaction.</w:t>
      </w:r>
    </w:p>
    <w:p>
      <w:pPr>
        <w:pStyle w:val="ListParagraph"/>
        <w:numPr>
          <w:ilvl w:val="0"/>
          <w:numId w:val="2"/>
        </w:numPr>
        <w:spacing w:before="40" w:after="40"/>
      </w:pPr>
      <w:r>
        <w:rPr>
          <w:rFonts w:ascii="Arial" w:cs="Arial" w:eastAsia="Arial" w:hAnsi="Arial"/>
          <w:sz w:val="22"/>
          <w:szCs w:val="22"/>
        </w:rPr>
        <w:t xml:space="preserve">Monthly bank reconciliations reviewed by the Executive Director.</w:t>
      </w:r>
    </w:p>
    <w:p>
      <w:pPr>
        <w:pStyle w:val="ListParagraph"/>
        <w:numPr>
          <w:ilvl w:val="0"/>
          <w:numId w:val="2"/>
        </w:numPr>
        <w:spacing w:before="40" w:after="40"/>
      </w:pPr>
      <w:r>
        <w:rPr>
          <w:rFonts w:ascii="Arial" w:cs="Arial" w:eastAsia="Arial" w:hAnsi="Arial"/>
          <w:sz w:val="22"/>
          <w:szCs w:val="22"/>
        </w:rPr>
        <w:t xml:space="preserve">Restricted access to financial systems and documents.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6.2 Human Resources Controls</w:t>
      </w:r>
    </w:p>
    <w:p>
      <w:pPr>
        <w:pStyle w:val="ListParagraph"/>
        <w:numPr>
          <w:ilvl w:val="0"/>
          <w:numId w:val="2"/>
        </w:numPr>
        <w:spacing w:before="40" w:after="40"/>
      </w:pPr>
      <w:r>
        <w:rPr>
          <w:rFonts w:ascii="Arial" w:cs="Arial" w:eastAsia="Arial" w:hAnsi="Arial"/>
          <w:sz w:val="22"/>
          <w:szCs w:val="22"/>
        </w:rPr>
        <w:t xml:space="preserve">Reference and background checks conducted for all new staff and key volunteers.</w:t>
      </w:r>
    </w:p>
    <w:p>
      <w:pPr>
        <w:pStyle w:val="ListParagraph"/>
        <w:numPr>
          <w:ilvl w:val="0"/>
          <w:numId w:val="2"/>
        </w:numPr>
        <w:spacing w:before="40" w:after="40"/>
      </w:pPr>
      <w:r>
        <w:rPr>
          <w:rFonts w:ascii="Arial" w:cs="Arial" w:eastAsia="Arial" w:hAnsi="Arial"/>
          <w:sz w:val="22"/>
          <w:szCs w:val="22"/>
        </w:rPr>
        <w:t xml:space="preserve">All staff sign the Code of Conduct and this policy upon joining.</w:t>
      </w:r>
    </w:p>
    <w:p>
      <w:pPr>
        <w:pStyle w:val="ListParagraph"/>
        <w:numPr>
          <w:ilvl w:val="0"/>
          <w:numId w:val="2"/>
        </w:numPr>
        <w:spacing w:before="40" w:after="40"/>
      </w:pPr>
      <w:r>
        <w:rPr>
          <w:rFonts w:ascii="Arial" w:cs="Arial" w:eastAsia="Arial" w:hAnsi="Arial"/>
          <w:sz w:val="22"/>
          <w:szCs w:val="22"/>
        </w:rPr>
        <w:t xml:space="preserve">Conflicts of interest are declared and recorded at the point of hiring and annually thereafter.</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6.3 Procurement Controls</w:t>
      </w:r>
    </w:p>
    <w:p>
      <w:pPr>
        <w:pStyle w:val="ListParagraph"/>
        <w:numPr>
          <w:ilvl w:val="0"/>
          <w:numId w:val="2"/>
        </w:numPr>
        <w:spacing w:before="40" w:after="40"/>
      </w:pPr>
      <w:r>
        <w:rPr>
          <w:rFonts w:ascii="Arial" w:cs="Arial" w:eastAsia="Arial" w:hAnsi="Arial"/>
          <w:sz w:val="22"/>
          <w:szCs w:val="22"/>
        </w:rPr>
        <w:t xml:space="preserve">Competitive quotations obtained for significant purchases.</w:t>
      </w:r>
    </w:p>
    <w:p>
      <w:pPr>
        <w:pStyle w:val="ListParagraph"/>
        <w:numPr>
          <w:ilvl w:val="0"/>
          <w:numId w:val="2"/>
        </w:numPr>
        <w:spacing w:before="40" w:after="40"/>
      </w:pPr>
      <w:r>
        <w:rPr>
          <w:rFonts w:ascii="Arial" w:cs="Arial" w:eastAsia="Arial" w:hAnsi="Arial"/>
          <w:sz w:val="22"/>
          <w:szCs w:val="22"/>
        </w:rPr>
        <w:t xml:space="preserve">Procurement decisions documented and free from conflicts of interest.</w:t>
      </w:r>
    </w:p>
    <w:p>
      <w:pPr>
        <w:pStyle w:val="ListParagraph"/>
        <w:numPr>
          <w:ilvl w:val="0"/>
          <w:numId w:val="2"/>
        </w:numPr>
        <w:spacing w:before="40" w:after="40"/>
      </w:pPr>
      <w:r>
        <w:rPr>
          <w:rFonts w:ascii="Arial" w:cs="Arial" w:eastAsia="Arial" w:hAnsi="Arial"/>
          <w:sz w:val="22"/>
          <w:szCs w:val="22"/>
        </w:rPr>
        <w:t xml:space="preserve">Vendor due diligence conducted for significant or recurring suppliers.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6.4 Donor Fund Controls</w:t>
      </w:r>
    </w:p>
    <w:p>
      <w:pPr>
        <w:pStyle w:val="ListParagraph"/>
        <w:numPr>
          <w:ilvl w:val="0"/>
          <w:numId w:val="2"/>
        </w:numPr>
        <w:spacing w:before="40" w:after="40"/>
      </w:pPr>
      <w:r>
        <w:rPr>
          <w:rFonts w:ascii="Arial" w:cs="Arial" w:eastAsia="Arial" w:hAnsi="Arial"/>
          <w:sz w:val="22"/>
          <w:szCs w:val="22"/>
        </w:rPr>
        <w:t xml:space="preserve">Donor funds managed in dedicated project accounts where required.</w:t>
      </w:r>
    </w:p>
    <w:p>
      <w:pPr>
        <w:pStyle w:val="ListParagraph"/>
        <w:numPr>
          <w:ilvl w:val="0"/>
          <w:numId w:val="2"/>
        </w:numPr>
        <w:spacing w:before="40" w:after="40"/>
      </w:pPr>
      <w:r>
        <w:rPr>
          <w:rFonts w:ascii="Arial" w:cs="Arial" w:eastAsia="Arial" w:hAnsi="Arial"/>
          <w:sz w:val="22"/>
          <w:szCs w:val="22"/>
        </w:rPr>
        <w:t xml:space="preserve">Expenditure against donor funds pre-approved and aligned with grant budgets.</w:t>
      </w:r>
    </w:p>
    <w:p>
      <w:pPr>
        <w:pStyle w:val="ListParagraph"/>
        <w:numPr>
          <w:ilvl w:val="0"/>
          <w:numId w:val="2"/>
        </w:numPr>
        <w:spacing w:before="40" w:after="40"/>
      </w:pPr>
      <w:r>
        <w:rPr>
          <w:rFonts w:ascii="Arial" w:cs="Arial" w:eastAsia="Arial" w:hAnsi="Arial"/>
          <w:sz w:val="22"/>
          <w:szCs w:val="22"/>
        </w:rPr>
        <w:t xml:space="preserve">Donor financial reports prepared accurately and submitted on time.</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6.5 Awareness &amp; Training</w:t>
      </w:r>
    </w:p>
    <w:p>
      <w:pPr>
        <w:pStyle w:val="ListParagraph"/>
        <w:numPr>
          <w:ilvl w:val="0"/>
          <w:numId w:val="2"/>
        </w:numPr>
        <w:spacing w:before="40" w:after="40"/>
      </w:pPr>
      <w:r>
        <w:rPr>
          <w:rFonts w:ascii="Arial" w:cs="Arial" w:eastAsia="Arial" w:hAnsi="Arial"/>
          <w:sz w:val="22"/>
          <w:szCs w:val="22"/>
        </w:rPr>
        <w:t xml:space="preserve">All staff receive orientation on this policy upon joining.</w:t>
      </w:r>
    </w:p>
    <w:p>
      <w:pPr>
        <w:pStyle w:val="ListParagraph"/>
        <w:numPr>
          <w:ilvl w:val="0"/>
          <w:numId w:val="2"/>
        </w:numPr>
        <w:spacing w:before="40" w:after="40"/>
      </w:pPr>
      <w:r>
        <w:rPr>
          <w:rFonts w:ascii="Arial" w:cs="Arial" w:eastAsia="Arial" w:hAnsi="Arial"/>
          <w:sz w:val="22"/>
          <w:szCs w:val="22"/>
        </w:rPr>
        <w:t xml:space="preserve">Regular reminders and updates on anti-fraud obligations are provided.</w:t>
      </w:r>
    </w:p>
    <w:p>
      <w:pPr>
        <w:pStyle w:val="ListParagraph"/>
        <w:numPr>
          <w:ilvl w:val="0"/>
          <w:numId w:val="2"/>
        </w:numPr>
        <w:spacing w:before="40" w:after="40"/>
      </w:pPr>
      <w:r>
        <w:rPr>
          <w:rFonts w:ascii="Arial" w:cs="Arial" w:eastAsia="Arial" w:hAnsi="Arial"/>
          <w:sz w:val="22"/>
          <w:szCs w:val="22"/>
        </w:rPr>
        <w:t xml:space="preserve">Finance staff receive specific training on fraud detection and controls.</w:t>
      </w:r>
    </w:p>
    <w:p>
      <w:pPr>
        <w:pageBreakBefore/>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7. Reporting Suspected Fraud or Corruption</w:t>
      </w:r>
    </w:p>
    <w:p>
      <w:pPr>
        <w:spacing w:before="60" w:after="60"/>
      </w:pPr>
      <w:r>
        <w:rPr>
          <w:rFonts w:ascii="Arial" w:cs="Arial" w:eastAsia="Arial" w:hAnsi="Arial"/>
          <w:sz w:val="22"/>
          <w:szCs w:val="22"/>
        </w:rPr>
        <w:t xml:space="preserve">Stanforte Edge encourages all individuals to report any genuine concern about fraud, corruption or financial misconduct. Reports can be made through the following channels: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Reporting Channel</w:t>
            </w:r>
          </w:p>
        </w:tc>
        <w:tc>
          <w:tcPr>
            <w:tcW w:type="dxa" w:w="6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Contact / Method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Line Manager</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 the first instance, unless the line manager is implicated.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Executive Director</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For all significant concerns, or where the line manager is implicated.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Board of Directors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Where the Executive Director is implicated, or where the concern is of the highest severity.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Confidential Email</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 dedicated reporting email address to be communicated to all staff.</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Donor / Partner</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Where required by grant agreement, report directly to the relevant donor.</w:t>
            </w:r>
          </w:p>
        </w:tc>
      </w:tr>
    </w:tbl>
    <w:p>
      <w:pPr>
        <w:spacing w:before="60" w:after="60"/>
      </w:pPr>
      <w:r>
        <w:t xml:space="preserve"/>
      </w:r>
    </w:p>
    <w:p>
      <w:pPr>
        <w:spacing w:before="60" w:after="60"/>
      </w:pPr>
      <w:r>
        <w:rPr>
          <w:rFonts w:ascii="Arial" w:cs="Arial" w:eastAsia="Arial" w:hAnsi="Arial"/>
          <w:sz w:val="22"/>
          <w:szCs w:val="22"/>
        </w:rPr>
        <w:t xml:space="preserve">Reports should include as much detail as possible: the nature of the concern, persons involved, dates, amounts, and any supporting evidence available. Anonymous reports are accepted, though named reports assist investigation.</w:t>
      </w:r>
    </w:p>
    <w:p>
      <w:pPr>
        <w:pageBreakBefore/>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8. Whistleblower Protection</w:t>
      </w:r>
    </w:p>
    <w:p>
      <w:pPr>
        <w:spacing w:before="60" w:after="60"/>
      </w:pPr>
      <w:r>
        <w:rPr>
          <w:rFonts w:ascii="Arial" w:cs="Arial" w:eastAsia="Arial" w:hAnsi="Arial"/>
          <w:sz w:val="22"/>
          <w:szCs w:val="22"/>
        </w:rPr>
        <w:t xml:space="preserve">Stanforte Edge is committed to protecting individuals who raise genuine concerns about fraud or corruption in good faith. The following protections apply:</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No person who makes a good-faith report under this policy will face retaliation, harassment, demotion, dismissal or any other adverse treatment as a result of making that report.</w:t>
      </w:r>
    </w:p>
    <w:p>
      <w:pPr>
        <w:pStyle w:val="ListParagraph"/>
        <w:numPr>
          <w:ilvl w:val="0"/>
          <w:numId w:val="2"/>
        </w:numPr>
        <w:spacing w:before="40" w:after="40"/>
      </w:pPr>
      <w:r>
        <w:rPr>
          <w:rFonts w:ascii="Arial" w:cs="Arial" w:eastAsia="Arial" w:hAnsi="Arial"/>
          <w:sz w:val="22"/>
          <w:szCs w:val="22"/>
        </w:rPr>
        <w:t xml:space="preserve">The identity of the reporter will be kept confidential to the extent possible within the constraints of a fair investigation.</w:t>
      </w:r>
    </w:p>
    <w:p>
      <w:pPr>
        <w:pStyle w:val="ListParagraph"/>
        <w:numPr>
          <w:ilvl w:val="0"/>
          <w:numId w:val="2"/>
        </w:numPr>
        <w:spacing w:before="40" w:after="40"/>
      </w:pPr>
      <w:r>
        <w:rPr>
          <w:rFonts w:ascii="Arial" w:cs="Arial" w:eastAsia="Arial" w:hAnsi="Arial"/>
          <w:sz w:val="22"/>
          <w:szCs w:val="22"/>
        </w:rPr>
        <w:t xml:space="preserve">Any person found to have victimised a whistleblower will face disciplinary action.</w:t>
      </w:r>
    </w:p>
    <w:p>
      <w:pPr>
        <w:pStyle w:val="ListParagraph"/>
        <w:numPr>
          <w:ilvl w:val="0"/>
          <w:numId w:val="2"/>
        </w:numPr>
        <w:spacing w:before="40" w:after="40"/>
      </w:pPr>
      <w:r>
        <w:rPr>
          <w:rFonts w:ascii="Arial" w:cs="Arial" w:eastAsia="Arial" w:hAnsi="Arial"/>
          <w:sz w:val="22"/>
          <w:szCs w:val="22"/>
        </w:rPr>
        <w:t xml:space="preserve">Knowingly making a false or malicious report is itself a disciplinary offence.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single" w:color="C00000" w:sz="4"/>
              <w:right w:val="single" w:color="C00000" w:sz="4"/>
            </w:tcBorders>
            <w:shd w:fill="FFF2F2" w:val="clear"/>
            <w:tcMar>
              <w:top w:type="dxa" w:w="120"/>
              <w:left w:type="dxa" w:w="200"/>
              <w:bottom w:type="dxa" w:w="120"/>
              <w:right w:type="dxa" w:w="140"/>
            </w:tcMar>
          </w:tcPr>
          <w:p>
            <w:r>
              <w:rPr>
                <w:rFonts w:ascii="Arial" w:cs="Arial" w:eastAsia="Arial" w:hAnsi="Arial"/>
                <w:b/>
                <w:bCs/>
                <w:color w:val="C00000"/>
                <w:sz w:val="21"/>
                <w:szCs w:val="21"/>
              </w:rPr>
              <w:t xml:space="preserve">Retaliation against any person making a good-faith report under this policy is strictly prohibited and will itself constitute a disciplinary offence.</w:t>
            </w:r>
          </w:p>
        </w:tc>
      </w:tr>
    </w:tbl>
    <w:p>
      <w:pPr>
        <w:pageBreakBefore/>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9. Investigation Procedure</w:t>
      </w:r>
    </w:p>
    <w:p>
      <w:pPr>
        <w:spacing w:before="60" w:after="60"/>
      </w:pPr>
      <w:r>
        <w:rPr>
          <w:rFonts w:ascii="Arial" w:cs="Arial" w:eastAsia="Arial" w:hAnsi="Arial"/>
          <w:sz w:val="22"/>
          <w:szCs w:val="22"/>
        </w:rPr>
        <w:t xml:space="preserve">All reports of suspected fraud or corruption will be taken seriously and investigated promptly, fairly and confidentially. The following process applies: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9.1 Initial Assessment</w:t>
      </w:r>
    </w:p>
    <w:p>
      <w:pPr>
        <w:pStyle w:val="ListParagraph"/>
        <w:numPr>
          <w:ilvl w:val="0"/>
          <w:numId w:val="3"/>
        </w:numPr>
        <w:spacing w:before="40" w:after="40"/>
      </w:pPr>
      <w:r>
        <w:rPr>
          <w:rFonts w:ascii="Arial" w:cs="Arial" w:eastAsia="Arial" w:hAnsi="Arial"/>
          <w:sz w:val="22"/>
          <w:szCs w:val="22"/>
        </w:rPr>
        <w:t xml:space="preserve">Upon receipt of a report, the Executive Director (or Board of Directors if the ED is implicated) conducts an initial assessment within 5 working days.</w:t>
      </w:r>
    </w:p>
    <w:p>
      <w:pPr>
        <w:pStyle w:val="ListParagraph"/>
        <w:numPr>
          <w:ilvl w:val="0"/>
          <w:numId w:val="3"/>
        </w:numPr>
        <w:spacing w:before="40" w:after="40"/>
      </w:pPr>
      <w:r>
        <w:rPr>
          <w:rFonts w:ascii="Arial" w:cs="Arial" w:eastAsia="Arial" w:hAnsi="Arial"/>
          <w:sz w:val="22"/>
          <w:szCs w:val="22"/>
        </w:rPr>
        <w:t xml:space="preserve">A determination is made as to whether a formal investigation is warranted.</w:t>
      </w:r>
    </w:p>
    <w:p>
      <w:pPr>
        <w:pStyle w:val="ListParagraph"/>
        <w:numPr>
          <w:ilvl w:val="0"/>
          <w:numId w:val="3"/>
        </w:numPr>
        <w:spacing w:before="40" w:after="40"/>
      </w:pPr>
      <w:r>
        <w:rPr>
          <w:rFonts w:ascii="Arial" w:cs="Arial" w:eastAsia="Arial" w:hAnsi="Arial"/>
          <w:sz w:val="22"/>
          <w:szCs w:val="22"/>
        </w:rPr>
        <w:t xml:space="preserve">If warranted, an investigating officer is appointed who is independent of the matter under review.</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9.2 Investigation</w:t>
      </w:r>
    </w:p>
    <w:p>
      <w:pPr>
        <w:pStyle w:val="ListParagraph"/>
        <w:numPr>
          <w:ilvl w:val="0"/>
          <w:numId w:val="3"/>
        </w:numPr>
        <w:spacing w:before="40" w:after="40"/>
      </w:pPr>
      <w:r>
        <w:rPr>
          <w:rFonts w:ascii="Arial" w:cs="Arial" w:eastAsia="Arial" w:hAnsi="Arial"/>
          <w:sz w:val="22"/>
          <w:szCs w:val="22"/>
        </w:rPr>
        <w:t xml:space="preserve">The investigating officer gathers and reviews all relevant evidence: financial records, documents, systems, and witness accounts.</w:t>
      </w:r>
    </w:p>
    <w:p>
      <w:pPr>
        <w:pStyle w:val="ListParagraph"/>
        <w:numPr>
          <w:ilvl w:val="0"/>
          <w:numId w:val="3"/>
        </w:numPr>
        <w:spacing w:before="40" w:after="40"/>
      </w:pPr>
      <w:r>
        <w:rPr>
          <w:rFonts w:ascii="Arial" w:cs="Arial" w:eastAsia="Arial" w:hAnsi="Arial"/>
          <w:sz w:val="22"/>
          <w:szCs w:val="22"/>
        </w:rPr>
        <w:t xml:space="preserve">The person under investigation is informed of the allegation and given a fair opportunity to respond.</w:t>
      </w:r>
    </w:p>
    <w:p>
      <w:pPr>
        <w:pStyle w:val="ListParagraph"/>
        <w:numPr>
          <w:ilvl w:val="0"/>
          <w:numId w:val="3"/>
        </w:numPr>
        <w:spacing w:before="40" w:after="40"/>
      </w:pPr>
      <w:r>
        <w:rPr>
          <w:rFonts w:ascii="Arial" w:cs="Arial" w:eastAsia="Arial" w:hAnsi="Arial"/>
          <w:sz w:val="22"/>
          <w:szCs w:val="22"/>
        </w:rPr>
        <w:t xml:space="preserve">All investigation proceedings are treated as strictly confidential.</w:t>
      </w:r>
    </w:p>
    <w:p>
      <w:pPr>
        <w:pStyle w:val="ListParagraph"/>
        <w:numPr>
          <w:ilvl w:val="0"/>
          <w:numId w:val="3"/>
        </w:numPr>
        <w:spacing w:before="40" w:after="40"/>
      </w:pPr>
      <w:r>
        <w:rPr>
          <w:rFonts w:ascii="Arial" w:cs="Arial" w:eastAsia="Arial" w:hAnsi="Arial"/>
          <w:sz w:val="22"/>
          <w:szCs w:val="22"/>
        </w:rPr>
        <w:t xml:space="preserve">The investigation is completed within a reasonable timeframe, typically 30 working days.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9.3 Findings &amp; Action</w:t>
      </w:r>
    </w:p>
    <w:p>
      <w:pPr>
        <w:pStyle w:val="ListParagraph"/>
        <w:numPr>
          <w:ilvl w:val="0"/>
          <w:numId w:val="3"/>
        </w:numPr>
        <w:spacing w:before="40" w:after="40"/>
      </w:pPr>
      <w:r>
        <w:rPr>
          <w:rFonts w:ascii="Arial" w:cs="Arial" w:eastAsia="Arial" w:hAnsi="Arial"/>
          <w:sz w:val="22"/>
          <w:szCs w:val="22"/>
        </w:rPr>
        <w:t xml:space="preserve">A written investigation report is prepared and submitted to the Executive Director and Board of Directors.</w:t>
      </w:r>
    </w:p>
    <w:p>
      <w:pPr>
        <w:pStyle w:val="ListParagraph"/>
        <w:numPr>
          <w:ilvl w:val="0"/>
          <w:numId w:val="3"/>
        </w:numPr>
        <w:spacing w:before="40" w:after="40"/>
      </w:pPr>
      <w:r>
        <w:rPr>
          <w:rFonts w:ascii="Arial" w:cs="Arial" w:eastAsia="Arial" w:hAnsi="Arial"/>
          <w:sz w:val="22"/>
          <w:szCs w:val="22"/>
        </w:rPr>
        <w:t xml:space="preserve">Where fraud or corruption is substantiated, disciplinary action is taken in accordance with the organisation’s HR policy.</w:t>
      </w:r>
    </w:p>
    <w:p>
      <w:pPr>
        <w:pStyle w:val="ListParagraph"/>
        <w:numPr>
          <w:ilvl w:val="0"/>
          <w:numId w:val="3"/>
        </w:numPr>
        <w:spacing w:before="40" w:after="40"/>
      </w:pPr>
      <w:r>
        <w:rPr>
          <w:rFonts w:ascii="Arial" w:cs="Arial" w:eastAsia="Arial" w:hAnsi="Arial"/>
          <w:sz w:val="22"/>
          <w:szCs w:val="22"/>
        </w:rPr>
        <w:t xml:space="preserve">Significant cases are reported to the relevant authorities (police, EFCC, ICPC) as appropriate.</w:t>
      </w:r>
    </w:p>
    <w:p>
      <w:pPr>
        <w:pStyle w:val="ListParagraph"/>
        <w:numPr>
          <w:ilvl w:val="0"/>
          <w:numId w:val="3"/>
        </w:numPr>
        <w:spacing w:before="40" w:after="40"/>
      </w:pPr>
      <w:r>
        <w:rPr>
          <w:rFonts w:ascii="Arial" w:cs="Arial" w:eastAsia="Arial" w:hAnsi="Arial"/>
          <w:sz w:val="22"/>
          <w:szCs w:val="22"/>
        </w:rPr>
        <w:t xml:space="preserve">Where donor funds are involved, the relevant donor is notified as required by the grant agreement.</w:t>
      </w:r>
    </w:p>
    <w:p>
      <w:pPr>
        <w:pStyle w:val="ListParagraph"/>
        <w:numPr>
          <w:ilvl w:val="0"/>
          <w:numId w:val="3"/>
        </w:numPr>
        <w:spacing w:before="40" w:after="40"/>
      </w:pPr>
      <w:r>
        <w:rPr>
          <w:rFonts w:ascii="Arial" w:cs="Arial" w:eastAsia="Arial" w:hAnsi="Arial"/>
          <w:sz w:val="22"/>
          <w:szCs w:val="22"/>
        </w:rPr>
        <w:t xml:space="preserve">Recovery of misappropriated funds is pursued where possible.</w:t>
      </w:r>
    </w:p>
    <w:p>
      <w:pPr>
        <w:pStyle w:val="ListParagraph"/>
        <w:numPr>
          <w:ilvl w:val="0"/>
          <w:numId w:val="3"/>
        </w:numPr>
        <w:spacing w:before="40" w:after="40"/>
      </w:pPr>
      <w:r>
        <w:rPr>
          <w:rFonts w:ascii="Arial" w:cs="Arial" w:eastAsia="Arial" w:hAnsi="Arial"/>
          <w:sz w:val="22"/>
          <w:szCs w:val="22"/>
        </w:rPr>
        <w:t xml:space="preserve">Corrective measures are implemented to prevent recurrence.</w:t>
      </w:r>
    </w:p>
    <w:p>
      <w:pPr>
        <w:pageBreakBefore/>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10. Consequences of Breach</w:t>
      </w:r>
    </w:p>
    <w:p>
      <w:pPr>
        <w:spacing w:before="60" w:after="60"/>
      </w:pPr>
      <w:r>
        <w:rPr>
          <w:rFonts w:ascii="Arial" w:cs="Arial" w:eastAsia="Arial" w:hAnsi="Arial"/>
          <w:sz w:val="22"/>
          <w:szCs w:val="22"/>
        </w:rPr>
        <w:t xml:space="preserve">Any person found to have committed fraud or corruption, or to have breached this policy, will face consequences proportionate to the severity of the breach:</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Formal written warning</w:t>
      </w:r>
    </w:p>
    <w:p>
      <w:pPr>
        <w:pStyle w:val="ListParagraph"/>
        <w:numPr>
          <w:ilvl w:val="0"/>
          <w:numId w:val="2"/>
        </w:numPr>
        <w:spacing w:before="40" w:after="40"/>
      </w:pPr>
      <w:r>
        <w:rPr>
          <w:rFonts w:ascii="Arial" w:cs="Arial" w:eastAsia="Arial" w:hAnsi="Arial"/>
          <w:sz w:val="22"/>
          <w:szCs w:val="22"/>
        </w:rPr>
        <w:t xml:space="preserve">Suspension pending investigation</w:t>
      </w:r>
    </w:p>
    <w:p>
      <w:pPr>
        <w:pStyle w:val="ListParagraph"/>
        <w:numPr>
          <w:ilvl w:val="0"/>
          <w:numId w:val="2"/>
        </w:numPr>
        <w:spacing w:before="40" w:after="40"/>
      </w:pPr>
      <w:r>
        <w:rPr>
          <w:rFonts w:ascii="Arial" w:cs="Arial" w:eastAsia="Arial" w:hAnsi="Arial"/>
          <w:sz w:val="22"/>
          <w:szCs w:val="22"/>
        </w:rPr>
        <w:t xml:space="preserve">Termination of employment or contract</w:t>
      </w:r>
    </w:p>
    <w:p>
      <w:pPr>
        <w:pStyle w:val="ListParagraph"/>
        <w:numPr>
          <w:ilvl w:val="0"/>
          <w:numId w:val="2"/>
        </w:numPr>
        <w:spacing w:before="40" w:after="40"/>
      </w:pPr>
      <w:r>
        <w:rPr>
          <w:rFonts w:ascii="Arial" w:cs="Arial" w:eastAsia="Arial" w:hAnsi="Arial"/>
          <w:sz w:val="22"/>
          <w:szCs w:val="22"/>
        </w:rPr>
        <w:t xml:space="preserve">Recovery of misappropriated funds through legal means</w:t>
      </w:r>
    </w:p>
    <w:p>
      <w:pPr>
        <w:pStyle w:val="ListParagraph"/>
        <w:numPr>
          <w:ilvl w:val="0"/>
          <w:numId w:val="2"/>
        </w:numPr>
        <w:spacing w:before="40" w:after="40"/>
      </w:pPr>
      <w:r>
        <w:rPr>
          <w:rFonts w:ascii="Arial" w:cs="Arial" w:eastAsia="Arial" w:hAnsi="Arial"/>
          <w:sz w:val="22"/>
          <w:szCs w:val="22"/>
        </w:rPr>
        <w:t xml:space="preserve">Referral to law enforcement authorities (including the EFCC or ICPC)</w:t>
      </w:r>
    </w:p>
    <w:p>
      <w:pPr>
        <w:pStyle w:val="ListParagraph"/>
        <w:numPr>
          <w:ilvl w:val="0"/>
          <w:numId w:val="2"/>
        </w:numPr>
        <w:spacing w:before="40" w:after="40"/>
      </w:pPr>
      <w:r>
        <w:rPr>
          <w:rFonts w:ascii="Arial" w:cs="Arial" w:eastAsia="Arial" w:hAnsi="Arial"/>
          <w:sz w:val="22"/>
          <w:szCs w:val="22"/>
        </w:rPr>
        <w:t xml:space="preserve">Notification to relevant donors or partners</w:t>
      </w:r>
    </w:p>
    <w:p>
      <w:pPr>
        <w:spacing w:before="60" w:after="60"/>
      </w:pPr>
      <w:r>
        <w:t xml:space="preserve"/>
      </w:r>
    </w:p>
    <w:p>
      <w:pPr>
        <w:spacing w:before="60" w:after="60"/>
      </w:pPr>
      <w:r>
        <w:rPr>
          <w:rFonts w:ascii="Arial" w:cs="Arial" w:eastAsia="Arial" w:hAnsi="Arial"/>
          <w:sz w:val="22"/>
          <w:szCs w:val="22"/>
        </w:rPr>
        <w:t xml:space="preserve">These consequences apply regardless of seniority, length of service, or role within the organisation.</w:t>
      </w:r>
    </w:p>
    <w:p>
      <w:pPr>
        <w:pageBreakBefore/>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11. Conflict of Interest</w:t>
      </w:r>
    </w:p>
    <w:p>
      <w:pPr>
        <w:spacing w:before="60" w:after="60"/>
      </w:pPr>
      <w:r>
        <w:rPr>
          <w:rFonts w:ascii="Arial" w:cs="Arial" w:eastAsia="Arial" w:hAnsi="Arial"/>
          <w:sz w:val="22"/>
          <w:szCs w:val="22"/>
        </w:rPr>
        <w:t xml:space="preserve">All Board members, staff and consultants must disclose any actual, potential or perceived conflict of interest to their line manager or the Executive Director as soon as it arises. Conflicts of interest include but are not limited to:</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A personal or financial interest in a vendor, supplier or partner organisation</w:t>
      </w:r>
    </w:p>
    <w:p>
      <w:pPr>
        <w:pStyle w:val="ListParagraph"/>
        <w:numPr>
          <w:ilvl w:val="0"/>
          <w:numId w:val="2"/>
        </w:numPr>
        <w:spacing w:before="40" w:after="40"/>
      </w:pPr>
      <w:r>
        <w:rPr>
          <w:rFonts w:ascii="Arial" w:cs="Arial" w:eastAsia="Arial" w:hAnsi="Arial"/>
          <w:sz w:val="22"/>
          <w:szCs w:val="22"/>
        </w:rPr>
        <w:t xml:space="preserve">A family or close personal relationship with a vendor, candidate for employment, or beneficiary</w:t>
      </w:r>
    </w:p>
    <w:p>
      <w:pPr>
        <w:pStyle w:val="ListParagraph"/>
        <w:numPr>
          <w:ilvl w:val="0"/>
          <w:numId w:val="2"/>
        </w:numPr>
        <w:spacing w:before="40" w:after="40"/>
      </w:pPr>
      <w:r>
        <w:rPr>
          <w:rFonts w:ascii="Arial" w:cs="Arial" w:eastAsia="Arial" w:hAnsi="Arial"/>
          <w:sz w:val="22"/>
          <w:szCs w:val="22"/>
        </w:rPr>
        <w:t xml:space="preserve">A secondary employment or business activity that conflicts with organisational duties</w:t>
      </w:r>
    </w:p>
    <w:p>
      <w:pPr>
        <w:pStyle w:val="ListParagraph"/>
        <w:numPr>
          <w:ilvl w:val="0"/>
          <w:numId w:val="2"/>
        </w:numPr>
        <w:spacing w:before="40" w:after="40"/>
      </w:pPr>
      <w:r>
        <w:rPr>
          <w:rFonts w:ascii="Arial" w:cs="Arial" w:eastAsia="Arial" w:hAnsi="Arial"/>
          <w:sz w:val="22"/>
          <w:szCs w:val="22"/>
        </w:rPr>
        <w:t xml:space="preserve">Receipt of gifts, hospitality or benefits from parties doing business with the organisation</w:t>
      </w:r>
    </w:p>
    <w:p>
      <w:pPr>
        <w:spacing w:before="60" w:after="60"/>
      </w:pPr>
      <w:r>
        <w:t xml:space="preserve"/>
      </w:r>
    </w:p>
    <w:p>
      <w:pPr>
        <w:spacing w:before="60" w:after="60"/>
      </w:pPr>
      <w:r>
        <w:rPr>
          <w:rFonts w:ascii="Arial" w:cs="Arial" w:eastAsia="Arial" w:hAnsi="Arial"/>
          <w:sz w:val="22"/>
          <w:szCs w:val="22"/>
        </w:rPr>
        <w:t xml:space="preserve">Disclosed conflicts must be recorded in the Conflict of Interest Register maintained by the Executive Director. The person with the conflict must recuse themselves from any related decision-making process.</w:t>
      </w:r>
    </w:p>
    <w:p>
      <w:pPr>
        <w:pageBreakBefore/>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12. Gifts, Hospitality and Sponsorship</w:t>
      </w:r>
    </w:p>
    <w:p>
      <w:pPr>
        <w:spacing w:before="60" w:after="60"/>
      </w:pPr>
      <w:r>
        <w:rPr>
          <w:rFonts w:ascii="Arial" w:cs="Arial" w:eastAsia="Arial" w:hAnsi="Arial"/>
          <w:sz w:val="22"/>
          <w:szCs w:val="22"/>
        </w:rPr>
        <w:t xml:space="preserve">The acceptance or offering of gifts and hospitality can create actual or perceived conflicts of interest and must be managed carefully.</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12.1 Staff May NOT:</w:t>
      </w:r>
    </w:p>
    <w:p>
      <w:pPr>
        <w:pStyle w:val="ListParagraph"/>
        <w:numPr>
          <w:ilvl w:val="0"/>
          <w:numId w:val="2"/>
        </w:numPr>
        <w:spacing w:before="40" w:after="40"/>
      </w:pPr>
      <w:r>
        <w:rPr>
          <w:rFonts w:ascii="Arial" w:cs="Arial" w:eastAsia="Arial" w:hAnsi="Arial"/>
          <w:sz w:val="22"/>
          <w:szCs w:val="22"/>
        </w:rPr>
        <w:t xml:space="preserve">Accept gifts of cash or cash equivalents from any external party</w:t>
      </w:r>
    </w:p>
    <w:p>
      <w:pPr>
        <w:pStyle w:val="ListParagraph"/>
        <w:numPr>
          <w:ilvl w:val="0"/>
          <w:numId w:val="2"/>
        </w:numPr>
        <w:spacing w:before="40" w:after="40"/>
      </w:pPr>
      <w:r>
        <w:rPr>
          <w:rFonts w:ascii="Arial" w:cs="Arial" w:eastAsia="Arial" w:hAnsi="Arial"/>
          <w:sz w:val="22"/>
          <w:szCs w:val="22"/>
        </w:rPr>
        <w:t xml:space="preserve">Accept gifts that could reasonably be seen as influencing a business decision</w:t>
      </w:r>
    </w:p>
    <w:p>
      <w:pPr>
        <w:pStyle w:val="ListParagraph"/>
        <w:numPr>
          <w:ilvl w:val="0"/>
          <w:numId w:val="2"/>
        </w:numPr>
        <w:spacing w:before="40" w:after="40"/>
      </w:pPr>
      <w:r>
        <w:rPr>
          <w:rFonts w:ascii="Arial" w:cs="Arial" w:eastAsia="Arial" w:hAnsi="Arial"/>
          <w:sz w:val="22"/>
          <w:szCs w:val="22"/>
        </w:rPr>
        <w:t xml:space="preserve">Solicit gifts, hospitality or personal benefits from vendors, donors or beneficiaries</w:t>
      </w:r>
    </w:p>
    <w:p>
      <w:pPr>
        <w:pStyle w:val="ListParagraph"/>
        <w:numPr>
          <w:ilvl w:val="0"/>
          <w:numId w:val="2"/>
        </w:numPr>
        <w:spacing w:before="40" w:after="40"/>
      </w:pPr>
      <w:r>
        <w:rPr>
          <w:rFonts w:ascii="Arial" w:cs="Arial" w:eastAsia="Arial" w:hAnsi="Arial"/>
          <w:sz w:val="22"/>
          <w:szCs w:val="22"/>
        </w:rPr>
        <w:t xml:space="preserve">Offer gifts to government officials or donor representatives that could constitute bribery</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12.2 Staff May:</w:t>
      </w:r>
    </w:p>
    <w:p>
      <w:pPr>
        <w:pStyle w:val="ListParagraph"/>
        <w:numPr>
          <w:ilvl w:val="0"/>
          <w:numId w:val="2"/>
        </w:numPr>
        <w:spacing w:before="40" w:after="40"/>
      </w:pPr>
      <w:r>
        <w:rPr>
          <w:rFonts w:ascii="Arial" w:cs="Arial" w:eastAsia="Arial" w:hAnsi="Arial"/>
          <w:sz w:val="22"/>
          <w:szCs w:val="22"/>
        </w:rPr>
        <w:t xml:space="preserve">Accept modest, infrequent gifts of a clearly ceremonial or promotional nature (e.g. branded items) provided these are declared</w:t>
      </w:r>
    </w:p>
    <w:p>
      <w:pPr>
        <w:pStyle w:val="ListParagraph"/>
        <w:numPr>
          <w:ilvl w:val="0"/>
          <w:numId w:val="2"/>
        </w:numPr>
        <w:spacing w:before="40" w:after="40"/>
      </w:pPr>
      <w:r>
        <w:rPr>
          <w:rFonts w:ascii="Arial" w:cs="Arial" w:eastAsia="Arial" w:hAnsi="Arial"/>
          <w:sz w:val="22"/>
          <w:szCs w:val="22"/>
        </w:rPr>
        <w:t xml:space="preserve">Accept reasonable hospitality in a professional context (e.g. a working lunch) provided the value is modest</w:t>
      </w:r>
    </w:p>
    <w:p>
      <w:pPr>
        <w:spacing w:before="60" w:after="60"/>
      </w:pPr>
      <w:r>
        <w:t xml:space="preserve"/>
      </w:r>
    </w:p>
    <w:p>
      <w:pPr>
        <w:spacing w:before="60" w:after="60"/>
      </w:pPr>
      <w:r>
        <w:rPr>
          <w:rFonts w:ascii="Arial" w:cs="Arial" w:eastAsia="Arial" w:hAnsi="Arial"/>
          <w:sz w:val="22"/>
          <w:szCs w:val="22"/>
        </w:rPr>
        <w:t xml:space="preserve">All gifts received above a nominal value must be declared to HR and recorded in the Gifts Register. Where in doubt, staff must seek guidance from their line manager before accepting.</w:t>
      </w:r>
    </w:p>
    <w:p>
      <w:pPr>
        <w:pageBreakBefore/>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13. Policy Review and Approval</w:t>
      </w:r>
    </w:p>
    <w:p>
      <w:pPr>
        <w:spacing w:before="60" w:after="60"/>
      </w:pPr>
      <w:r>
        <w:rPr>
          <w:rFonts w:ascii="Arial" w:cs="Arial" w:eastAsia="Arial" w:hAnsi="Arial"/>
          <w:sz w:val="22"/>
          <w:szCs w:val="22"/>
        </w:rPr>
        <w:t xml:space="preserve">This policy is reviewed by the Board of Directors every 2 years, or earlier in the event of a significant fraud incident, change in law, or donor requirement. All amendments must be approved by the Board of Directors.</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1"/>
                <w:szCs w:val="21"/>
              </w:rPr>
              <w:t xml:space="preserve">Effective Date</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1"/>
                <w:szCs w:val="21"/>
              </w:rPr>
              <w:t xml:space="preserve">___________________________________________</w:t>
            </w:r>
          </w:p>
        </w:tc>
      </w:tr>
      <w:tr>
        <w:tc>
          <w:tcPr>
            <w:tcW w:type="dxa" w:w="35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1"/>
                <w:szCs w:val="21"/>
              </w:rPr>
              <w:t xml:space="preserve">Approved By (Board Chair)</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1"/>
                <w:szCs w:val="21"/>
              </w:rPr>
              <w:t xml:space="preserve">___________________________________________</w:t>
            </w:r>
          </w:p>
        </w:tc>
      </w:tr>
      <w:tr>
        <w:tc>
          <w:tcPr>
            <w:tcW w:type="dxa" w:w="35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1"/>
                <w:szCs w:val="21"/>
              </w:rPr>
              <w:t xml:space="preserve">Signature</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1"/>
                <w:szCs w:val="21"/>
              </w:rPr>
              <w:t xml:space="preserve">___________________________________________</w:t>
            </w:r>
          </w:p>
        </w:tc>
      </w:tr>
      <w:tr>
        <w:tc>
          <w:tcPr>
            <w:tcW w:type="dxa" w:w="35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1"/>
                <w:szCs w:val="21"/>
              </w:rPr>
              <w:t xml:space="preserve">Date of Next Review</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1"/>
                <w:szCs w:val="21"/>
              </w:rPr>
              <w:t xml:space="preserve">___________________________________________</w:t>
            </w:r>
          </w:p>
        </w:tc>
      </w:tr>
    </w:tbl>
    <w:p>
      <w:pPr>
        <w:spacing w:before="60" w:after="60"/>
      </w:pPr>
      <w:r>
        <w:t xml:space="preserve"/>
      </w:r>
    </w:p>
    <w:p>
      <w:pPr>
        <w:spacing w:before="60" w:after="60"/>
      </w:pPr>
      <w:r>
        <w:t xml:space="preserve"/>
      </w:r>
    </w:p>
    <w:p>
      <w:pPr>
        <w:jc w:val="center"/>
      </w:pPr>
      <w:r>
        <w:rPr>
          <w:rFonts w:ascii="Arial" w:cs="Arial" w:eastAsia="Arial" w:hAnsi="Arial"/>
          <w:i/>
          <w:iCs/>
          <w:color w:val="595959"/>
          <w:sz w:val="20"/>
          <w:szCs w:val="20"/>
        </w:rPr>
        <w:t xml:space="preserve">End of Document</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595959"/>
        <w:sz w:val="18"/>
        <w:szCs w:val="18"/>
      </w:rPr>
      <w:t xml:space="preserve">Confidential  |  Version 1.0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595959"/>
        <w:sz w:val="18"/>
        <w:szCs w:val="18"/>
      </w:rPr>
      <w:t xml:space="preserve">Stanforte Edge Ltd/Gte  |  Project Enable Africa</w:t>
    </w:r>
    <w:r>
      <w:rPr>
        <w:rFonts w:ascii="Arial" w:cs="Arial" w:eastAsia="Arial" w:hAnsi="Arial"/>
        <w:i/>
        <w:iCs/>
        <w:color w:val="2E75B6"/>
        <w:sz w:val="18"/>
        <w:szCs w:val="18"/>
      </w:rPr>
      <w:t xml:space="preserve">  —  Anti-Fraud &amp; Anti-Corruption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2026-03-18T11:19:16.194Z</dcterms:created>
  <dcterms:modified xsi:type="dcterms:W3CDTF">2026-03-18T11:19:16.195Z</dcterms:modified>
</cp:coreProperties>
</file>

<file path=docProps/custom.xml><?xml version="1.0" encoding="utf-8"?>
<Properties xmlns="http://schemas.openxmlformats.org/officeDocument/2006/custom-properties" xmlns:vt="http://schemas.openxmlformats.org/officeDocument/2006/docPropsVTypes"/>
</file>