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"/>
        <w:jc w:val="center"/>
      </w:pPr>
      <w:r>
        <w:rPr>
          <w:rFonts w:ascii="Verdana" w:cs="Verdana" w:eastAsia="Verdana" w:hAnsi="Verdana"/>
          <w:b/>
          <w:bCs/>
          <w:color w:val="295B18"/>
          <w:sz w:val="30"/>
          <w:szCs w:val="30"/>
        </w:rPr>
        <w:t xml:space="preserve">КОМПЛЕКСНЫЙ ОТЧЁТ</w:t>
      </w:r>
    </w:p>
    <w:p>
      <w:pPr>
        <w:spacing w:after="40"/>
        <w:jc w:val="center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по результатам обследования МТК «Лумна», ОАО «Беловежский»</w:t>
      </w:r>
    </w:p>
    <w:p>
      <w:pPr>
        <w:spacing w:after="200"/>
        <w:jc w:val="center"/>
      </w:pPr>
      <w:r>
        <w:rPr>
          <w:rFonts w:ascii="Verdana" w:cs="Verdana" w:eastAsia="Verdana" w:hAnsi="Verdana"/>
          <w:color w:val="595959"/>
          <w:sz w:val="18"/>
          <w:szCs w:val="18"/>
        </w:rPr>
        <w:t xml:space="preserve">здоровье вымени · бактериология молока · доильное оборудование · ортопедия · производственные показатели</w:t>
      </w:r>
    </w:p>
    <w:tbl>
      <w:tblPr>
        <w:tblW w:type="dxa" w:w="1091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00"/>
        <w:gridCol w:w="7815"/>
      </w:tblGrid>
      <w:tr>
        <w:trPr>
          <w:cantSplit/>
          <w:tblHeader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Показатель</w:t>
            </w:r>
          </w:p>
        </w:tc>
        <w:tc>
          <w:tcPr>
            <w:tcW w:type="dxa" w:w="7815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Хозяйство / объект</w:t>
            </w:r>
          </w:p>
        </w:tc>
        <w:tc>
          <w:tcPr>
            <w:tcW w:type="dxa" w:w="78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ОАО «Беловежский», отделение Рясна, МТК «Лумна» (в актах — «Лумно»), Каменецкий р-н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Поголовье</w:t>
            </w:r>
          </w:p>
        </w:tc>
        <w:tc>
          <w:tcPr>
            <w:tcW w:type="dxa" w:w="78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дойных — 331 гол. (26.09.2026) / 333 гол. (23.09.2026); коров всего на конец сентября — 506 гол.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Обследование вымени</w:t>
            </w:r>
          </w:p>
        </w:tc>
        <w:tc>
          <w:tcPr>
            <w:tcW w:type="dxa" w:w="78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26.09.2026 — экспресс-тест на субклинический мастит + клинический осмотр; 5 секций, в т.ч. секция «антибиотики» (66 гол.)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Бактериология</w:t>
            </w:r>
          </w:p>
        </w:tc>
        <w:tc>
          <w:tcPr>
            <w:tcW w:type="dxa" w:w="78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протокол № 26/Х5213(6)16202 от 01.10.2026: 6 проб молока, посев, антибиотикограмма, ПЦР (стрептококки, микоплазмы)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Доильное оборудование</w:t>
            </w:r>
          </w:p>
        </w:tc>
        <w:tc>
          <w:tcPr>
            <w:tcW w:type="dxa" w:w="78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30.09.2026 — диагностика доильного зала «Майстар» 2×14, нижняя эвакуация молока; качество промывки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Ортопедия</w:t>
            </w:r>
          </w:p>
        </w:tc>
        <w:tc>
          <w:tcPr>
            <w:tcW w:type="dxa" w:w="78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23.09.2026 — оценка походки (шкала 0–4) всех 333 дойных коров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Производственные данные</w:t>
            </w:r>
          </w:p>
        </w:tc>
        <w:tc>
          <w:tcPr>
            <w:tcW w:type="dxa" w:w="7815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«Анализ работы МТФ» за январь–сентябрь 2026 г. в сравнении с 2025 г.</w:t>
            </w:r>
          </w:p>
        </w:tc>
      </w:tr>
    </w:tbl>
    <w:p>
      <w:pPr>
        <w:spacing w:after="160"/>
      </w:pPr>
    </w:p>
    <w:tbl>
      <w:tblPr>
        <w:tblW w:type="dxa" w:w="1091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87"/>
        <w:gridCol w:w="120"/>
        <w:gridCol w:w="2087"/>
        <w:gridCol w:w="120"/>
        <w:gridCol w:w="2087"/>
        <w:gridCol w:w="120"/>
        <w:gridCol w:w="2087"/>
        <w:gridCol w:w="120"/>
        <w:gridCol w:w="2087"/>
      </w:tblGrid>
      <w:tr>
        <w:trPr>
          <w:cantSplit/>
        </w:trPr>
        <w:tc>
          <w:tcPr>
            <w:tcW w:type="dxa" w:w="2087"/>
            <w:tcBorders>
              <w:top w:val="none" w:color="FFFFFF" w:sz="0"/>
              <w:left w:val="single" w:color="B3261E" w:sz="36"/>
              <w:bottom w:val="none" w:color="FFFFFF" w:sz="0"/>
              <w:right w:val="none" w:color="FFFFFF" w:sz="0"/>
            </w:tcBorders>
            <w:shd w:fill="F0F2EC" w:color="auto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B3261E"/>
                <w:sz w:val="38"/>
                <w:szCs w:val="38"/>
              </w:rPr>
              <w:t xml:space="preserve">28,4 %</w:t>
            </w:r>
          </w:p>
          <w:p>
            <w:pPr>
              <w:spacing w:before="40"/>
            </w:pPr>
            <w:r>
              <w:rPr>
                <w:rFonts w:ascii="Verdana" w:cs="Verdana" w:eastAsia="Verdana" w:hAnsi="Verdana"/>
                <w:b/>
                <w:bCs/>
                <w:color w:val="262626"/>
                <w:sz w:val="16"/>
                <w:szCs w:val="16"/>
              </w:rPr>
              <w:t xml:space="preserve">Мастит</w:t>
            </w:r>
          </w:p>
          <w:p>
            <w:r>
              <w:rPr>
                <w:rFonts w:ascii="Verdana" w:cs="Verdana" w:eastAsia="Verdana" w:hAnsi="Verdana"/>
                <w:color w:val="6B6B6B"/>
                <w:sz w:val="14"/>
                <w:szCs w:val="14"/>
              </w:rPr>
              <w:t xml:space="preserve">94 гол.: клин. 10 · субклин. 84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087"/>
            <w:tcBorders>
              <w:top w:val="none" w:color="FFFFFF" w:sz="0"/>
              <w:left w:val="single" w:color="B3261E" w:sz="36"/>
              <w:bottom w:val="none" w:color="FFFFFF" w:sz="0"/>
              <w:right w:val="none" w:color="FFFFFF" w:sz="0"/>
            </w:tcBorders>
            <w:shd w:fill="F0F2EC" w:color="auto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B3261E"/>
                <w:sz w:val="38"/>
                <w:szCs w:val="38"/>
              </w:rPr>
              <w:t xml:space="preserve">66 гол.</w:t>
            </w:r>
          </w:p>
          <w:p>
            <w:pPr>
              <w:spacing w:before="40"/>
            </w:pPr>
            <w:r>
              <w:rPr>
                <w:rFonts w:ascii="Verdana" w:cs="Verdana" w:eastAsia="Verdana" w:hAnsi="Verdana"/>
                <w:b/>
                <w:bCs/>
                <w:color w:val="262626"/>
                <w:sz w:val="16"/>
                <w:szCs w:val="16"/>
              </w:rPr>
              <w:t xml:space="preserve">Группа «антибиотики»</w:t>
            </w:r>
          </w:p>
          <w:p>
            <w:r>
              <w:rPr>
                <w:rFonts w:ascii="Verdana" w:cs="Verdana" w:eastAsia="Verdana" w:hAnsi="Verdana"/>
                <w:color w:val="6B6B6B"/>
                <w:sz w:val="14"/>
                <w:szCs w:val="14"/>
              </w:rPr>
              <w:t xml:space="preserve">20 % дойного стада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087"/>
            <w:tcBorders>
              <w:top w:val="none" w:color="FFFFFF" w:sz="0"/>
              <w:left w:val="single" w:color="B3261E" w:sz="36"/>
              <w:bottom w:val="none" w:color="FFFFFF" w:sz="0"/>
              <w:right w:val="none" w:color="FFFFFF" w:sz="0"/>
            </w:tcBorders>
            <w:shd w:fill="F0F2EC" w:color="auto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B3261E"/>
                <w:sz w:val="38"/>
                <w:szCs w:val="38"/>
              </w:rPr>
              <w:t xml:space="preserve">6 из 6</w:t>
            </w:r>
          </w:p>
          <w:p>
            <w:pPr>
              <w:spacing w:before="40"/>
            </w:pPr>
            <w:r>
              <w:rPr>
                <w:rFonts w:ascii="Verdana" w:cs="Verdana" w:eastAsia="Verdana" w:hAnsi="Verdana"/>
                <w:b/>
                <w:bCs/>
                <w:color w:val="262626"/>
                <w:sz w:val="16"/>
                <w:szCs w:val="16"/>
              </w:rPr>
              <w:t xml:space="preserve">Проб с S. aureus</w:t>
            </w:r>
          </w:p>
          <w:p>
            <w:r>
              <w:rPr>
                <w:rFonts w:ascii="Verdana" w:cs="Verdana" w:eastAsia="Verdana" w:hAnsi="Verdana"/>
                <w:color w:val="6B6B6B"/>
                <w:sz w:val="14"/>
                <w:szCs w:val="14"/>
              </w:rPr>
              <w:t xml:space="preserve">контагиозный мастит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087"/>
            <w:tcBorders>
              <w:top w:val="none" w:color="FFFFFF" w:sz="0"/>
              <w:left w:val="single" w:color="B3261E" w:sz="36"/>
              <w:bottom w:val="none" w:color="FFFFFF" w:sz="0"/>
              <w:right w:val="none" w:color="FFFFFF" w:sz="0"/>
            </w:tcBorders>
            <w:shd w:fill="F0F2EC" w:color="auto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B3261E"/>
                <w:sz w:val="38"/>
                <w:szCs w:val="38"/>
              </w:rPr>
              <w:t xml:space="preserve">45,0 %</w:t>
            </w:r>
          </w:p>
          <w:p>
            <w:pPr>
              <w:spacing w:before="40"/>
            </w:pPr>
            <w:r>
              <w:rPr>
                <w:rFonts w:ascii="Verdana" w:cs="Verdana" w:eastAsia="Verdana" w:hAnsi="Verdana"/>
                <w:b/>
                <w:bCs/>
                <w:color w:val="262626"/>
                <w:sz w:val="16"/>
                <w:szCs w:val="16"/>
              </w:rPr>
              <w:t xml:space="preserve">Хромые (баллы 1–3)</w:t>
            </w:r>
          </w:p>
          <w:p>
            <w:r>
              <w:rPr>
                <w:rFonts w:ascii="Verdana" w:cs="Verdana" w:eastAsia="Verdana" w:hAnsi="Verdana"/>
                <w:color w:val="6B6B6B"/>
                <w:sz w:val="14"/>
                <w:szCs w:val="14"/>
              </w:rPr>
              <w:t xml:space="preserve">тяжёлая 3,0 % · лёгкая 26,4 %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087"/>
            <w:tcBorders>
              <w:top w:val="none" w:color="FFFFFF" w:sz="0"/>
              <w:left w:val="single" w:color="B3261E" w:sz="36"/>
              <w:bottom w:val="none" w:color="FFFFFF" w:sz="0"/>
              <w:right w:val="none" w:color="FFFFFF" w:sz="0"/>
            </w:tcBorders>
            <w:shd w:fill="F0F2EC" w:color="auto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B3261E"/>
                <w:sz w:val="38"/>
                <w:szCs w:val="38"/>
              </w:rPr>
              <w:t xml:space="preserve">−175</w:t>
            </w:r>
          </w:p>
          <w:p>
            <w:pPr>
              <w:spacing w:before="40"/>
            </w:pPr>
            <w:r>
              <w:rPr>
                <w:rFonts w:ascii="Verdana" w:cs="Verdana" w:eastAsia="Verdana" w:hAnsi="Verdana"/>
                <w:b/>
                <w:bCs/>
                <w:color w:val="262626"/>
                <w:sz w:val="16"/>
                <w:szCs w:val="16"/>
              </w:rPr>
              <w:t xml:space="preserve">Выбыло коров за 9 мес</w:t>
            </w:r>
          </w:p>
          <w:p>
            <w:r>
              <w:rPr>
                <w:rFonts w:ascii="Verdana" w:cs="Verdana" w:eastAsia="Verdana" w:hAnsi="Verdana"/>
                <w:color w:val="6B6B6B"/>
                <w:sz w:val="14"/>
                <w:szCs w:val="14"/>
              </w:rPr>
              <w:t xml:space="preserve">≈ 44 % в год · коров 506 (−17 %)</w:t>
            </w:r>
          </w:p>
        </w:tc>
      </w:tr>
    </w:tbl>
    <w:p>
      <w:pPr>
        <w:spacing w:after="120"/>
      </w:pPr>
    </w:p>
    <w:p>
      <w:pPr>
        <w:keepNext/>
        <w:pBdr>
          <w:bottom w:val="single" w:color="A5CD39" w:sz="8" w:space="3"/>
        </w:pBdr>
        <w:spacing w:after="140" w:before="300"/>
      </w:pPr>
      <w:r>
        <w:rPr>
          <w:rFonts w:ascii="Verdana" w:cs="Verdana" w:eastAsia="Verdana" w:hAnsi="Verdana"/>
          <w:b/>
          <w:bCs/>
          <w:color w:val="295B18"/>
          <w:sz w:val="25"/>
          <w:szCs w:val="25"/>
        </w:rPr>
        <w:t xml:space="preserve">1. Ключевые выводы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Ведущая проблема — контагиозный стафилококковый мастит. </w:t>
      </w:r>
      <w:r>
        <w:rPr>
          <w:rFonts w:ascii="Verdana" w:cs="Verdana" w:eastAsia="Verdana" w:hAnsi="Verdana"/>
          <w:sz w:val="20"/>
          <w:szCs w:val="20"/>
        </w:rPr>
        <w:t xml:space="preserve">Staphylococcus aureus выделен во всех 6 пробах, ПЦР подтвердила Streptococcus dysgalactiae и S. uberis. Мастит у 28,4 % дойных коров (клинический 3,0 %, субклинический 25,4 %), у 69 коров (20,8 %) есть неработающие доли, у 4 коров не доится ни одна доля.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В отличие от Рясны, антибиотики здесь ещё работают. </w:t>
      </w:r>
      <w:r>
        <w:rPr>
          <w:rFonts w:ascii="Verdana" w:cs="Verdana" w:eastAsia="Verdana" w:hAnsi="Verdana"/>
          <w:sz w:val="20"/>
          <w:szCs w:val="20"/>
        </w:rPr>
        <w:t xml:space="preserve">В 5 пробах из 6 флора чувствительна к амоксициллину/клавуланату, гентамицину и цефтиофуру; пенициллин, ампициллин, клоксациллин и клиндамицин неэффективны во всех пробах. Проба № 3 (S. aureus + Candida albicans) устойчива ко всем препаратам.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Каждая пятая дойная корова — в группе «антибиотики». </w:t>
      </w:r>
      <w:r>
        <w:rPr>
          <w:rFonts w:ascii="Verdana" w:cs="Verdana" w:eastAsia="Verdana" w:hAnsi="Verdana"/>
          <w:sz w:val="20"/>
          <w:szCs w:val="20"/>
        </w:rPr>
        <w:t xml:space="preserve">66 коров (20 % стада), из них 41 с маститом на момент обследования. Молоко этой группы не идёт на реализацию: товарность за 9 месяцев 82,3 % (2025 г. — 91,4 %), в августе — 69,3 %. Объём «выпоенного телятам» молока (581,7 т за 9 месяцев, вдвое больше прошлогоднего) многократно превышает потребность телят — фактически это списание нетоварного молока.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Стадо быстро сокращается. </w:t>
      </w:r>
      <w:r>
        <w:rPr>
          <w:rFonts w:ascii="Verdana" w:cs="Verdana" w:eastAsia="Verdana" w:hAnsi="Verdana"/>
          <w:sz w:val="20"/>
          <w:szCs w:val="20"/>
        </w:rPr>
        <w:t xml:space="preserve">Коров 506 против 610 год назад (−17 %). За 9 месяцев выбыло около 175 коров — ≈ 44 % в год, при 117 отелившихся нетелях на замену. Осеменений коров на 18 % меньше прошлогоднего. Реализация молока в сентябре — 252 т против 355 т год назад (−29 %).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Продуктивность коровы падает с лета. </w:t>
      </w:r>
      <w:r>
        <w:rPr>
          <w:rFonts w:ascii="Verdana" w:cs="Verdana" w:eastAsia="Verdana" w:hAnsi="Verdana"/>
          <w:sz w:val="20"/>
          <w:szCs w:val="20"/>
        </w:rPr>
        <w:t xml:space="preserve">Суточный удой на среднюю корову с июля ниже прошлогоднего на 0,9–2,2 кг (сентябрь — 21,2 кг против 22,7). Удой за 9 месяцев — 6 134 кг (−1,5 %).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Хромота — 45,0 %, но преимущественно лёгкая </w:t>
      </w:r>
      <w:r>
        <w:rPr>
          <w:rFonts w:ascii="Verdana" w:cs="Verdana" w:eastAsia="Verdana" w:hAnsi="Verdana"/>
          <w:sz w:val="20"/>
          <w:szCs w:val="20"/>
        </w:rPr>
        <w:t xml:space="preserve">(балл 1 — 26,4 %, тяжёлая — 3,0 %, отросший рог — только 0,9 %). Это хорошая стартовая позиция: при раннем лечении большинство случаев обратимо.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Оборудование работает на верхней границе нормы </w:t>
      </w:r>
      <w:r>
        <w:rPr>
          <w:rFonts w:ascii="Verdana" w:cs="Verdana" w:eastAsia="Verdana" w:hAnsi="Verdana"/>
          <w:sz w:val="20"/>
          <w:szCs w:val="20"/>
        </w:rPr>
        <w:t xml:space="preserve">(вакуум 43,9–44,3 кПа) при засорённом фильтре регулятора, налёте в молочных шлангах и изношенных вакуумных шлангах на 9 местах. Для S. aureus, который передаётся при доении, это значимый фактор.</w:t>
      </w:r>
    </w:p>
    <w:p>
      <w:pPr>
        <w:keepNext/>
        <w:pBdr>
          <w:bottom w:val="single" w:color="A5CD39" w:sz="8" w:space="3"/>
        </w:pBdr>
        <w:spacing w:after="140" w:before="300"/>
      </w:pPr>
      <w:r>
        <w:rPr>
          <w:rFonts w:ascii="Verdana" w:cs="Verdana" w:eastAsia="Verdana" w:hAnsi="Verdana"/>
          <w:b/>
          <w:bCs/>
          <w:color w:val="295B18"/>
          <w:sz w:val="25"/>
          <w:szCs w:val="25"/>
        </w:rPr>
        <w:t xml:space="preserve">2. Производственные показатели января–сентября 2026 г.</w:t>
      </w:r>
    </w:p>
    <w:p>
      <w:pPr>
        <w:keepNext/>
        <w:spacing w:after="80" w:before="160"/>
      </w:pPr>
      <w:r>
        <w:rPr>
          <w:rFonts w:ascii="Verdana" w:cs="Verdana" w:eastAsia="Verdana" w:hAnsi="Verdana"/>
          <w:b/>
          <w:bCs/>
          <w:color w:val="295B18"/>
          <w:sz w:val="20"/>
          <w:szCs w:val="20"/>
        </w:rPr>
        <w:t xml:space="preserve">2.1. Молоко</w:t>
      </w:r>
    </w:p>
    <w:tbl>
      <w:tblPr>
        <w:tblW w:type="dxa" w:w="1091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1700"/>
        <w:gridCol w:w="1700"/>
        <w:gridCol w:w="1915"/>
        <w:gridCol w:w="1900"/>
      </w:tblGrid>
      <w:tr>
        <w:trPr>
          <w:cantSplit/>
          <w:tblHeader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Показатель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9 мес 2025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9 мес 2026</w:t>
            </w:r>
          </w:p>
        </w:tc>
        <w:tc>
          <w:tcPr>
            <w:tcW w:type="dxa" w:w="1915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Изменение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Коров в среднем, гол.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568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color w:val="C98A00"/>
                <w:sz w:val="17"/>
                <w:szCs w:val="17"/>
              </w:rPr>
              <w:t xml:space="preserve">537</w:t>
            </w:r>
          </w:p>
        </w:tc>
        <w:tc>
          <w:tcPr>
            <w:tcW w:type="dxa" w:w="19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−5,5 %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C98A00"/>
                <w:sz w:val="17"/>
                <w:szCs w:val="17"/>
              </w:rPr>
              <w:t xml:space="preserve">● Риск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Валовой надой, т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3 537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color w:val="B3261E"/>
                <w:sz w:val="17"/>
                <w:szCs w:val="17"/>
              </w:rPr>
              <w:t xml:space="preserve">3 294</w:t>
            </w:r>
          </w:p>
        </w:tc>
        <w:tc>
          <w:tcPr>
            <w:tcW w:type="dxa" w:w="19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−6,9 %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B3261E"/>
                <w:sz w:val="17"/>
                <w:szCs w:val="17"/>
              </w:rPr>
              <w:t xml:space="preserve">● Проблема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Удой на среднюю корову, кг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6 227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color w:val="C98A00"/>
                <w:sz w:val="17"/>
                <w:szCs w:val="17"/>
              </w:rPr>
              <w:t xml:space="preserve">6 134</w:t>
            </w:r>
          </w:p>
        </w:tc>
        <w:tc>
          <w:tcPr>
            <w:tcW w:type="dxa" w:w="19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−1,5 %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C98A00"/>
                <w:sz w:val="17"/>
                <w:szCs w:val="17"/>
              </w:rPr>
              <w:t xml:space="preserve">● Риск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Реализовано молока, т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3 232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color w:val="B3261E"/>
                <w:sz w:val="17"/>
                <w:szCs w:val="17"/>
              </w:rPr>
              <w:t xml:space="preserve">2 712</w:t>
            </w:r>
          </w:p>
        </w:tc>
        <w:tc>
          <w:tcPr>
            <w:tcW w:type="dxa" w:w="19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−16,1 %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B3261E"/>
                <w:sz w:val="17"/>
                <w:szCs w:val="17"/>
              </w:rPr>
              <w:t xml:space="preserve">● Проблема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Товарность, 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91,4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color w:val="B3261E"/>
                <w:sz w:val="17"/>
                <w:szCs w:val="17"/>
              </w:rPr>
              <w:t xml:space="preserve">82,3</w:t>
            </w:r>
          </w:p>
        </w:tc>
        <w:tc>
          <w:tcPr>
            <w:tcW w:type="dxa" w:w="19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−9,1 п.п.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B3261E"/>
                <w:sz w:val="17"/>
                <w:szCs w:val="17"/>
              </w:rPr>
              <w:t xml:space="preserve">● Проблема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Жир, 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3,34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3,41</w:t>
            </w:r>
          </w:p>
        </w:tc>
        <w:tc>
          <w:tcPr>
            <w:tcW w:type="dxa" w:w="19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+0,07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3A8A2E"/>
                <w:sz w:val="17"/>
                <w:szCs w:val="17"/>
              </w:rPr>
              <w:t xml:space="preserve">● Норма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Сентябрь: валовой надой, т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417,0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color w:val="B3261E"/>
                <w:sz w:val="17"/>
                <w:szCs w:val="17"/>
              </w:rPr>
              <w:t xml:space="preserve">325,0</w:t>
            </w:r>
          </w:p>
        </w:tc>
        <w:tc>
          <w:tcPr>
            <w:tcW w:type="dxa" w:w="19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−22,1 %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B3261E"/>
                <w:sz w:val="17"/>
                <w:szCs w:val="17"/>
              </w:rPr>
              <w:t xml:space="preserve">● Проблема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Сентябрь: реализовано, т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355,4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color w:val="B3261E"/>
                <w:sz w:val="17"/>
                <w:szCs w:val="17"/>
              </w:rPr>
              <w:t xml:space="preserve">252,2</w:t>
            </w:r>
          </w:p>
        </w:tc>
        <w:tc>
          <w:tcPr>
            <w:tcW w:type="dxa" w:w="19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−29,0 %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B3261E"/>
                <w:sz w:val="17"/>
                <w:szCs w:val="17"/>
              </w:rPr>
              <w:t xml:space="preserve">● Проблема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Сентябрь: коров в среднем, гол.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613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color w:val="B3261E"/>
                <w:sz w:val="17"/>
                <w:szCs w:val="17"/>
              </w:rPr>
              <w:t xml:space="preserve">511</w:t>
            </w:r>
          </w:p>
        </w:tc>
        <w:tc>
          <w:tcPr>
            <w:tcW w:type="dxa" w:w="19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−16,6 %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B3261E"/>
                <w:sz w:val="17"/>
                <w:szCs w:val="17"/>
              </w:rPr>
              <w:t xml:space="preserve">● Проблема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Сентябрь: удой на корову, кг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680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color w:val="B3261E"/>
                <w:sz w:val="17"/>
                <w:szCs w:val="17"/>
              </w:rPr>
              <w:t xml:space="preserve">636</w:t>
            </w:r>
          </w:p>
        </w:tc>
        <w:tc>
          <w:tcPr>
            <w:tcW w:type="dxa" w:w="1915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−6,5 %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B3261E"/>
                <w:sz w:val="17"/>
                <w:szCs w:val="17"/>
              </w:rPr>
              <w:t xml:space="preserve">● Проблема</w:t>
            </w:r>
          </w:p>
        </w:tc>
      </w:tr>
    </w:tbl>
    <w:p>
      <w:pPr>
        <w:spacing w:after="80"/>
      </w:pPr>
    </w:p>
    <w:tbl>
      <w:tblPr>
        <w:tblW w:type="dxa" w:w="1091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15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blHeader/>
        </w:trPr>
        <w:tc>
          <w:tcPr>
            <w:tcW w:type="dxa" w:w="2815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Суточный удой на среднюю корову, кг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янв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фев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мар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апр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май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июн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июл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авг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сен</w:t>
            </w:r>
          </w:p>
        </w:tc>
      </w:tr>
      <w:tr>
        <w:trPr>
          <w:cantSplit/>
        </w:trPr>
        <w:tc>
          <w:tcPr>
            <w:tcW w:type="dxa" w:w="28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2026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23,0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23,1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23,3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22,6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23,0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22,7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22,0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21,3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21,2</w:t>
            </w:r>
          </w:p>
        </w:tc>
      </w:tr>
      <w:tr>
        <w:trPr>
          <w:cantSplit/>
        </w:trPr>
        <w:tc>
          <w:tcPr>
            <w:tcW w:type="dxa" w:w="28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2025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22,6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22,6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22,9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22,7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22,9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22,9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22,9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23,5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22,7</w:t>
            </w:r>
          </w:p>
        </w:tc>
      </w:tr>
      <w:tr>
        <w:trPr>
          <w:cantSplit/>
        </w:trPr>
        <w:tc>
          <w:tcPr>
            <w:tcW w:type="dxa" w:w="2815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Разница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+0,4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+0,5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+0,4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−0,1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+0,1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−0,2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−0,9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−2,2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−1,5</w:t>
            </w:r>
          </w:p>
        </w:tc>
      </w:tr>
    </w:tbl>
    <w:p>
      <w:pPr>
        <w:spacing w:after="100" w:before="100" w:line="264"/>
        <w:jc w:val="both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Вывод. </w:t>
      </w:r>
      <w:r>
        <w:rPr>
          <w:rFonts w:ascii="Verdana" w:cs="Verdana" w:eastAsia="Verdana" w:hAnsi="Verdana"/>
          <w:sz w:val="20"/>
          <w:szCs w:val="20"/>
        </w:rPr>
        <w:t xml:space="preserve">До мая удой держался на уровне прошлого года, с июля отставание нарастает до 1,5–2,2 кг/сут. Падение сентябрьского вала на 22 % складывается из меньшего поголовья (−17 %) и меньшего удоя (−6,5 %); реализация снизилась ещё сильнее (−29 %) из-за низкой товарности. Жир выше прошлогоднего (3,41 % против 3,34 %).</w:t>
      </w:r>
    </w:p>
    <w:tbl>
      <w:tblPr>
        <w:tblW w:type="dxa" w:w="1091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1100"/>
        <w:gridCol w:w="1000"/>
        <w:gridCol w:w="900"/>
        <w:gridCol w:w="1150"/>
        <w:gridCol w:w="1100"/>
        <w:gridCol w:w="1300"/>
        <w:gridCol w:w="1715"/>
        <w:gridCol w:w="1150"/>
      </w:tblGrid>
      <w:tr>
        <w:trPr>
          <w:cantSplit/>
          <w:tblHeader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Месяц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Коров (ср.)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Вал, т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Т/сут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Товарн., 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Экстра, 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Высший, %</w:t>
            </w:r>
          </w:p>
        </w:tc>
        <w:tc>
          <w:tcPr>
            <w:tcW w:type="dxa" w:w="1715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Выпоено телятам, т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Жир, 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Январь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564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401,4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12,9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86,8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100,0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7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53,1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3,43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Февраль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559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362,0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12,9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86,8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85,6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14,4</w:t>
            </w:r>
          </w:p>
        </w:tc>
        <w:tc>
          <w:tcPr>
            <w:tcW w:type="dxa" w:w="17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47,7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3,49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Март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548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395,4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12,8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87,7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84,7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15,3</w:t>
            </w:r>
          </w:p>
        </w:tc>
        <w:tc>
          <w:tcPr>
            <w:tcW w:type="dxa" w:w="17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48,8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3,51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Апрель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539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364,9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12,2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85,9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96,6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3,4</w:t>
            </w:r>
          </w:p>
        </w:tc>
        <w:tc>
          <w:tcPr>
            <w:tcW w:type="dxa" w:w="17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51,6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3,39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Май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536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381,5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12,3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87,4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90,4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9,6</w:t>
            </w:r>
          </w:p>
        </w:tc>
        <w:tc>
          <w:tcPr>
            <w:tcW w:type="dxa" w:w="17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48,1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3,32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Июнь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532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362,9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12,1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80,7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16,8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83,2</w:t>
            </w:r>
          </w:p>
        </w:tc>
        <w:tc>
          <w:tcPr>
            <w:tcW w:type="dxa" w:w="17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70,0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3,34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Июль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525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358,6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11,6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76,4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67,5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32,5</w:t>
            </w:r>
          </w:p>
        </w:tc>
        <w:tc>
          <w:tcPr>
            <w:tcW w:type="dxa" w:w="17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84,5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3,40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Август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518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342,4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11,0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69,3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89,0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11,0</w:t>
            </w:r>
          </w:p>
        </w:tc>
        <w:tc>
          <w:tcPr>
            <w:tcW w:type="dxa" w:w="17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105,2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3,40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Сентябрь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511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325,0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10,8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77,6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83,5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16,5</w:t>
            </w:r>
          </w:p>
        </w:tc>
        <w:tc>
          <w:tcPr>
            <w:tcW w:type="dxa" w:w="17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72,8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3,36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Сентябрь 2025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613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417,0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13,9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85,2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100,0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715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61,6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3,27</w:t>
            </w:r>
          </w:p>
        </w:tc>
      </w:tr>
    </w:tbl>
    <w:p>
      <w:pPr>
        <w:keepNext/>
        <w:spacing w:after="80" w:before="160"/>
      </w:pPr>
      <w:r>
        <w:rPr>
          <w:rFonts w:ascii="Verdana" w:cs="Verdana" w:eastAsia="Verdana" w:hAnsi="Verdana"/>
          <w:b/>
          <w:bCs/>
          <w:color w:val="295B18"/>
          <w:sz w:val="20"/>
          <w:szCs w:val="20"/>
        </w:rPr>
        <w:t xml:space="preserve">2.2. Товарность и «выпойка» — это нетоварное молоко</w:t>
      </w:r>
    </w:p>
    <w:p>
      <w:pPr>
        <w:keepLines/>
        <w:spacing w:after="160" w:before="80"/>
        <w:jc w:val="center"/>
      </w:pPr>
      <w:r>
        <w:drawing>
          <wp:inline distT="0" distB="0" distL="0" distR="0">
            <wp:extent cx="600075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cs="Verdana" w:eastAsia="Verdana" w:hAnsi="Verdana"/>
          <w:i/>
          <w:iCs/>
          <w:color w:val="595959"/>
          <w:sz w:val="16"/>
          <w:szCs w:val="16"/>
        </w:rPr>
        <w:br/>
        <w:t xml:space="preserve">Рис. 1. Суточный удой на среднюю корову (2026 и 2025 гг.), молоко, выпоенное телятам, и товарность по месяцам 2026 г.</w:t>
      </w:r>
    </w:p>
    <w:tbl>
      <w:tblPr>
        <w:tblW w:type="dxa" w:w="1091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15"/>
        <w:gridCol w:w="1000"/>
        <w:gridCol w:w="1000"/>
        <w:gridCol w:w="1000"/>
        <w:gridCol w:w="1050"/>
        <w:gridCol w:w="1050"/>
        <w:gridCol w:w="1050"/>
        <w:gridCol w:w="1050"/>
      </w:tblGrid>
      <w:tr>
        <w:trPr>
          <w:cantSplit/>
          <w:tblHeader/>
        </w:trPr>
        <w:tc>
          <w:tcPr>
            <w:tcW w:type="dxa" w:w="3715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Показатель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янв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мар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май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июн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июл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авг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сен</w:t>
            </w:r>
          </w:p>
        </w:tc>
      </w:tr>
      <w:tr>
        <w:trPr>
          <w:cantSplit/>
        </w:trPr>
        <w:tc>
          <w:tcPr>
            <w:tcW w:type="dxa" w:w="37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Телят 2026 г. рождения на ферме, гол.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56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144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172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99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96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109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132</w:t>
            </w:r>
          </w:p>
        </w:tc>
      </w:tr>
      <w:tr>
        <w:trPr>
          <w:cantSplit/>
        </w:trPr>
        <w:tc>
          <w:tcPr>
            <w:tcW w:type="dxa" w:w="37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«Выпоено телятам», т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53,1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48,8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48,1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70,0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84,5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105,2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72,8</w:t>
            </w:r>
          </w:p>
        </w:tc>
      </w:tr>
      <w:tr>
        <w:trPr>
          <w:cantSplit/>
        </w:trPr>
        <w:tc>
          <w:tcPr>
            <w:tcW w:type="dxa" w:w="3715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То же в пересчёте, кг на телёнка в сутки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30,6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10,9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9,0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23,6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28,4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31,1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18,4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Объём «выпойки» не соответствует числу телят. </w:t>
      </w:r>
      <w:r>
        <w:rPr>
          <w:rFonts w:ascii="Verdana" w:cs="Verdana" w:eastAsia="Verdana" w:hAnsi="Verdana"/>
          <w:sz w:val="20"/>
          <w:szCs w:val="20"/>
        </w:rPr>
        <w:t xml:space="preserve">Даже в пересчёте на всех телят текущего года (часть из которых уже не на молоке) выходит 9–31 кг на голову в сутки при потребности 6–8 кг. В июне, когда бычков перевели в Рясну (на ферме стало 99 телят вместо 172), «выпойка» не снизилась, а выросла. Значит, за этой статьёй стоит прежде всего молоко коров на лечении.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Масштаб совпадает с группой «антибиотики». </w:t>
      </w:r>
      <w:r>
        <w:rPr>
          <w:rFonts w:ascii="Verdana" w:cs="Verdana" w:eastAsia="Verdana" w:hAnsi="Verdana"/>
          <w:sz w:val="20"/>
          <w:szCs w:val="20"/>
        </w:rPr>
        <w:t xml:space="preserve">66 коров при 20–21 кг/сут дают ≈ 1,3–1,4 т молока в сутки, ≈ 40 т в месяц, которые нельзя реализовать. Вместе с молоком для телят это объясняет 70–105 т нетоварного молока в месяц летом.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Август — общий провал отделения </w:t>
      </w:r>
      <w:r>
        <w:rPr>
          <w:rFonts w:ascii="Verdana" w:cs="Verdana" w:eastAsia="Verdana" w:hAnsi="Verdana"/>
          <w:sz w:val="20"/>
          <w:szCs w:val="20"/>
        </w:rPr>
        <w:t xml:space="preserve">(максимум «выпойки» и в Рясне, и в Оберовщине), но в Лумне товарность упала раньше — с июня — и глубже всех (69,3 %).</w:t>
      </w:r>
    </w:p>
    <w:p>
      <w:pPr>
        <w:keepNext/>
        <w:spacing w:after="80" w:before="160"/>
      </w:pPr>
      <w:r>
        <w:rPr>
          <w:rFonts w:ascii="Verdana" w:cs="Verdana" w:eastAsia="Verdana" w:hAnsi="Verdana"/>
          <w:b/>
          <w:bCs/>
          <w:color w:val="295B18"/>
          <w:sz w:val="20"/>
          <w:szCs w:val="20"/>
        </w:rPr>
        <w:t xml:space="preserve">2.3. Сортность</w:t>
      </w:r>
    </w:p>
    <w:p>
      <w:pPr>
        <w:keepLines/>
        <w:spacing w:after="160" w:before="80"/>
        <w:jc w:val="center"/>
      </w:pPr>
      <w:r>
        <w:drawing>
          <wp:inline distT="0" distB="0" distL="0" distR="0">
            <wp:extent cx="600075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cs="Verdana" w:eastAsia="Verdana" w:hAnsi="Verdana"/>
          <w:i/>
          <w:iCs/>
          <w:color w:val="595959"/>
          <w:sz w:val="16"/>
          <w:szCs w:val="16"/>
        </w:rPr>
        <w:br/>
        <w:t xml:space="preserve">Рис. 2. Сортность реализованного молока по месяцам 2026 г.</w:t>
      </w:r>
    </w:p>
    <w:p>
      <w:pPr>
        <w:spacing w:after="100" w:before="80" w:line="264"/>
        <w:jc w:val="both"/>
      </w:pPr>
      <w:r>
        <w:rPr>
          <w:rFonts w:ascii="Verdana" w:cs="Verdana" w:eastAsia="Verdana" w:hAnsi="Verdana"/>
          <w:sz w:val="20"/>
          <w:szCs w:val="20"/>
        </w:rPr>
        <w:t xml:space="preserve">В 2025 г. практически всё молоко шло «экстра»; в 2026 г. — 80,0 % за 9 месяцев (худший показатель в отделении), с провалом в июне (16,8 % «экстра», 83,2 % высший сорт) и июле (67,5 %). Июньский провал совпадает с ростом нетоварного молока и падением товарности — типичная картина вспышки маститов: рост соматических клеток в сборном молоке. Налёт в молочных шлангах добавляет бактериальную обсеменённость.</w:t>
      </w:r>
    </w:p>
    <w:p>
      <w:pPr>
        <w:keepNext/>
        <w:spacing w:after="80" w:before="160"/>
      </w:pPr>
      <w:r>
        <w:rPr>
          <w:rFonts w:ascii="Verdana" w:cs="Verdana" w:eastAsia="Verdana" w:hAnsi="Verdana"/>
          <w:b/>
          <w:bCs/>
          <w:color w:val="295B18"/>
          <w:sz w:val="20"/>
          <w:szCs w:val="20"/>
        </w:rPr>
        <w:t xml:space="preserve">2.4. Стадо и воспроизводство</w:t>
      </w:r>
    </w:p>
    <w:tbl>
      <w:tblPr>
        <w:tblW w:type="dxa" w:w="1091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15"/>
        <w:gridCol w:w="2000"/>
        <w:gridCol w:w="2700"/>
        <w:gridCol w:w="1600"/>
      </w:tblGrid>
      <w:tr>
        <w:trPr>
          <w:cantSplit/>
          <w:tblHeader/>
        </w:trPr>
        <w:tc>
          <w:tcPr>
            <w:tcW w:type="dxa" w:w="4615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Показатель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9 мес 2025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9 мес 2026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46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Коров на конец сентября, гол.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610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color w:val="B3261E"/>
                <w:sz w:val="17"/>
                <w:szCs w:val="17"/>
              </w:rPr>
              <w:t xml:space="preserve">506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B3261E"/>
                <w:sz w:val="17"/>
                <w:szCs w:val="17"/>
              </w:rPr>
              <w:t xml:space="preserve">● Проблема</w:t>
            </w:r>
          </w:p>
        </w:tc>
      </w:tr>
      <w:tr>
        <w:trPr>
          <w:cantSplit/>
        </w:trPr>
        <w:tc>
          <w:tcPr>
            <w:tcW w:type="dxa" w:w="46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Нетелей на конец сентября, гол.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11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color w:val="B3261E"/>
                <w:sz w:val="17"/>
                <w:szCs w:val="17"/>
              </w:rPr>
              <w:t xml:space="preserve">6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B3261E"/>
                <w:sz w:val="17"/>
                <w:szCs w:val="17"/>
              </w:rPr>
              <w:t xml:space="preserve">● Проблема</w:t>
            </w:r>
          </w:p>
        </w:tc>
      </w:tr>
      <w:tr>
        <w:trPr>
          <w:cantSplit/>
        </w:trPr>
        <w:tc>
          <w:tcPr>
            <w:tcW w:type="dxa" w:w="46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Тёлок 2024 г. / 2025 г. рождения, гол.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159 / 89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color w:val="C98A00"/>
                <w:sz w:val="17"/>
                <w:szCs w:val="17"/>
              </w:rPr>
              <w:t xml:space="preserve">17 / 201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C98A00"/>
                <w:sz w:val="17"/>
                <w:szCs w:val="17"/>
              </w:rPr>
              <w:t xml:space="preserve">● Риск</w:t>
            </w:r>
          </w:p>
        </w:tc>
      </w:tr>
      <w:tr>
        <w:trPr>
          <w:cantSplit/>
        </w:trPr>
        <w:tc>
          <w:tcPr>
            <w:tcW w:type="dxa" w:w="46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Отёлов от коров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229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color w:val="C98A00"/>
                <w:sz w:val="17"/>
                <w:szCs w:val="17"/>
              </w:rPr>
              <w:t xml:space="preserve">229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C98A00"/>
                <w:sz w:val="17"/>
                <w:szCs w:val="17"/>
              </w:rPr>
              <w:t xml:space="preserve">● Риск</w:t>
            </w:r>
          </w:p>
        </w:tc>
      </w:tr>
      <w:tr>
        <w:trPr>
          <w:cantSplit/>
        </w:trPr>
        <w:tc>
          <w:tcPr>
            <w:tcW w:type="dxa" w:w="46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Отёлов от нетелей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134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color w:val="C98A00"/>
                <w:sz w:val="17"/>
                <w:szCs w:val="17"/>
              </w:rPr>
              <w:t xml:space="preserve">117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C98A00"/>
                <w:sz w:val="17"/>
                <w:szCs w:val="17"/>
              </w:rPr>
              <w:t xml:space="preserve">● Риск</w:t>
            </w:r>
          </w:p>
        </w:tc>
      </w:tr>
      <w:tr>
        <w:trPr>
          <w:cantSplit/>
        </w:trPr>
        <w:tc>
          <w:tcPr>
            <w:tcW w:type="dxa" w:w="46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Выход телят на 100 коров за 9 мес (≈ в год)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41,3 (≈ 55)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color w:val="B3261E"/>
                <w:sz w:val="17"/>
                <w:szCs w:val="17"/>
              </w:rPr>
              <w:t xml:space="preserve">40,5 (≈ 54)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B3261E"/>
                <w:sz w:val="17"/>
                <w:szCs w:val="17"/>
              </w:rPr>
              <w:t xml:space="preserve">● Проблема</w:t>
            </w:r>
          </w:p>
        </w:tc>
      </w:tr>
      <w:tr>
        <w:trPr>
          <w:cantSplit/>
        </w:trPr>
        <w:tc>
          <w:tcPr>
            <w:tcW w:type="dxa" w:w="46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Осеменено коров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637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color w:val="B3261E"/>
                <w:sz w:val="17"/>
                <w:szCs w:val="17"/>
              </w:rPr>
              <w:t xml:space="preserve">524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B3261E"/>
                <w:sz w:val="17"/>
                <w:szCs w:val="17"/>
              </w:rPr>
              <w:t xml:space="preserve">● Проблема</w:t>
            </w:r>
          </w:p>
        </w:tc>
      </w:tr>
      <w:tr>
        <w:trPr>
          <w:cantSplit/>
        </w:trPr>
        <w:tc>
          <w:tcPr>
            <w:tcW w:type="dxa" w:w="46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Осеменено нетелей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138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142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3A8A2E"/>
                <w:sz w:val="17"/>
                <w:szCs w:val="17"/>
              </w:rPr>
              <w:t xml:space="preserve">● Норма</w:t>
            </w:r>
          </w:p>
        </w:tc>
      </w:tr>
      <w:tr>
        <w:trPr>
          <w:cantSplit/>
        </w:trPr>
        <w:tc>
          <w:tcPr>
            <w:tcW w:type="dxa" w:w="4615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Выбытие коров за 9 мес (оценка)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—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color w:val="B3261E"/>
                <w:sz w:val="17"/>
                <w:szCs w:val="17"/>
              </w:rPr>
              <w:t xml:space="preserve">≈ 175 гол. (≈ 44 % в год)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B3261E"/>
                <w:sz w:val="17"/>
                <w:szCs w:val="17"/>
              </w:rPr>
              <w:t xml:space="preserve">● Проблема</w:t>
            </w:r>
          </w:p>
        </w:tc>
      </w:tr>
    </w:tbl>
    <w:p>
      <w:pPr>
        <w:keepLines/>
        <w:spacing w:after="160" w:before="80"/>
        <w:jc w:val="center"/>
      </w:pPr>
      <w:r>
        <w:drawing>
          <wp:inline distT="0" distB="0" distL="0" distR="0">
            <wp:extent cx="600075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cs="Verdana" w:eastAsia="Verdana" w:hAnsi="Verdana"/>
          <w:i/>
          <w:iCs/>
          <w:color w:val="595959"/>
          <w:sz w:val="16"/>
          <w:szCs w:val="16"/>
        </w:rPr>
        <w:br/>
        <w:t xml:space="preserve">Рис. 3. Поголовье коров на конец месяца и число осеменённых коров по месяцам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Выбытие. </w:t>
      </w:r>
      <w:r>
        <w:rPr>
          <w:rFonts w:ascii="Verdana" w:cs="Verdana" w:eastAsia="Verdana" w:hAnsi="Verdana"/>
          <w:sz w:val="20"/>
          <w:szCs w:val="20"/>
        </w:rPr>
        <w:t xml:space="preserve">≈ 566 коров на начало года + 117 отелившихся нетелей − 506 на 30.09 = ≈ 175 выбывших за 9 месяцев (реализовано за тот же период 184 головы КРС со средним весом 481 кг). Это ≈ 44 % в год — вдвое выше обычного уровня 25–30 %. Учитывая 20 % стада на антибиотиках, 69 коров с неработающими долями и S. aureus, основной причиной выбраковки, вероятно, является вымя — нужен учёт выбытия по причинам.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Ремонт. </w:t>
      </w:r>
      <w:r>
        <w:rPr>
          <w:rFonts w:ascii="Verdana" w:cs="Verdana" w:eastAsia="Verdana" w:hAnsi="Verdana"/>
          <w:sz w:val="20"/>
          <w:szCs w:val="20"/>
        </w:rPr>
        <w:t xml:space="preserve">Нетелей 6, тёлок 2024 г. — 17; тёлки 2025 г. (201 гол.) отелятся не раньше второй половины 2027 г. В ближайший год стадо будет сокращаться и дальше.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Воспроизводство. </w:t>
      </w:r>
      <w:r>
        <w:rPr>
          <w:rFonts w:ascii="Verdana" w:cs="Verdana" w:eastAsia="Verdana" w:hAnsi="Verdana"/>
          <w:sz w:val="20"/>
          <w:szCs w:val="20"/>
        </w:rPr>
        <w:t xml:space="preserve">524 осеменения коров за 9 месяцев — ≈ 98 на 100 коров; ориентир ≈ 120–130 (≈ 67 в месяц при текущем поголовье против 43–53 летом). Выход ≈ 54 телёнка на 100 коров в год — низкий.</w:t>
      </w:r>
    </w:p>
    <w:p>
      <w:pPr>
        <w:keepNext/>
        <w:spacing w:after="80" w:before="160"/>
      </w:pPr>
      <w:r>
        <w:rPr>
          <w:rFonts w:ascii="Verdana" w:cs="Verdana" w:eastAsia="Verdana" w:hAnsi="Verdana"/>
          <w:b/>
          <w:bCs/>
          <w:color w:val="295B18"/>
          <w:sz w:val="20"/>
          <w:szCs w:val="20"/>
        </w:rPr>
        <w:t xml:space="preserve">2.5. Корма, привесы, падёж</w:t>
      </w:r>
    </w:p>
    <w:tbl>
      <w:tblPr>
        <w:tblW w:type="dxa" w:w="1091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5"/>
        <w:gridCol w:w="2000"/>
        <w:gridCol w:w="2000"/>
        <w:gridCol w:w="2100"/>
      </w:tblGrid>
      <w:tr>
        <w:trPr>
          <w:cantSplit/>
          <w:tblHeader/>
        </w:trPr>
        <w:tc>
          <w:tcPr>
            <w:tcW w:type="dxa" w:w="4815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Показатель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9 мес 2025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9 мес 2026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Изменение</w:t>
            </w:r>
          </w:p>
        </w:tc>
      </w:tr>
      <w:tr>
        <w:trPr>
          <w:cantSplit/>
        </w:trPr>
        <w:tc>
          <w:tcPr>
            <w:tcW w:type="dxa" w:w="48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Расход кормов на 1 ц молока, ц к. ед.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0,78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0,85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+9 %</w:t>
            </w:r>
          </w:p>
        </w:tc>
      </w:tr>
      <w:tr>
        <w:trPr>
          <w:cantSplit/>
        </w:trPr>
        <w:tc>
          <w:tcPr>
            <w:tcW w:type="dxa" w:w="48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Среднее поголовье всех животных, гол.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1 133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994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−12 %</w:t>
            </w:r>
          </w:p>
        </w:tc>
      </w:tr>
      <w:tr>
        <w:trPr>
          <w:cantSplit/>
        </w:trPr>
        <w:tc>
          <w:tcPr>
            <w:tcW w:type="dxa" w:w="48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Среднесуточный привес, 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779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753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−3 %</w:t>
            </w:r>
          </w:p>
        </w:tc>
      </w:tr>
      <w:tr>
        <w:trPr>
          <w:cantSplit/>
        </w:trPr>
        <w:tc>
          <w:tcPr>
            <w:tcW w:type="dxa" w:w="48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   молодняк текущего года, 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850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865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+2 %</w:t>
            </w:r>
          </w:p>
        </w:tc>
      </w:tr>
      <w:tr>
        <w:trPr>
          <w:cantSplit/>
        </w:trPr>
        <w:tc>
          <w:tcPr>
            <w:tcW w:type="dxa" w:w="48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   молодняк прошлых лет, г (сентябрь)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738 (746)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715 (608)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−3 % (−18 %)</w:t>
            </w:r>
          </w:p>
        </w:tc>
      </w:tr>
      <w:tr>
        <w:trPr>
          <w:cantSplit/>
        </w:trPr>
        <w:tc>
          <w:tcPr>
            <w:tcW w:type="dxa" w:w="48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Падёж, гол.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24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35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+11 гол.</w:t>
            </w:r>
          </w:p>
        </w:tc>
      </w:tr>
      <w:tr>
        <w:trPr>
          <w:cantSplit/>
        </w:trPr>
        <w:tc>
          <w:tcPr>
            <w:tcW w:type="dxa" w:w="4815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Реализовано КРС, гол. / средний вес, кг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185 / 468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184 / 481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00" w:before="80" w:line="264"/>
        <w:jc w:val="both"/>
      </w:pPr>
      <w:r>
        <w:rPr>
          <w:rFonts w:ascii="Verdana" w:cs="Verdana" w:eastAsia="Verdana" w:hAnsi="Verdana"/>
          <w:sz w:val="20"/>
          <w:szCs w:val="20"/>
        </w:rPr>
        <w:t xml:space="preserve">Привес молодняка прошлых лет в сентябре упал до 608 г — требует проверки кормления ремонтных тёлок 2025 г., от которых зависит ремонт стада в 2027 г. Падёж вырос на 11 голов.</w:t>
      </w:r>
    </w:p>
    <w:p>
      <w:pPr>
        <w:keepNext/>
        <w:spacing w:after="80" w:before="160"/>
      </w:pPr>
      <w:r>
        <w:rPr>
          <w:rFonts w:ascii="Verdana" w:cs="Verdana" w:eastAsia="Verdana" w:hAnsi="Verdana"/>
          <w:b/>
          <w:bCs/>
          <w:color w:val="295B18"/>
          <w:sz w:val="20"/>
          <w:szCs w:val="20"/>
        </w:rPr>
        <w:t xml:space="preserve">2.6. Место Лумны в отделении</w:t>
      </w:r>
    </w:p>
    <w:tbl>
      <w:tblPr>
        <w:tblW w:type="dxa" w:w="1091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15"/>
        <w:gridCol w:w="2200"/>
        <w:gridCol w:w="2200"/>
        <w:gridCol w:w="2200"/>
      </w:tblGrid>
      <w:tr>
        <w:trPr>
          <w:cantSplit/>
          <w:tblHeader/>
        </w:trPr>
        <w:tc>
          <w:tcPr>
            <w:tcW w:type="dxa" w:w="4315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9 мес 2026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Лумна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Рясна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Оберовщина</w:t>
            </w:r>
          </w:p>
        </w:tc>
      </w:tr>
      <w:tr>
        <w:trPr>
          <w:cantSplit/>
        </w:trPr>
        <w:tc>
          <w:tcPr>
            <w:tcW w:type="dxa" w:w="43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Удой на корову, кг (к 2025 г.)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6 134 (−1,5 %)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6 487 (+5 %)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6 856 (−1 %)</w:t>
            </w:r>
          </w:p>
        </w:tc>
      </w:tr>
      <w:tr>
        <w:trPr>
          <w:cantSplit/>
        </w:trPr>
        <w:tc>
          <w:tcPr>
            <w:tcW w:type="dxa" w:w="43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Товарность, %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82,3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89,6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91,3</w:t>
            </w:r>
          </w:p>
        </w:tc>
      </w:tr>
      <w:tr>
        <w:trPr>
          <w:cantSplit/>
        </w:trPr>
        <w:tc>
          <w:tcPr>
            <w:tcW w:type="dxa" w:w="43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Доля «экстра», %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80,0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88,9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80,5</w:t>
            </w:r>
          </w:p>
        </w:tc>
      </w:tr>
      <w:tr>
        <w:trPr>
          <w:cantSplit/>
        </w:trPr>
        <w:tc>
          <w:tcPr>
            <w:tcW w:type="dxa" w:w="43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Коров на 30.09 к 2025 г.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−17 %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−13 %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−1 %</w:t>
            </w:r>
          </w:p>
        </w:tc>
      </w:tr>
      <w:tr>
        <w:trPr>
          <w:cantSplit/>
        </w:trPr>
        <w:tc>
          <w:tcPr>
            <w:tcW w:type="dxa" w:w="43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Выход телят на 100 коров за 9 мес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40,5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47,6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39,4</w:t>
            </w:r>
          </w:p>
        </w:tc>
      </w:tr>
      <w:tr>
        <w:trPr>
          <w:cantSplit/>
        </w:trPr>
        <w:tc>
          <w:tcPr>
            <w:tcW w:type="dxa" w:w="4315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«Выпоено телятам», т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581,7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264,1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469,9</w:t>
            </w:r>
          </w:p>
        </w:tc>
      </w:tr>
    </w:tbl>
    <w:p>
      <w:pPr>
        <w:spacing w:after="100" w:before="80" w:line="264"/>
        <w:jc w:val="both"/>
      </w:pPr>
      <w:r>
        <w:rPr>
          <w:rFonts w:ascii="Verdana" w:cs="Verdana" w:eastAsia="Verdana" w:hAnsi="Verdana"/>
          <w:sz w:val="20"/>
          <w:szCs w:val="20"/>
        </w:rPr>
        <w:t xml:space="preserve">Лумна — худшая ферма отделения по товарности, сокращению стада и динамике удоя. Выпойка 581,7 т при меньшем, чем в Оберовщине, поголовье телят подтверждает: основная потеря — нетоварное молоко коров на лечении.</w:t>
      </w:r>
    </w:p>
    <w:p>
      <w:pPr>
        <w:keepNext/>
        <w:pBdr>
          <w:bottom w:val="single" w:color="A5CD39" w:sz="8" w:space="3"/>
        </w:pBdr>
        <w:spacing w:after="140" w:before="300"/>
      </w:pPr>
      <w:r>
        <w:rPr>
          <w:rFonts w:ascii="Verdana" w:cs="Verdana" w:eastAsia="Verdana" w:hAnsi="Verdana"/>
          <w:b/>
          <w:bCs/>
          <w:color w:val="295B18"/>
          <w:sz w:val="25"/>
          <w:szCs w:val="25"/>
        </w:rPr>
        <w:t xml:space="preserve">3. Здоровье вымени (обследование 26.09.2026)</w:t>
      </w:r>
    </w:p>
    <w:tbl>
      <w:tblPr>
        <w:tblW w:type="dxa" w:w="1091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1900"/>
        <w:gridCol w:w="1700"/>
        <w:gridCol w:w="2015"/>
        <w:gridCol w:w="1600"/>
      </w:tblGrid>
      <w:tr>
        <w:trPr>
          <w:cantSplit/>
          <w:tblHeader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Показатель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Голов / долей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%</w:t>
            </w:r>
          </w:p>
        </w:tc>
        <w:tc>
          <w:tcPr>
            <w:tcW w:type="dxa" w:w="2015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Ориентир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Клинический мастит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10 гол.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3,0</w:t>
            </w:r>
          </w:p>
        </w:tc>
        <w:tc>
          <w:tcPr>
            <w:tcW w:type="dxa" w:w="20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&lt; 2 % в месяц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B3261E"/>
                <w:sz w:val="17"/>
                <w:szCs w:val="17"/>
              </w:rPr>
              <w:t xml:space="preserve">● Проблема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Субклинический мастит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84 гол.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25,4</w:t>
            </w:r>
          </w:p>
        </w:tc>
        <w:tc>
          <w:tcPr>
            <w:tcW w:type="dxa" w:w="20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&lt; 10–15 %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B3261E"/>
                <w:sz w:val="17"/>
                <w:szCs w:val="17"/>
              </w:rPr>
              <w:t xml:space="preserve">● Проблема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   в т.ч. реакция +++ / ++ / +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40 / 38 / 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12,1 / 11,5 / 1,8</w:t>
            </w:r>
          </w:p>
        </w:tc>
        <w:tc>
          <w:tcPr>
            <w:tcW w:type="dxa" w:w="20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B3261E"/>
                <w:sz w:val="17"/>
                <w:szCs w:val="17"/>
              </w:rPr>
              <w:t xml:space="preserve">● Проблема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Всего с маститом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94 гол.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28,4</w:t>
            </w:r>
          </w:p>
        </w:tc>
        <w:tc>
          <w:tcPr>
            <w:tcW w:type="dxa" w:w="20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&lt; 15 %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B3261E"/>
                <w:sz w:val="17"/>
                <w:szCs w:val="17"/>
              </w:rPr>
              <w:t xml:space="preserve">● Проблема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Коровы с неработающими долями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69 гол.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20,8</w:t>
            </w:r>
          </w:p>
        </w:tc>
        <w:tc>
          <w:tcPr>
            <w:tcW w:type="dxa" w:w="20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&lt; 5 %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B3261E"/>
                <w:sz w:val="17"/>
                <w:szCs w:val="17"/>
              </w:rPr>
              <w:t xml:space="preserve">● Проблема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   в т.ч. две и более / все четыре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23 / 4 гол.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6,9 / 1,2</w:t>
            </w:r>
          </w:p>
        </w:tc>
        <w:tc>
          <w:tcPr>
            <w:tcW w:type="dxa" w:w="20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B3261E"/>
                <w:sz w:val="17"/>
                <w:szCs w:val="17"/>
              </w:rPr>
              <w:t xml:space="preserve">● Проблема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Поражённые маститом доли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203 из 1 324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15,3</w:t>
            </w:r>
          </w:p>
        </w:tc>
        <w:tc>
          <w:tcPr>
            <w:tcW w:type="dxa" w:w="20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B3261E"/>
                <w:sz w:val="17"/>
                <w:szCs w:val="17"/>
              </w:rPr>
              <w:t xml:space="preserve">● Проблема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Неработающие доли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101 из 1 324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7,6</w:t>
            </w:r>
          </w:p>
        </w:tc>
        <w:tc>
          <w:tcPr>
            <w:tcW w:type="dxa" w:w="20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&lt; 2 %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B3261E"/>
                <w:sz w:val="17"/>
                <w:szCs w:val="17"/>
              </w:rPr>
              <w:t xml:space="preserve">● Проблема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Доли с молозивом (новотельные)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8 (2 коровы)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—</w:t>
            </w:r>
          </w:p>
        </w:tc>
        <w:tc>
          <w:tcPr>
            <w:tcW w:type="dxa" w:w="2015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keepLines/>
        <w:spacing w:after="160" w:before="80"/>
        <w:jc w:val="center"/>
      </w:pPr>
      <w:r>
        <w:drawing>
          <wp:inline distT="0" distB="0" distL="0" distR="0">
            <wp:extent cx="600075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cs="Verdana" w:eastAsia="Verdana" w:hAnsi="Verdana"/>
          <w:i/>
          <w:iCs/>
          <w:color w:val="595959"/>
          <w:sz w:val="16"/>
          <w:szCs w:val="16"/>
        </w:rPr>
        <w:br/>
        <w:t xml:space="preserve">Рис. 4. Доля коров с проблемами вымени по секциям и распределение поражений по четвертям</w:t>
      </w:r>
    </w:p>
    <w:tbl>
      <w:tblPr>
        <w:tblW w:type="dxa" w:w="1091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15"/>
        <w:gridCol w:w="1100"/>
        <w:gridCol w:w="1200"/>
        <w:gridCol w:w="1300"/>
        <w:gridCol w:w="1500"/>
        <w:gridCol w:w="1800"/>
        <w:gridCol w:w="1800"/>
      </w:tblGrid>
      <w:tr>
        <w:trPr>
          <w:cantSplit/>
          <w:tblHeader/>
        </w:trPr>
        <w:tc>
          <w:tcPr>
            <w:tcW w:type="dxa" w:w="2215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Секция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Голов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Клинич.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Субклин.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Мастит, %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С неработ. долями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Проблемы вымени, %</w:t>
            </w:r>
          </w:p>
        </w:tc>
      </w:tr>
      <w:tr>
        <w:trPr>
          <w:cantSplit/>
        </w:trPr>
        <w:tc>
          <w:tcPr>
            <w:tcW w:type="dxa" w:w="22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</w:tr>
      <w:tr>
        <w:trPr>
          <w:cantSplit/>
        </w:trPr>
        <w:tc>
          <w:tcPr>
            <w:tcW w:type="dxa" w:w="22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22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125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</w:tr>
      <w:tr>
        <w:trPr>
          <w:cantSplit/>
        </w:trPr>
        <w:tc>
          <w:tcPr>
            <w:tcW w:type="dxa" w:w="22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98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51</w:t>
            </w:r>
          </w:p>
        </w:tc>
      </w:tr>
      <w:tr>
        <w:trPr>
          <w:cantSplit/>
        </w:trPr>
        <w:tc>
          <w:tcPr>
            <w:tcW w:type="dxa" w:w="22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5 «антибиотики»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66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36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62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71</w:t>
            </w:r>
          </w:p>
        </w:tc>
      </w:tr>
      <w:tr>
        <w:trPr>
          <w:cantSplit/>
        </w:trPr>
        <w:tc>
          <w:tcPr>
            <w:tcW w:type="dxa" w:w="2215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Всего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331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84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28,4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69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42,6</w:t>
            </w:r>
          </w:p>
        </w:tc>
      </w:tr>
    </w:tbl>
    <w:p>
      <w:pPr>
        <w:spacing w:after="100" w:before="0" w:line="264"/>
        <w:jc w:val="both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Особенности. </w:t>
      </w:r>
      <w:r>
        <w:rPr>
          <w:rFonts w:ascii="Verdana" w:cs="Verdana" w:eastAsia="Verdana" w:hAnsi="Verdana"/>
          <w:sz w:val="20"/>
          <w:szCs w:val="20"/>
        </w:rPr>
        <w:t xml:space="preserve">В секции «антибиотики» 41 из 66 коров (62 %) остаются положительными по тесту — лечение идёт, но не излечивает: для S. aureus типичен низкий процент выздоровления при лактационной терапии, особенно у коров с хроническим процессом. Секция 4 (98 гол.) — самая неблагополучная из производственных: мастит у 30 %, неработающие доли у 30 коров. Поражения распределены по четвертям равномерно (с небольшим перевесом задней правой), что характерно для передачи возбудителя при доении.</w:t>
      </w:r>
    </w:p>
    <w:p>
      <w:pPr>
        <w:spacing w:after="100" w:before="60" w:line="264"/>
        <w:jc w:val="both"/>
      </w:pPr>
      <w:r>
        <w:rPr>
          <w:rFonts w:ascii="Verdana" w:cs="Verdana" w:eastAsia="Verdana" w:hAnsi="Verdana"/>
          <w:i/>
          <w:iCs/>
          <w:color w:val="595959"/>
          <w:sz w:val="16"/>
          <w:szCs w:val="16"/>
        </w:rPr>
        <w:t xml:space="preserve">В описи 41 запись без номера коровы («бн») — в основном коровы только с неработающими долями; одна корова (053457) внесена дважды — в секции 4 и 5, учтена один раз по худшей записи. Коровы, у которых не доится ни одна доля: 122, 833421, 613773 и одна без номера.</w:t>
      </w:r>
    </w:p>
    <w:p>
      <w:pPr>
        <w:keepNext/>
        <w:pBdr>
          <w:bottom w:val="single" w:color="A5CD39" w:sz="8" w:space="3"/>
        </w:pBdr>
        <w:spacing w:after="140" w:before="300"/>
      </w:pPr>
      <w:r>
        <w:rPr>
          <w:rFonts w:ascii="Verdana" w:cs="Verdana" w:eastAsia="Verdana" w:hAnsi="Verdana"/>
          <w:b/>
          <w:bCs/>
          <w:color w:val="295B18"/>
          <w:sz w:val="25"/>
          <w:szCs w:val="25"/>
        </w:rPr>
        <w:t xml:space="preserve">4. Бактериологическое исследование молока (6 проб, 26.09.2026)</w:t>
      </w:r>
    </w:p>
    <w:tbl>
      <w:tblPr>
        <w:tblW w:type="dxa" w:w="1091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"/>
        <w:gridCol w:w="7715"/>
        <w:gridCol w:w="2700"/>
      </w:tblGrid>
      <w:tr>
        <w:trPr>
          <w:cantSplit/>
          <w:tblHeader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№</w:t>
            </w:r>
          </w:p>
        </w:tc>
        <w:tc>
          <w:tcPr>
            <w:tcW w:type="dxa" w:w="7715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Выделенная микрофлора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Грибы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1</w:t>
            </w:r>
          </w:p>
        </w:tc>
        <w:tc>
          <w:tcPr>
            <w:tcW w:type="dxa" w:w="77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Streptococcus spp., S. aureus, Corynebacterium spp., Bacillus spp., ед. E. faecalis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не выявлены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2</w:t>
            </w:r>
          </w:p>
        </w:tc>
        <w:tc>
          <w:tcPr>
            <w:tcW w:type="dxa" w:w="77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Streptococcus spp., S. aureus, Corynebacterium spp., Bacillus spp., ед. Staphylococcus spp., ед. E. faecalis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не выявлены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3</w:t>
            </w:r>
          </w:p>
        </w:tc>
        <w:tc>
          <w:tcPr>
            <w:tcW w:type="dxa" w:w="77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ед. S. aureus, ед. Bacillus spp.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Candida albicans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4</w:t>
            </w:r>
          </w:p>
        </w:tc>
        <w:tc>
          <w:tcPr>
            <w:tcW w:type="dxa" w:w="77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Streptococcus spp., S. aureus, ед. Staphylococcus spp., ед. Bacillus spp.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не выявлены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5</w:t>
            </w:r>
          </w:p>
        </w:tc>
        <w:tc>
          <w:tcPr>
            <w:tcW w:type="dxa" w:w="77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Streptococcus spp., S. aureus, Bacillus spp., E. faecalis, ед. E. faecium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не выявлены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6</w:t>
            </w:r>
          </w:p>
        </w:tc>
        <w:tc>
          <w:tcPr>
            <w:tcW w:type="dxa" w:w="7715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S. aureus, Streptococcus spp., Bacillus spp., ед. E. faecium, ед. E. faecalis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ед. Aspergillus fumigatus</w:t>
            </w:r>
          </w:p>
        </w:tc>
      </w:tr>
    </w:tbl>
    <w:p>
      <w:pPr>
        <w:spacing w:after="100" w:before="100" w:line="264"/>
        <w:jc w:val="both"/>
      </w:pPr>
      <w:r>
        <w:rPr>
          <w:rFonts w:ascii="Verdana" w:cs="Verdana" w:eastAsia="Verdana" w:hAnsi="Verdana"/>
          <w:sz w:val="20"/>
          <w:szCs w:val="20"/>
        </w:rPr>
        <w:t xml:space="preserve">ПЦР суточной культуры стрептококков (пробы 1–6): S. dysgalactiae — положительно, S. uberis — положительно, S. agalactiae — отрицательно. ПЦР объединённой пробы: Mycoplasma bovis и M. californicum — отрицательно.</w:t>
      </w:r>
    </w:p>
    <w:p>
      <w:pPr>
        <w:spacing w:after="60"/>
      </w:pPr>
    </w:p>
    <w:tbl>
      <w:tblPr>
        <w:tblW w:type="dxa" w:w="1091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15"/>
        <w:gridCol w:w="2200"/>
        <w:gridCol w:w="2900"/>
        <w:gridCol w:w="1600"/>
      </w:tblGrid>
      <w:tr>
        <w:trPr>
          <w:cantSplit/>
          <w:tblHeader/>
        </w:trPr>
        <w:tc>
          <w:tcPr>
            <w:tcW w:type="dxa" w:w="4215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Препарат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Эффективен (проб из 6)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Пробы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42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Амоксициллин/клавуланат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5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1, 2, 4, 5, 6 (+++)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3A8A2E"/>
                <w:sz w:val="17"/>
                <w:szCs w:val="17"/>
              </w:rPr>
              <w:t xml:space="preserve">● Норма</w:t>
            </w:r>
          </w:p>
        </w:tc>
      </w:tr>
      <w:tr>
        <w:trPr>
          <w:cantSplit/>
        </w:trPr>
        <w:tc>
          <w:tcPr>
            <w:tcW w:type="dxa" w:w="42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Гентамицин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5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1, 2, 4, 5, 6 (+++)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3A8A2E"/>
                <w:sz w:val="17"/>
                <w:szCs w:val="17"/>
              </w:rPr>
              <w:t xml:space="preserve">● Норма</w:t>
            </w:r>
          </w:p>
        </w:tc>
      </w:tr>
      <w:tr>
        <w:trPr>
          <w:cantSplit/>
        </w:trPr>
        <w:tc>
          <w:tcPr>
            <w:tcW w:type="dxa" w:w="42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Цефтиофур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5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1, 2 (+++); 4, 5, 6 (++)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3A8A2E"/>
                <w:sz w:val="17"/>
                <w:szCs w:val="17"/>
              </w:rPr>
              <w:t xml:space="preserve">● Норма</w:t>
            </w:r>
          </w:p>
        </w:tc>
      </w:tr>
      <w:tr>
        <w:trPr>
          <w:cantSplit/>
        </w:trPr>
        <w:tc>
          <w:tcPr>
            <w:tcW w:type="dxa" w:w="42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Тилозин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3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2, 4, 6 (+++)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C98A00"/>
                <w:sz w:val="17"/>
                <w:szCs w:val="17"/>
              </w:rPr>
              <w:t xml:space="preserve">● Риск</w:t>
            </w:r>
          </w:p>
        </w:tc>
      </w:tr>
      <w:tr>
        <w:trPr>
          <w:cantSplit/>
        </w:trPr>
        <w:tc>
          <w:tcPr>
            <w:tcW w:type="dxa" w:w="42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Цефалексин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3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2, 4, 5 (+++)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C98A00"/>
                <w:sz w:val="17"/>
                <w:szCs w:val="17"/>
              </w:rPr>
              <w:t xml:space="preserve">● Риск</w:t>
            </w:r>
          </w:p>
        </w:tc>
      </w:tr>
      <w:tr>
        <w:trPr>
          <w:cantSplit/>
        </w:trPr>
        <w:tc>
          <w:tcPr>
            <w:tcW w:type="dxa" w:w="42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Канамицин / неомицин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3 / 3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2, 4, 6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C98A00"/>
                <w:sz w:val="17"/>
                <w:szCs w:val="17"/>
              </w:rPr>
              <w:t xml:space="preserve">● Риск</w:t>
            </w:r>
          </w:p>
        </w:tc>
      </w:tr>
      <w:tr>
        <w:trPr>
          <w:cantSplit/>
        </w:trPr>
        <w:tc>
          <w:tcPr>
            <w:tcW w:type="dxa" w:w="42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Левофлоксацин / стрептомицин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3 / 3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2, 5, 6 / 2, 4, 6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C98A00"/>
                <w:sz w:val="17"/>
                <w:szCs w:val="17"/>
              </w:rPr>
              <w:t xml:space="preserve">● Риск</w:t>
            </w:r>
          </w:p>
        </w:tc>
      </w:tr>
      <w:tr>
        <w:trPr>
          <w:cantSplit/>
        </w:trPr>
        <w:tc>
          <w:tcPr>
            <w:tcW w:type="dxa" w:w="42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Новобиоцин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2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1 (+), 5 (+++)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B3261E"/>
                <w:sz w:val="17"/>
                <w:szCs w:val="17"/>
              </w:rPr>
              <w:t xml:space="preserve">● Проблема</w:t>
            </w:r>
          </w:p>
        </w:tc>
      </w:tr>
      <w:tr>
        <w:trPr>
          <w:cantSplit/>
        </w:trPr>
        <w:tc>
          <w:tcPr>
            <w:tcW w:type="dxa" w:w="42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Амоксициллин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1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B3261E"/>
                <w:sz w:val="17"/>
                <w:szCs w:val="17"/>
              </w:rPr>
              <w:t xml:space="preserve">● Проблема</w:t>
            </w:r>
          </w:p>
        </w:tc>
      </w:tr>
      <w:tr>
        <w:trPr>
          <w:cantSplit/>
        </w:trPr>
        <w:tc>
          <w:tcPr>
            <w:tcW w:type="dxa" w:w="4215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Бензилпенициллин, ампициллин, клоксациллин, клиндамицин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0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B3261E"/>
                <w:sz w:val="17"/>
                <w:szCs w:val="17"/>
              </w:rPr>
              <w:t xml:space="preserve">● Проблема</w:t>
            </w:r>
          </w:p>
        </w:tc>
      </w:tr>
    </w:tbl>
    <w:tbl>
      <w:tblPr>
        <w:tblW w:type="dxa" w:w="1091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15"/>
      </w:tblGrid>
      <w:tr>
        <w:trPr>
          <w:cantSplit/>
        </w:trPr>
        <w:tc>
          <w:tcPr>
            <w:tcW w:type="dxa" w:w="10915"/>
            <w:tcBorders>
              <w:top w:val="none" w:color="FFFFFF" w:sz="0"/>
              <w:left w:val="single" w:color="A5CD39" w:sz="36"/>
              <w:bottom w:val="none" w:color="FFFFFF" w:sz="0"/>
              <w:right w:val="none" w:color="FFFFFF" w:sz="0"/>
            </w:tcBorders>
            <w:shd w:fill="F0F2EC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20"/>
                <w:szCs w:val="20"/>
              </w:rPr>
              <w:t xml:space="preserve">Интерпретация</w:t>
            </w:r>
          </w:p>
          <w:p>
            <w:pPr>
              <w:spacing w:after="80" w:before="0" w:line="264"/>
              <w:jc w:val="both"/>
            </w:pPr>
            <w:r>
              <w:rPr>
                <w:rFonts w:ascii="Verdana" w:cs="Verdana" w:eastAsia="Verdana" w:hAnsi="Verdana"/>
                <w:b/>
                <w:bCs/>
                <w:sz w:val="20"/>
                <w:szCs w:val="20"/>
              </w:rPr>
              <w:t xml:space="preserve">S. aureus во всех пробах — контагиозный мастит. </w:t>
            </w:r>
            <w:r>
              <w:rPr>
                <w:rFonts w:ascii="Verdana" w:cs="Verdana" w:eastAsia="Verdana" w:hAnsi="Verdana"/>
                <w:sz w:val="20"/>
                <w:szCs w:val="20"/>
              </w:rPr>
              <w:t xml:space="preserve">Резервуар — инфицированные доли коров, передача — при доении (руки, салфетки, доильные стаканы, обратные удары молока). S. aureus образует очаги в ткани вымени, поэтому лечение в лактацию излечивает лишь часть коров, особенно хронических; основные инструменты — профилактика передачи, лечение при запуске и выбраковка хронических носителей.</w:t>
            </w:r>
          </w:p>
          <w:p>
            <w:pPr>
              <w:spacing w:after="80" w:before="0" w:line="264"/>
              <w:jc w:val="both"/>
            </w:pPr>
            <w:r>
              <w:rPr>
                <w:rFonts w:ascii="Verdana" w:cs="Verdana" w:eastAsia="Verdana" w:hAnsi="Verdana"/>
                <w:b/>
                <w:bCs/>
                <w:sz w:val="20"/>
                <w:szCs w:val="20"/>
              </w:rPr>
              <w:t xml:space="preserve">Устойчивость к пенициллину, ампициллину и клоксациллину </w:t>
            </w:r>
            <w:r>
              <w:rPr>
                <w:rFonts w:ascii="Verdana" w:cs="Verdana" w:eastAsia="Verdana" w:hAnsi="Verdana"/>
                <w:sz w:val="20"/>
                <w:szCs w:val="20"/>
              </w:rPr>
              <w:t xml:space="preserve">указывает на β-лактамазную активность. Многие препараты для запуска и лактационные тубы содержат клоксациллин или пенициллин — их применение здесь бесполезно. Устойчивость к клоксациллину при чувствительности к амоксициллину/клавуланату и цефалоспоринам получена на смешанных культурах; для исключения метициллинорезистентного S. aureus рекомендуется подтверждение на чистой культуре (тест с цефокситином).</w:t>
            </w:r>
          </w:p>
          <w:p>
            <w:pPr>
              <w:spacing w:after="0" w:before="0" w:line="264"/>
              <w:jc w:val="both"/>
            </w:pPr>
            <w:r>
              <w:rPr>
                <w:rFonts w:ascii="Verdana" w:cs="Verdana" w:eastAsia="Verdana" w:hAnsi="Verdana"/>
                <w:b/>
                <w:bCs/>
                <w:sz w:val="20"/>
                <w:szCs w:val="20"/>
              </w:rPr>
              <w:t xml:space="preserve">Грибы (Candida albicans, Aspergillus) — в 2 пробах из 6, </w:t>
            </w:r>
            <w:r>
              <w:rPr>
                <w:rFonts w:ascii="Verdana" w:cs="Verdana" w:eastAsia="Verdana" w:hAnsi="Verdana"/>
                <w:sz w:val="20"/>
                <w:szCs w:val="20"/>
              </w:rPr>
              <w:t xml:space="preserve">значительно меньше, чем в Рясне (7 из 8), но проба с Candida устойчива ко всем препаратам. Это признак повторных внутрицистернальных введений с нарушением асептики у отдельных коров. S. uberis и энтерококки — дополнительный вклад окружающей среды (подстилка, навоз).</w:t>
            </w:r>
          </w:p>
        </w:tc>
      </w:tr>
    </w:tbl>
    <w:p>
      <w:pPr>
        <w:keepNext/>
        <w:pBdr>
          <w:bottom w:val="single" w:color="A5CD39" w:sz="8" w:space="3"/>
        </w:pBdr>
        <w:spacing w:after="140" w:before="300"/>
      </w:pPr>
      <w:r>
        <w:rPr>
          <w:rFonts w:ascii="Verdana" w:cs="Verdana" w:eastAsia="Verdana" w:hAnsi="Verdana"/>
          <w:b/>
          <w:bCs/>
          <w:color w:val="295B18"/>
          <w:sz w:val="25"/>
          <w:szCs w:val="25"/>
        </w:rPr>
        <w:t xml:space="preserve">5. Доильное оборудование и промывка (30.09.2026)</w:t>
      </w:r>
    </w:p>
    <w:tbl>
      <w:tblPr>
        <w:tblW w:type="dxa" w:w="1091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3700"/>
        <w:gridCol w:w="2815"/>
        <w:gridCol w:w="1600"/>
      </w:tblGrid>
      <w:tr>
        <w:trPr>
          <w:cantSplit/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Узел / параметр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Факт</w:t>
            </w:r>
          </w:p>
        </w:tc>
        <w:tc>
          <w:tcPr>
            <w:tcW w:type="dxa" w:w="2815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Норма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Вакуум в системе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color w:val="C98A00"/>
                <w:sz w:val="17"/>
                <w:szCs w:val="17"/>
              </w:rPr>
              <w:t xml:space="preserve">43,9–44,3 кПа</w:t>
            </w:r>
          </w:p>
        </w:tc>
        <w:tc>
          <w:tcPr>
            <w:tcW w:type="dxa" w:w="28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42 ± 2 кПа (нижняя эвакуация), макс. 44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C98A00"/>
                <w:sz w:val="17"/>
                <w:szCs w:val="17"/>
              </w:rPr>
              <w:t xml:space="preserve">● Риск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Регулятор вакуума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color w:val="B3261E"/>
                <w:sz w:val="17"/>
                <w:szCs w:val="17"/>
              </w:rPr>
              <w:t xml:space="preserve">фильтр забит пылью и масляными отложениями, критическое загрязнение</w:t>
            </w:r>
          </w:p>
        </w:tc>
        <w:tc>
          <w:tcPr>
            <w:tcW w:type="dxa" w:w="28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чистый фильтр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B3261E"/>
                <w:sz w:val="17"/>
                <w:szCs w:val="17"/>
              </w:rPr>
              <w:t xml:space="preserve">● Проблема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Пульсаторы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59,9–60,1 такта/мин</w:t>
            </w:r>
          </w:p>
        </w:tc>
        <w:tc>
          <w:tcPr>
            <w:tcW w:type="dxa" w:w="28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60 ± 2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3A8A2E"/>
                <w:sz w:val="17"/>
                <w:szCs w:val="17"/>
              </w:rPr>
              <w:t xml:space="preserve">● Норма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Молочные шланги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color w:val="B3261E"/>
                <w:sz w:val="17"/>
                <w:szCs w:val="17"/>
              </w:rPr>
              <w:t xml:space="preserve">длительная эксплуатация, потеря эластичности, неудаляемый налёт</w:t>
            </w:r>
          </w:p>
        </w:tc>
        <w:tc>
          <w:tcPr>
            <w:tcW w:type="dxa" w:w="28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замена по регламенту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B3261E"/>
                <w:sz w:val="17"/>
                <w:szCs w:val="17"/>
              </w:rPr>
              <w:t xml:space="preserve">● Проблема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Двойные вакуумные шланги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color w:val="B3261E"/>
                <w:sz w:val="17"/>
                <w:szCs w:val="17"/>
              </w:rPr>
              <w:t xml:space="preserve">изношены на 9 доильных местах</w:t>
            </w:r>
          </w:p>
        </w:tc>
        <w:tc>
          <w:tcPr>
            <w:tcW w:type="dxa" w:w="28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замена по регламенту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B3261E"/>
                <w:sz w:val="17"/>
                <w:szCs w:val="17"/>
              </w:rPr>
              <w:t xml:space="preserve">● Проблема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Сосковая резина, короткие патрубки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удовлетворительно</w:t>
            </w:r>
          </w:p>
        </w:tc>
        <w:tc>
          <w:tcPr>
            <w:tcW w:type="dxa" w:w="28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3A8A2E"/>
                <w:sz w:val="17"/>
                <w:szCs w:val="17"/>
              </w:rPr>
              <w:t xml:space="preserve">● Норма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Промывка: первое ополаскивание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36 °C, 18 мин</w:t>
            </w:r>
          </w:p>
        </w:tc>
        <w:tc>
          <w:tcPr>
            <w:tcW w:type="dxa" w:w="28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35–40 °C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3A8A2E"/>
                <w:sz w:val="17"/>
                <w:szCs w:val="17"/>
              </w:rPr>
              <w:t xml:space="preserve">● Норма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Промывка: основной цикл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color w:val="C98A00"/>
                <w:sz w:val="17"/>
                <w:szCs w:val="17"/>
              </w:rPr>
              <w:t xml:space="preserve">67 °C (датчик показывает 61 °C), 29 мин</w:t>
            </w:r>
          </w:p>
        </w:tc>
        <w:tc>
          <w:tcPr>
            <w:tcW w:type="dxa" w:w="28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по инструкции средства; исправный датчик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C98A00"/>
                <w:sz w:val="17"/>
                <w:szCs w:val="17"/>
              </w:rPr>
              <w:t xml:space="preserve">● Риск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Концентрация щелочного средства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color w:val="C98A00"/>
                <w:sz w:val="17"/>
                <w:szCs w:val="17"/>
              </w:rPr>
              <w:t xml:space="preserve">0,9 % (1 800 мл на 200 л)</w:t>
            </w:r>
          </w:p>
        </w:tc>
        <w:tc>
          <w:tcPr>
            <w:tcW w:type="dxa" w:w="28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уточнить по инструкции DESOLUT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C98A00"/>
                <w:sz w:val="17"/>
                <w:szCs w:val="17"/>
              </w:rPr>
              <w:t xml:space="preserve">● Риск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Промывка: итог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видимых отложений нет; общее время 56 мин</w:t>
            </w:r>
          </w:p>
        </w:tc>
        <w:tc>
          <w:tcPr>
            <w:tcW w:type="dxa" w:w="2815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3A8A2E"/>
                <w:sz w:val="17"/>
                <w:szCs w:val="17"/>
              </w:rPr>
              <w:t xml:space="preserve">● Норма</w:t>
            </w:r>
          </w:p>
        </w:tc>
      </w:tr>
    </w:tbl>
    <w:p>
      <w:pPr>
        <w:spacing w:after="100" w:before="0" w:line="264"/>
        <w:jc w:val="both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Связь с маститом. </w:t>
      </w:r>
      <w:r>
        <w:rPr>
          <w:rFonts w:ascii="Verdana" w:cs="Verdana" w:eastAsia="Verdana" w:hAnsi="Verdana"/>
          <w:sz w:val="20"/>
          <w:szCs w:val="20"/>
        </w:rPr>
        <w:t xml:space="preserve">При S. aureus доильный зал — главный путь передачи: возбудитель с сосков больной коровы остаётся на сосковой резине и переносится на следующих 6–8 коров. Нестабильный вакуум (засорённый регулятор, негерметичные шланги) усиливает проскальзывание стаканов и обратные удары молока. Налёт в молочных шлангах — источник обсеменения молока и снижения сортности.</w:t>
      </w:r>
    </w:p>
    <w:p>
      <w:pPr>
        <w:spacing w:after="100" w:before="60" w:line="264"/>
        <w:jc w:val="both"/>
      </w:pPr>
      <w:r>
        <w:rPr>
          <w:rFonts w:ascii="Verdana" w:cs="Verdana" w:eastAsia="Verdana" w:hAnsi="Verdana"/>
          <w:i/>
          <w:iCs/>
          <w:color w:val="595959"/>
          <w:sz w:val="16"/>
          <w:szCs w:val="16"/>
        </w:rPr>
        <w:t xml:space="preserve">В акте состояние молочных шлангов в перечне отмечено как удовлетворительное, а в замечаниях — длительная эксплуатация и налёт; в отчёте принята оценка по замечаниям. Рекомендация производителя по концентрации в акте указана как «0,3–5 %» — вероятно, опечатка (обычно 0,3–0,5 %); при 0,5 % концентрация 0,9 % почти вдвое выше нужной.</w:t>
      </w:r>
    </w:p>
    <w:p>
      <w:pPr>
        <w:keepNext/>
        <w:pBdr>
          <w:bottom w:val="single" w:color="A5CD39" w:sz="8" w:space="3"/>
        </w:pBdr>
        <w:spacing w:after="140" w:before="300"/>
      </w:pPr>
      <w:r>
        <w:rPr>
          <w:rFonts w:ascii="Verdana" w:cs="Verdana" w:eastAsia="Verdana" w:hAnsi="Verdana"/>
          <w:b/>
          <w:bCs/>
          <w:color w:val="295B18"/>
          <w:sz w:val="25"/>
          <w:szCs w:val="25"/>
        </w:rPr>
        <w:t xml:space="preserve">6. Ортопедия (оценка походки 23.09.2026)</w:t>
      </w:r>
    </w:p>
    <w:tbl>
      <w:tblPr>
        <w:tblW w:type="dxa" w:w="1091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3815"/>
        <w:gridCol w:w="1100"/>
        <w:gridCol w:w="1300"/>
        <w:gridCol w:w="1400"/>
        <w:gridCol w:w="2600"/>
      </w:tblGrid>
      <w:tr>
        <w:trPr>
          <w:cantSplit/>
          <w:tblHeader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Балл</w:t>
            </w:r>
          </w:p>
        </w:tc>
        <w:tc>
          <w:tcPr>
            <w:tcW w:type="dxa" w:w="3815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Расшифровка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Голов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%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Цель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0</w:t>
            </w:r>
          </w:p>
        </w:tc>
        <w:tc>
          <w:tcPr>
            <w:tcW w:type="dxa" w:w="38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без признаков хромоты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180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54,1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≥ 90 %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B3261E"/>
                <w:sz w:val="17"/>
                <w:szCs w:val="17"/>
              </w:rPr>
              <w:t xml:space="preserve">● Проблема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1</w:t>
            </w:r>
          </w:p>
        </w:tc>
        <w:tc>
          <w:tcPr>
            <w:tcW w:type="dxa" w:w="38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лёгкая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88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26,4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—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C98A00"/>
                <w:sz w:val="17"/>
                <w:szCs w:val="17"/>
              </w:rPr>
              <w:t xml:space="preserve">● Риск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2</w:t>
            </w:r>
          </w:p>
        </w:tc>
        <w:tc>
          <w:tcPr>
            <w:tcW w:type="dxa" w:w="38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средняя — видна больная нога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52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15,6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—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B3261E"/>
                <w:sz w:val="17"/>
                <w:szCs w:val="17"/>
              </w:rPr>
              <w:t xml:space="preserve">● Проблема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3</w:t>
            </w:r>
          </w:p>
        </w:tc>
        <w:tc>
          <w:tcPr>
            <w:tcW w:type="dxa" w:w="38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тяжёлая — не опирается на ногу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10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3,0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&lt; 3 %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C98A00"/>
                <w:sz w:val="17"/>
                <w:szCs w:val="17"/>
              </w:rPr>
              <w:t xml:space="preserve">● Риск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4</w:t>
            </w:r>
          </w:p>
        </w:tc>
        <w:tc>
          <w:tcPr>
            <w:tcW w:type="dxa" w:w="38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отросший рог, нужна обрезка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0,9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—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3A8A2E"/>
                <w:sz w:val="17"/>
                <w:szCs w:val="17"/>
              </w:rPr>
              <w:t xml:space="preserve">● Норма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1–3</w:t>
            </w:r>
          </w:p>
        </w:tc>
        <w:tc>
          <w:tcPr>
            <w:tcW w:type="dxa" w:w="38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всего хромых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150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45,0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&lt; 10 %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B3261E"/>
                <w:sz w:val="17"/>
                <w:szCs w:val="17"/>
              </w:rPr>
              <w:t xml:space="preserve">● Проблема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—</w:t>
            </w:r>
          </w:p>
        </w:tc>
        <w:tc>
          <w:tcPr>
            <w:tcW w:type="dxa" w:w="3815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средний балл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0,70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≤ 0,5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B3261E"/>
                <w:sz w:val="17"/>
                <w:szCs w:val="17"/>
              </w:rPr>
              <w:t xml:space="preserve">● Проблема</w:t>
            </w:r>
          </w:p>
        </w:tc>
      </w:tr>
    </w:tbl>
    <w:p>
      <w:pPr>
        <w:keepLines/>
        <w:spacing w:after="160" w:before="80"/>
        <w:jc w:val="center"/>
      </w:pPr>
      <w:r>
        <w:drawing>
          <wp:inline distT="0" distB="0" distL="0" distR="0">
            <wp:extent cx="447675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cs="Verdana" w:eastAsia="Verdana" w:hAnsi="Verdana"/>
          <w:i/>
          <w:iCs/>
          <w:color w:val="595959"/>
          <w:sz w:val="16"/>
          <w:szCs w:val="16"/>
        </w:rPr>
        <w:br/>
        <w:t xml:space="preserve">Рис. 5. Распределение баллов хромоты</w:t>
      </w:r>
    </w:p>
    <w:p>
      <w:pPr>
        <w:spacing w:after="100" w:before="0" w:line="264"/>
        <w:jc w:val="both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Оценка. </w:t>
      </w:r>
      <w:r>
        <w:rPr>
          <w:rFonts w:ascii="Verdana" w:cs="Verdana" w:eastAsia="Verdana" w:hAnsi="Verdana"/>
          <w:sz w:val="20"/>
          <w:szCs w:val="20"/>
        </w:rPr>
        <w:t xml:space="preserve">Хромых 45 % — в 4,5 раза выше цели, но структура благоприятнее, чем в Рясне: преобладает лёгкая хромота (88 гол.), тяжёлая — на границе нормы, коров с отросшим рогом почти нет (обрезка проводится). Своевременная лечебная обрезка коров с баллами 1–2 даст быстрый эффект. Причины по данным не установить: анкета по полам, копытным ваннам и кормлению не заполнялась, номера и секции коров в описи не указаны.</w:t>
      </w:r>
    </w:p>
    <w:p>
      <w:pPr>
        <w:keepNext/>
        <w:pBdr>
          <w:bottom w:val="single" w:color="A5CD39" w:sz="8" w:space="3"/>
        </w:pBdr>
        <w:spacing w:after="140" w:before="300"/>
      </w:pPr>
      <w:r>
        <w:rPr>
          <w:rFonts w:ascii="Verdana" w:cs="Verdana" w:eastAsia="Verdana" w:hAnsi="Verdana"/>
          <w:b/>
          <w:bCs/>
          <w:color w:val="295B18"/>
          <w:sz w:val="25"/>
          <w:szCs w:val="25"/>
        </w:rPr>
        <w:t xml:space="preserve">7. Сколько в стаде здоровых коров</w:t>
      </w:r>
    </w:p>
    <w:p>
      <w:pPr>
        <w:spacing w:after="100" w:before="0" w:line="264"/>
        <w:jc w:val="both"/>
      </w:pPr>
      <w:r>
        <w:rPr>
          <w:rFonts w:ascii="Verdana" w:cs="Verdana" w:eastAsia="Verdana" w:hAnsi="Verdana"/>
          <w:sz w:val="20"/>
          <w:szCs w:val="20"/>
        </w:rPr>
        <w:t xml:space="preserve">Опись по хромоте не содержит ни номеров коров, ни секций, поэтому сопоставление с описью по маститу возможно только на уровне стада: нижняя граница — если все больные маститом ещё и хромые, верхняя — если пересечений нет, оценка — при независимом распределении.</w:t>
      </w:r>
    </w:p>
    <w:tbl>
      <w:tblPr>
        <w:tblW w:type="dxa" w:w="1091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15"/>
        <w:gridCol w:w="2400"/>
        <w:gridCol w:w="2000"/>
        <w:gridCol w:w="1600"/>
      </w:tblGrid>
      <w:tr>
        <w:trPr>
          <w:cantSplit/>
          <w:tblHeader/>
        </w:trPr>
        <w:tc>
          <w:tcPr>
            <w:tcW w:type="dxa" w:w="4915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Что считается «больной коровой»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Больных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Здоровых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49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Мастит (94) + хромые баллы 1–3 (150)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≈ 201 (150–244)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color w:val="B3261E"/>
                <w:sz w:val="17"/>
                <w:szCs w:val="17"/>
              </w:rPr>
              <w:t xml:space="preserve">≈ 130 (39 %)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B3261E"/>
                <w:sz w:val="17"/>
                <w:szCs w:val="17"/>
              </w:rPr>
              <w:t xml:space="preserve">● Проблема</w:t>
            </w:r>
          </w:p>
        </w:tc>
      </w:tr>
      <w:tr>
        <w:trPr>
          <w:cantSplit/>
        </w:trPr>
        <w:tc>
          <w:tcPr>
            <w:tcW w:type="dxa" w:w="49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+ коровы с неработающими долями (всего 141 с проблемами вымени)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≈ 227 (150–291)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color w:val="B3261E"/>
                <w:sz w:val="17"/>
                <w:szCs w:val="17"/>
              </w:rPr>
              <w:t xml:space="preserve">≈ 104 (31 %)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B3261E"/>
                <w:sz w:val="17"/>
                <w:szCs w:val="17"/>
              </w:rPr>
              <w:t xml:space="preserve">● Проблема</w:t>
            </w:r>
          </w:p>
        </w:tc>
      </w:tr>
      <w:tr>
        <w:trPr>
          <w:cantSplit/>
        </w:trPr>
        <w:tc>
          <w:tcPr>
            <w:tcW w:type="dxa" w:w="4915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+ балл 4 (нужна обрезка)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≈ 229 (153–294)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color w:val="B3261E"/>
                <w:sz w:val="17"/>
                <w:szCs w:val="17"/>
              </w:rPr>
              <w:t xml:space="preserve">≈ 102 (31 %)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B3261E"/>
                <w:sz w:val="17"/>
                <w:szCs w:val="17"/>
              </w:rPr>
              <w:t xml:space="preserve">● Проблема</w:t>
            </w:r>
          </w:p>
        </w:tc>
      </w:tr>
    </w:tbl>
    <w:p>
      <w:pPr>
        <w:spacing w:after="100" w:before="80" w:line="264"/>
        <w:jc w:val="both"/>
      </w:pPr>
      <w:r>
        <w:rPr>
          <w:rFonts w:ascii="Verdana" w:cs="Verdana" w:eastAsia="Verdana" w:hAnsi="Verdana"/>
          <w:sz w:val="20"/>
          <w:szCs w:val="20"/>
        </w:rPr>
        <w:t xml:space="preserve">Здоровыми по вымени и конечностям одновременно можно считать около трети дойного стада. Для точного подсчёта при следующей оценке походки записывать номер коровы и секцию.</w:t>
      </w:r>
    </w:p>
    <w:p>
      <w:pPr>
        <w:keepNext/>
        <w:pBdr>
          <w:bottom w:val="single" w:color="A5CD39" w:sz="8" w:space="3"/>
        </w:pBdr>
        <w:spacing w:after="140" w:before="300"/>
      </w:pPr>
      <w:r>
        <w:rPr>
          <w:rFonts w:ascii="Verdana" w:cs="Verdana" w:eastAsia="Verdana" w:hAnsi="Verdana"/>
          <w:b/>
          <w:bCs/>
          <w:color w:val="295B18"/>
          <w:sz w:val="25"/>
          <w:szCs w:val="25"/>
        </w:rPr>
        <w:t xml:space="preserve">8. Как проблемы связаны между собой</w:t>
      </w:r>
    </w:p>
    <w:tbl>
      <w:tblPr>
        <w:tblW w:type="dxa" w:w="1091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15"/>
      </w:tblGrid>
      <w:tr>
        <w:trPr>
          <w:cantSplit/>
        </w:trPr>
        <w:tc>
          <w:tcPr>
            <w:tcW w:type="dxa" w:w="10915"/>
            <w:tcBorders>
              <w:top w:val="none" w:color="FFFFFF" w:sz="0"/>
              <w:left w:val="single" w:color="A5CD39" w:sz="36"/>
              <w:bottom w:val="none" w:color="FFFFFF" w:sz="0"/>
              <w:right w:val="none" w:color="FFFFFF" w:sz="0"/>
            </w:tcBorders>
            <w:shd w:fill="F0F2EC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80" w:before="0" w:line="264"/>
              <w:jc w:val="both"/>
            </w:pPr>
            <w:r>
              <w:rPr>
                <w:rFonts w:ascii="Verdana" w:cs="Verdana" w:eastAsia="Verdana" w:hAnsi="Verdana"/>
                <w:b/>
                <w:bCs/>
                <w:sz w:val="20"/>
                <w:szCs w:val="20"/>
              </w:rPr>
              <w:t xml:space="preserve">Вымя. </w:t>
            </w:r>
            <w:r>
              <w:rPr>
                <w:rFonts w:ascii="Verdana" w:cs="Verdana" w:eastAsia="Verdana" w:hAnsi="Verdana"/>
                <w:sz w:val="20"/>
                <w:szCs w:val="20"/>
              </w:rPr>
              <w:t xml:space="preserve">Резервуар S. aureus в хронически больных долях → передача при доении (сосковая резина, руки, нестабильный вакуум, налёт в шлангах) → новые субклинические случаи (25,4 %) → лечение в лактацию препаратами, к которым флора устойчива (пенициллины, клоксациллин), или с низкой эффективностью против S. aureus → хронизация, неработающие доли (69 коров), группа «антибиотики» в 20 % стада.</w:t>
            </w:r>
          </w:p>
          <w:p>
            <w:pPr>
              <w:spacing w:after="80" w:before="0" w:line="264"/>
              <w:jc w:val="both"/>
            </w:pPr>
            <w:r>
              <w:rPr>
                <w:rFonts w:ascii="Verdana" w:cs="Verdana" w:eastAsia="Verdana" w:hAnsi="Verdana"/>
                <w:b/>
                <w:bCs/>
                <w:sz w:val="20"/>
                <w:szCs w:val="20"/>
              </w:rPr>
              <w:t xml:space="preserve">Экономика. </w:t>
            </w:r>
            <w:r>
              <w:rPr>
                <w:rFonts w:ascii="Verdana" w:cs="Verdana" w:eastAsia="Verdana" w:hAnsi="Verdana"/>
                <w:sz w:val="20"/>
                <w:szCs w:val="20"/>
              </w:rPr>
              <w:t xml:space="preserve">Молоко группы «антибиотики» не реализуется → товарность 69–78 % летом, 581,7 т «выпойки» за 9 месяцев → реализация в сентябре −29 % к прошлому году. Хронических коров выбраковывают → выбытие ≈ 44 % в год при отсутствии ремонта → стадо сокращается.</w:t>
            </w:r>
          </w:p>
          <w:p>
            <w:pPr>
              <w:spacing w:after="0" w:before="0" w:line="264"/>
              <w:jc w:val="both"/>
            </w:pPr>
            <w:r>
              <w:rPr>
                <w:rFonts w:ascii="Verdana" w:cs="Verdana" w:eastAsia="Verdana" w:hAnsi="Verdana"/>
                <w:b/>
                <w:bCs/>
                <w:sz w:val="20"/>
                <w:szCs w:val="20"/>
              </w:rPr>
              <w:t xml:space="preserve">Хромота. </w:t>
            </w:r>
            <w:r>
              <w:rPr>
                <w:rFonts w:ascii="Verdana" w:cs="Verdana" w:eastAsia="Verdana" w:hAnsi="Verdana"/>
                <w:sz w:val="20"/>
                <w:szCs w:val="20"/>
              </w:rPr>
              <w:t xml:space="preserve">45 % хромых коров дольше лежат и меньше едят → снижение удоя (с июля ниже прошлого года), слабое проявление охоты → меньше осеменений.</w:t>
            </w:r>
          </w:p>
        </w:tc>
      </w:tr>
    </w:tbl>
    <w:p>
      <w:pPr>
        <w:keepNext/>
        <w:pBdr>
          <w:bottom w:val="single" w:color="A5CD39" w:sz="8" w:space="3"/>
        </w:pBdr>
        <w:spacing w:after="140" w:before="300"/>
      </w:pPr>
      <w:r>
        <w:rPr>
          <w:rFonts w:ascii="Verdana" w:cs="Verdana" w:eastAsia="Verdana" w:hAnsi="Verdana"/>
          <w:b/>
          <w:bCs/>
          <w:color w:val="295B18"/>
          <w:sz w:val="25"/>
          <w:szCs w:val="25"/>
        </w:rPr>
        <w:t xml:space="preserve">9. Рекомендации</w:t>
      </w:r>
    </w:p>
    <w:p>
      <w:pPr>
        <w:keepNext/>
        <w:spacing w:after="80" w:before="160"/>
      </w:pPr>
      <w:r>
        <w:rPr>
          <w:rFonts w:ascii="Verdana" w:cs="Verdana" w:eastAsia="Verdana" w:hAnsi="Verdana"/>
          <w:b/>
          <w:bCs/>
          <w:color w:val="295B18"/>
          <w:sz w:val="20"/>
          <w:szCs w:val="20"/>
        </w:rPr>
        <w:t xml:space="preserve">Немедленно (1–2 недели) — остановить передачу S. aureus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Порядок доения: </w:t>
      </w:r>
      <w:r>
        <w:rPr>
          <w:rFonts w:ascii="Verdana" w:cs="Verdana" w:eastAsia="Verdana" w:hAnsi="Verdana"/>
          <w:sz w:val="20"/>
          <w:szCs w:val="20"/>
        </w:rPr>
        <w:t xml:space="preserve">сначала здоровые коровы и первотёлки, затем субклинические, последними — группа «антибиотики» и клинические; при невозможности — отдельные аппараты для больных.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Дезинфекция доильных стаканов </w:t>
      </w:r>
      <w:r>
        <w:rPr>
          <w:rFonts w:ascii="Verdana" w:cs="Verdana" w:eastAsia="Verdana" w:hAnsi="Verdana"/>
          <w:sz w:val="20"/>
          <w:szCs w:val="20"/>
        </w:rPr>
        <w:t xml:space="preserve">после доения каждой больной коровы (погружение в дезраствор или промывка); перчатки у операторов, индивидуальные салфетки.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Последоильное погружение сосков </w:t>
      </w:r>
      <w:r>
        <w:rPr>
          <w:rFonts w:ascii="Verdana" w:cs="Verdana" w:eastAsia="Verdana" w:hAnsi="Verdana"/>
          <w:sz w:val="20"/>
          <w:szCs w:val="20"/>
        </w:rPr>
        <w:t xml:space="preserve">у всех коров после каждой дойки — главная мера против контагиозного мастита.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Оборудование: </w:t>
      </w:r>
      <w:r>
        <w:rPr>
          <w:rFonts w:ascii="Verdana" w:cs="Verdana" w:eastAsia="Verdana" w:hAnsi="Verdana"/>
          <w:sz w:val="20"/>
          <w:szCs w:val="20"/>
        </w:rPr>
        <w:t xml:space="preserve">заменить фильтр регулятора вакуума, молочные шланги и двойные вакуумные шланги на 9 местах; снизить вакуум до 42 кПа; заменить или откалибровать датчик температуры основной мойки; привести концентрацию щелочного средства к инструкции.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Лечение: </w:t>
      </w:r>
      <w:r>
        <w:rPr>
          <w:rFonts w:ascii="Verdana" w:cs="Verdana" w:eastAsia="Verdana" w:hAnsi="Verdana"/>
          <w:sz w:val="20"/>
          <w:szCs w:val="20"/>
        </w:rPr>
        <w:t xml:space="preserve">отказаться от препаратов на основе пенициллина, ампициллина, клоксациллина и клиндамицина. Клинические случаи — по антибиотикограмме; из испытанных препаратов эффективны амоксициллин/клавуланат, гентамицин, цефтиофур. Строгая асептика внутрицистернальных введений.</w:t>
      </w:r>
    </w:p>
    <w:p>
      <w:pPr>
        <w:keepNext/>
        <w:spacing w:after="80" w:before="160"/>
      </w:pPr>
      <w:r>
        <w:rPr>
          <w:rFonts w:ascii="Verdana" w:cs="Verdana" w:eastAsia="Verdana" w:hAnsi="Verdana"/>
          <w:b/>
          <w:bCs/>
          <w:color w:val="295B18"/>
          <w:sz w:val="20"/>
          <w:szCs w:val="20"/>
        </w:rPr>
        <w:t xml:space="preserve">В течение 1–2 месяцев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Выбраковка хронических носителей S. aureus: </w:t>
      </w:r>
      <w:r>
        <w:rPr>
          <w:rFonts w:ascii="Verdana" w:cs="Verdana" w:eastAsia="Verdana" w:hAnsi="Verdana"/>
          <w:sz w:val="20"/>
          <w:szCs w:val="20"/>
        </w:rPr>
        <w:t xml:space="preserve">в первую очередь 4 коровы без единой работающей доли, затем коровы с двумя и более неработающими долями (23 гол.) и коровы группы «антибиотики» после безуспешного курса.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Разбор группы «антибиотики»: </w:t>
      </w:r>
      <w:r>
        <w:rPr>
          <w:rFonts w:ascii="Verdana" w:cs="Verdana" w:eastAsia="Verdana" w:hAnsi="Verdana"/>
          <w:sz w:val="20"/>
          <w:szCs w:val="20"/>
        </w:rPr>
        <w:t xml:space="preserve">по каждой корове — диагноз, препарат, дата начала, число курсов; коров без перспективы излечения — на запуск или выбраковку, а не на повторные курсы. Цель — сократить группу до ≤ 5 % стада.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Запуск: </w:t>
      </w:r>
      <w:r>
        <w:rPr>
          <w:rFonts w:ascii="Verdana" w:cs="Verdana" w:eastAsia="Verdana" w:hAnsi="Verdana"/>
          <w:sz w:val="20"/>
          <w:szCs w:val="20"/>
        </w:rPr>
        <w:t xml:space="preserve">препарат для запуска — по антибиотикограмме (не на основе клоксациллина) + герметик сосков; запуск — основной шанс излечить S. aureus.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Мониторинг: </w:t>
      </w:r>
      <w:r>
        <w:rPr>
          <w:rFonts w:ascii="Verdana" w:cs="Verdana" w:eastAsia="Verdana" w:hAnsi="Verdana"/>
          <w:sz w:val="20"/>
          <w:szCs w:val="20"/>
        </w:rPr>
        <w:t xml:space="preserve">ежемесячный тест на субклинический мастит всего стада; посев от всех новых клинических случаев; подтверждение S. aureus на чистой культуре (тест с цефокситином).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Ортопедия: </w:t>
      </w:r>
      <w:r>
        <w:rPr>
          <w:rFonts w:ascii="Verdana" w:cs="Verdana" w:eastAsia="Verdana" w:hAnsi="Verdana"/>
          <w:sz w:val="20"/>
          <w:szCs w:val="20"/>
        </w:rPr>
        <w:t xml:space="preserve">лечебная обрезка в первую очередь 10 коров с баллом 3 и 52 с баллом 2, затем 88 с баллом 1 (всего 150 гол.; 6–8 рабочих дней одного обрезчика); заполнить анкету «Здоровье конечностей»; повторная опись с номерами коров.</w:t>
      </w:r>
    </w:p>
    <w:p>
      <w:pPr>
        <w:keepNext/>
        <w:spacing w:after="80" w:before="160"/>
      </w:pPr>
      <w:r>
        <w:rPr>
          <w:rFonts w:ascii="Verdana" w:cs="Verdana" w:eastAsia="Verdana" w:hAnsi="Verdana"/>
          <w:b/>
          <w:bCs/>
          <w:color w:val="295B18"/>
          <w:sz w:val="20"/>
          <w:szCs w:val="20"/>
        </w:rPr>
        <w:t xml:space="preserve">Стадо и воспроизводство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Учёт выбытия коров по причинам </w:t>
      </w:r>
      <w:r>
        <w:rPr>
          <w:rFonts w:ascii="Verdana" w:cs="Verdana" w:eastAsia="Verdana" w:hAnsi="Verdana"/>
          <w:sz w:val="20"/>
          <w:szCs w:val="20"/>
        </w:rPr>
        <w:t xml:space="preserve">(вымя, конечности, воспроизводство, прочее) — для управления выбраковкой.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Ремонт: </w:t>
      </w:r>
      <w:r>
        <w:rPr>
          <w:rFonts w:ascii="Verdana" w:cs="Verdana" w:eastAsia="Verdana" w:hAnsi="Verdana"/>
          <w:sz w:val="20"/>
          <w:szCs w:val="20"/>
        </w:rPr>
        <w:t xml:space="preserve">завоз нетелей до конца 2026 г.; контроль кормления тёлок 2025 г. (привес молодняка прошлых лет в сентябре — 608 г).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Воспроизводство: </w:t>
      </w:r>
      <w:r>
        <w:rPr>
          <w:rFonts w:ascii="Verdana" w:cs="Verdana" w:eastAsia="Verdana" w:hAnsi="Verdana"/>
          <w:sz w:val="20"/>
          <w:szCs w:val="20"/>
        </w:rPr>
        <w:t xml:space="preserve">довести число осеменений коров до ≈ 65–70 в месяц: ежедневное выявление охоты, гинекологическая диспансеризация, синхронизация для коров без охоты.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Учёт молока: </w:t>
      </w:r>
      <w:r>
        <w:rPr>
          <w:rFonts w:ascii="Verdana" w:cs="Verdana" w:eastAsia="Verdana" w:hAnsi="Verdana"/>
          <w:sz w:val="20"/>
          <w:szCs w:val="20"/>
        </w:rPr>
        <w:t xml:space="preserve">разделить статью «выпоено телятам» на фактическую выпойку и молоко коров на лечении — это покажет реальные потери от мастита.</w:t>
      </w:r>
    </w:p>
    <w:p>
      <w:pPr>
        <w:keepNext/>
        <w:pBdr>
          <w:bottom w:val="single" w:color="A5CD39" w:sz="8" w:space="3"/>
        </w:pBdr>
        <w:spacing w:after="140" w:before="300"/>
      </w:pPr>
      <w:r>
        <w:rPr>
          <w:rFonts w:ascii="Verdana" w:cs="Verdana" w:eastAsia="Verdana" w:hAnsi="Verdana"/>
          <w:b/>
          <w:bCs/>
          <w:color w:val="295B18"/>
          <w:sz w:val="25"/>
          <w:szCs w:val="25"/>
        </w:rPr>
        <w:t xml:space="preserve">10. Целевые показатели для контроля</w:t>
      </w:r>
    </w:p>
    <w:tbl>
      <w:tblPr>
        <w:tblW w:type="dxa" w:w="1091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15"/>
        <w:gridCol w:w="2200"/>
        <w:gridCol w:w="2200"/>
        <w:gridCol w:w="2200"/>
      </w:tblGrid>
      <w:tr>
        <w:trPr>
          <w:cantSplit/>
          <w:tblHeader/>
        </w:trPr>
        <w:tc>
          <w:tcPr>
            <w:tcW w:type="dxa" w:w="4315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Показатель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Сейчас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Через 3 месяца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Через 6 месяцев</w:t>
            </w:r>
          </w:p>
        </w:tc>
      </w:tr>
      <w:tr>
        <w:trPr>
          <w:cantSplit/>
        </w:trPr>
        <w:tc>
          <w:tcPr>
            <w:tcW w:type="dxa" w:w="43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Субклинический мастит, % дойных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25,4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≤ 15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≤ 10</w:t>
            </w:r>
          </w:p>
        </w:tc>
      </w:tr>
      <w:tr>
        <w:trPr>
          <w:cantSplit/>
        </w:trPr>
        <w:tc>
          <w:tcPr>
            <w:tcW w:type="dxa" w:w="43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Клинический мастит, % в месяц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3,0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≤ 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≤ 2</w:t>
            </w:r>
          </w:p>
        </w:tc>
      </w:tr>
      <w:tr>
        <w:trPr>
          <w:cantSplit/>
        </w:trPr>
        <w:tc>
          <w:tcPr>
            <w:tcW w:type="dxa" w:w="43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Группа «антибиотики», % стада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≤ 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≤ 5</w:t>
            </w:r>
          </w:p>
        </w:tc>
      </w:tr>
      <w:tr>
        <w:trPr>
          <w:cantSplit/>
        </w:trPr>
        <w:tc>
          <w:tcPr>
            <w:tcW w:type="dxa" w:w="43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Коровы с неработающими долями, %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20,8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≤ 12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≤ 6</w:t>
            </w:r>
          </w:p>
        </w:tc>
      </w:tr>
      <w:tr>
        <w:trPr>
          <w:cantSplit/>
        </w:trPr>
        <w:tc>
          <w:tcPr>
            <w:tcW w:type="dxa" w:w="43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Товарность, %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77,6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≥ 88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≥ 92</w:t>
            </w:r>
          </w:p>
        </w:tc>
      </w:tr>
      <w:tr>
        <w:trPr>
          <w:cantSplit/>
        </w:trPr>
        <w:tc>
          <w:tcPr>
            <w:tcW w:type="dxa" w:w="43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Хромые (баллы 1–3), %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45,0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≤ 25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≤ 15</w:t>
            </w:r>
          </w:p>
        </w:tc>
      </w:tr>
      <w:tr>
        <w:trPr>
          <w:cantSplit/>
        </w:trPr>
        <w:tc>
          <w:tcPr>
            <w:tcW w:type="dxa" w:w="43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Здоровые по вымени и конечностям, %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≈ 31–39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≥ 55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≥ 70</w:t>
            </w:r>
          </w:p>
        </w:tc>
      </w:tr>
      <w:tr>
        <w:trPr>
          <w:cantSplit/>
        </w:trPr>
        <w:tc>
          <w:tcPr>
            <w:tcW w:type="dxa" w:w="43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Осеменено коров в месяц, гол.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43–53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≥ 60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65–70</w:t>
            </w:r>
          </w:p>
        </w:tc>
      </w:tr>
      <w:tr>
        <w:trPr>
          <w:cantSplit/>
        </w:trPr>
        <w:tc>
          <w:tcPr>
            <w:tcW w:type="dxa" w:w="4315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Доля «экстра», %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83,5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≥ 90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≥ 95</w:t>
            </w:r>
          </w:p>
        </w:tc>
      </w:tr>
    </w:tbl>
    <w:p>
      <w:pPr>
        <w:spacing w:after="100" w:before="100" w:line="264"/>
        <w:jc w:val="both"/>
      </w:pPr>
      <w:r>
        <w:rPr>
          <w:rFonts w:ascii="Verdana" w:cs="Verdana" w:eastAsia="Verdana" w:hAnsi="Verdana"/>
          <w:sz w:val="20"/>
          <w:szCs w:val="20"/>
        </w:rPr>
        <w:t xml:space="preserve">Повторное обследование вымени и посев от новых клинических случаев — через 4–6 недель после введения мер против передачи S. aureus; повторная оценка походки (с номерами коров) — через 30 дней после лечебной обрезки.</w:t>
      </w:r>
    </w:p>
    <w:p>
      <w:pPr>
        <w:keepNext/>
        <w:pBdr>
          <w:bottom w:val="single" w:color="A5CD39" w:sz="8" w:space="3"/>
        </w:pBdr>
        <w:spacing w:after="140" w:before="300"/>
      </w:pPr>
      <w:r>
        <w:rPr>
          <w:rFonts w:ascii="Verdana" w:cs="Verdana" w:eastAsia="Verdana" w:hAnsi="Verdana"/>
          <w:b/>
          <w:bCs/>
          <w:color w:val="295B18"/>
          <w:sz w:val="25"/>
          <w:szCs w:val="25"/>
        </w:rPr>
        <w:t xml:space="preserve">11. Что нужно уточнить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sz w:val="20"/>
          <w:szCs w:val="20"/>
        </w:rPr>
        <w:t xml:space="preserve">От каких коров и групп отобраны 6 проб (секция «антибиотики» или новые случаи).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sz w:val="20"/>
          <w:szCs w:val="20"/>
        </w:rPr>
        <w:t xml:space="preserve">Какие препараты применяются для лечения маститов и при запуске; используется ли герметик сосков.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sz w:val="20"/>
          <w:szCs w:val="20"/>
        </w:rPr>
        <w:t xml:space="preserve">Состав и критерии вывода коров из группы «антибиотики», средняя длительность пребывания в ней.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sz w:val="20"/>
          <w:szCs w:val="20"/>
        </w:rPr>
        <w:t xml:space="preserve">Структура выбытия коров за 9 месяцев (выбраковка по причинам, падёж, переводы) и план завоза нетелей.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sz w:val="20"/>
          <w:szCs w:val="20"/>
        </w:rPr>
        <w:t xml:space="preserve">Соматические клетки и бактериальная обсеменённость сборного молока помесячно; причина июньского провала сортности.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sz w:val="20"/>
          <w:szCs w:val="20"/>
        </w:rPr>
        <w:t xml:space="preserve">Полы, копытные ванны, график обрезки; тип подстилки.</w:t>
      </w:r>
    </w:p>
    <w:p>
      <w:pPr>
        <w:keepNext/>
        <w:pBdr>
          <w:bottom w:val="single" w:color="A5CD39" w:sz="8" w:space="3"/>
        </w:pBdr>
        <w:spacing w:after="140" w:before="300"/>
      </w:pPr>
      <w:r>
        <w:rPr>
          <w:rFonts w:ascii="Verdana" w:cs="Verdana" w:eastAsia="Verdana" w:hAnsi="Verdana"/>
          <w:b/>
          <w:bCs/>
          <w:color w:val="295B18"/>
          <w:sz w:val="25"/>
          <w:szCs w:val="25"/>
        </w:rPr>
        <w:t xml:space="preserve">12. Заключение</w:t>
      </w:r>
    </w:p>
    <w:p>
      <w:pPr>
        <w:spacing w:after="100" w:before="0" w:line="264"/>
        <w:jc w:val="both"/>
      </w:pPr>
      <w:r>
        <w:rPr>
          <w:rFonts w:ascii="Verdana" w:cs="Verdana" w:eastAsia="Verdana" w:hAnsi="Verdana"/>
          <w:sz w:val="20"/>
          <w:szCs w:val="20"/>
        </w:rPr>
        <w:t xml:space="preserve">На МТК «Лумна» ведущая проблема — контагиозный мастит, вызванный Staphylococcus aureus (6 из 6 проб), с участием S. dysgalactiae и S. uberis. Мастит у 28,4 % дойных коров, неработающие доли — у 20,8 %, каждая пятая корова находится в группе «антибиотики». Это определяет экономику фермы: товарность 82,3 % за 9 месяцев, реализация молока в сентябре на 29 % ниже прошлогодней, выбытие коров около 44 % в год без ремонта. В отличие от Рясны, флора сохраняет чувствительность к амоксициллину/клавуланату, гентамицину и цефтиофуру, а хромота преимущественно лёгкая — ситуация управляема. Первоочередные меры — прекратить передачу S. aureus при доении (порядок доения, дезинфекция стаканов, последоильная обработка сосков), исправить оборудование, лечить по антибиотикограмме, выбраковать хронических носителей и сократить группу «антибиотики».</w:t>
      </w:r>
    </w:p>
    <w:tbl>
      <w:tblPr>
        <w:tblW w:type="dxa" w:w="1091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57"/>
        <w:gridCol w:w="5458"/>
      </w:tblGrid>
      <w:tr>
        <w:trPr>
          <w:cantSplit/>
        </w:trPr>
        <w:tc>
          <w:tcPr>
            <w:tcW w:type="dxa" w:w="54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40"/>
            </w:pPr>
            <w:r>
              <w:rPr>
                <w:rFonts w:ascii="Verdana" w:cs="Verdana" w:eastAsia="Verdana" w:hAnsi="Verdana"/>
                <w:b/>
                <w:bCs/>
                <w:sz w:val="20"/>
                <w:szCs w:val="20"/>
              </w:rPr>
              <w:t xml:space="preserve">Ветеринарный врач</w:t>
            </w:r>
          </w:p>
          <w:p>
            <w:r>
              <w:rPr>
                <w:rFonts w:ascii="Verdana" w:cs="Verdana" w:eastAsia="Verdana" w:hAnsi="Verdana"/>
                <w:color w:val="595959"/>
                <w:sz w:val="18"/>
                <w:szCs w:val="18"/>
              </w:rPr>
              <w:t xml:space="preserve">ЗАО «Консул»</w:t>
            </w:r>
          </w:p>
          <w:p>
            <w:pPr>
              <w:spacing w:before="24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________________  /________________/</w:t>
            </w:r>
          </w:p>
        </w:tc>
        <w:tc>
          <w:tcPr>
            <w:tcW w:type="dxa" w:w="54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40"/>
            </w:pPr>
            <w:r>
              <w:rPr>
                <w:rFonts w:ascii="Verdana" w:cs="Verdana" w:eastAsia="Verdana" w:hAnsi="Verdana"/>
                <w:b/>
                <w:bCs/>
                <w:sz w:val="20"/>
                <w:szCs w:val="20"/>
              </w:rPr>
              <w:t xml:space="preserve">Специалист по доильному оборудованию</w:t>
            </w:r>
          </w:p>
          <w:p>
            <w:r>
              <w:rPr>
                <w:rFonts w:ascii="Verdana" w:cs="Verdana" w:eastAsia="Verdana" w:hAnsi="Verdana"/>
                <w:color w:val="595959"/>
                <w:sz w:val="18"/>
                <w:szCs w:val="18"/>
              </w:rPr>
              <w:t xml:space="preserve">ЗАО «Консул»</w:t>
            </w:r>
          </w:p>
          <w:p>
            <w:pPr>
              <w:spacing w:before="24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________________  /________________/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424" w:bottom="567" w:left="567" w:header="284" w:footer="14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95B18" w:sz="8" w:space="4"/>
      </w:pBdr>
      <w:tabs>
        <w:tab w:val="right" w:pos="10915"/>
      </w:tabs>
    </w:pPr>
    <w:r>
      <w:rPr>
        <w:rFonts w:ascii="Verdana" w:cs="Verdana" w:eastAsia="Verdana" w:hAnsi="Verdana"/>
        <w:color w:val="595959"/>
        <w:sz w:val="14"/>
        <w:szCs w:val="14"/>
      </w:rPr>
      <w:t xml:space="preserve">ЗАО «Консул» · г. Брест · konsulagro.by · Комплексное обследование · МТК «Лумна», ОАО «Беловежский» · 09.2026</w:t>
    </w:r>
    <w:r>
      <w:rPr>
        <w:rFonts w:ascii="Verdana" w:cs="Verdana" w:eastAsia="Verdana" w:hAnsi="Verdana"/>
        <w:color w:val="595959"/>
        <w:sz w:val="14"/>
        <w:szCs w:val="14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5B18" w:sz="12" w:space="4"/>
      </w:pBdr>
      <w:tabs>
        <w:tab w:val="right" w:pos="10915"/>
      </w:tabs>
    </w:pPr>
    <w:r>
      <w:drawing>
        <wp:inline distT="0" distB="0" distL="0" distR="0">
          <wp:extent cx="1533525" cy="4286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3525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Verdana" w:cs="Verdana" w:eastAsia="Verdana" w:hAnsi="Verdana"/>
        <w:color w:val="295B18"/>
        <w:sz w:val="15"/>
        <w:szCs w:val="15"/>
      </w:rPr>
      <w:t xml:space="preserve">	Ветеринарный консалтинг · Диагностика · Зоотехния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340" w:hanging="260"/>
      </w:pPr>
      <w:rPr>
        <w:color w:val="598527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3dab873f87fbd353bac26321dd6b42619ae420d.png"/><Relationship Id="rId10" Type="http://schemas.openxmlformats.org/officeDocument/2006/relationships/image" Target="media/b8eabcfd99cf4b61a0d8be3bdeb68833d00d28bc.png"/><Relationship Id="rId11" Type="http://schemas.openxmlformats.org/officeDocument/2006/relationships/image" Target="media/8618a9245f7b27542558a5fdc741af63abacb17c.png"/><Relationship Id="rId12" Type="http://schemas.openxmlformats.org/officeDocument/2006/relationships/image" Target="media/66ff00427a5a4de326b585cd9642b43864e8e19d.png"/><Relationship Id="rId13" Type="http://schemas.openxmlformats.org/officeDocument/2006/relationships/image" Target="media/668ba75dad2cb7a17819b585821b418864cbebda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f1453b87ec002a0ee438dbead4612a3e7ecae1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Комплексное обследование — МТК «Лумна»</dc:title>
  <dc:creator>ЗАО «Консул»</dc:creator>
  <cp:lastModifiedBy>Un-named</cp:lastModifiedBy>
  <cp:revision>1</cp:revision>
  <dcterms:created xsi:type="dcterms:W3CDTF">2026-10-04T13:45:44.894Z</dcterms:created>
  <dcterms:modified xsi:type="dcterms:W3CDTF">2026-10-04T13:45:44.907Z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