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rFonts w:ascii="Verdana" w:cs="Verdana" w:eastAsia="Verdana" w:hAnsi="Verdana"/>
          <w:b/>
          <w:bCs/>
          <w:color w:val="295B18"/>
          <w:sz w:val="30"/>
          <w:szCs w:val="30"/>
        </w:rPr>
        <w:t xml:space="preserve">ОТЧЁТ</w:t>
      </w:r>
    </w:p>
    <w:p>
      <w:pPr>
        <w:spacing w:after="40"/>
        <w:jc w:val="center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о производственном испытании препарата «Хелмакс» при местной обработке поражений копытец</w:t>
      </w:r>
    </w:p>
    <w:p>
      <w:pPr>
        <w:spacing w:after="200"/>
        <w:jc w:val="center"/>
      </w:pPr>
      <w:r>
        <w:rPr>
          <w:rFonts w:ascii="Verdana" w:cs="Verdana" w:eastAsia="Verdana" w:hAnsi="Verdana"/>
          <w:color w:val="595959"/>
          <w:sz w:val="19"/>
          <w:szCs w:val="19"/>
        </w:rPr>
        <w:t xml:space="preserve">МТК «Оберовщина», ОАО «Беловежский» · 28–29.09.2026 · пилотное наблюдение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00"/>
        <w:gridCol w:w="7815"/>
      </w:tblGrid>
      <w:tr>
        <w:trPr>
          <w:cantSplit/>
          <w:tblHeader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Показатель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Хозяйство / объект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ОАО «Беловежский», МТК «Оберовщина»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Препарат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«Хелмакс концентрат» (Helmax) — местное нанесение на очаг после расчистки; концентрация и количество на очаг в исходном отчёте не указаны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Животные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6 дойных коров с поражениями дистального отдела конечностей (пальцевый дерматит / болезнь Мортелларо, поражения межпальцевого свода)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Порядок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28.09 — диагностика и механическая расчистка в станке, однократное местное нанесение препарата; 29.09 — контрольный осмотр (через 24 ч)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Условия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в дни обработки и контроля опытные коровы через копытные ванны не прогонялись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Фоновая профилактика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групповые копытные ванны с «Блю Хуф» по понедельникам, средам и пятницам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7"/>
                <w:szCs w:val="17"/>
              </w:rPr>
              <w:t xml:space="preserve">Проводили</w:t>
            </w:r>
          </w:p>
        </w:tc>
        <w:tc>
          <w:tcPr>
            <w:tcW w:type="dxa" w:w="78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 w:val="false"/>
                <w:bCs w:val="false"/>
                <w:sz w:val="17"/>
                <w:szCs w:val="17"/>
              </w:rPr>
              <w:t xml:space="preserve">ветеринарный врач ЗАО «Консул» совместно с ветеринарным врачом-ортопедом хозяйства</w:t>
            </w:r>
          </w:p>
        </w:tc>
      </w:tr>
    </w:tbl>
    <w:p>
      <w:pPr>
        <w:spacing w:after="160"/>
      </w:pP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38"/>
        <w:gridCol w:w="120"/>
        <w:gridCol w:w="2638"/>
        <w:gridCol w:w="120"/>
        <w:gridCol w:w="2638"/>
        <w:gridCol w:w="120"/>
        <w:gridCol w:w="2641"/>
      </w:tblGrid>
      <w:tr>
        <w:trPr>
          <w:cantSplit/>
        </w:trPr>
        <w:tc>
          <w:tcPr>
            <w:tcW w:type="dxa" w:w="2638"/>
            <w:tcBorders>
              <w:top w:val="none" w:color="FFFFFF" w:sz="0"/>
              <w:left w:val="single" w:color="3A8A2E" w:sz="36"/>
              <w:bottom w:val="none" w:color="FFFFFF" w:sz="0"/>
              <w:right w:val="none" w:color="FFFFFF" w:sz="0"/>
            </w:tcBorders>
            <w:shd w:fill="F0F2EC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3A8A2E"/>
                <w:sz w:val="38"/>
                <w:szCs w:val="38"/>
              </w:rPr>
              <w:t xml:space="preserve">6 / 6</w:t>
            </w:r>
          </w:p>
          <w:p>
            <w:pPr>
              <w:spacing w:before="40"/>
            </w:pPr>
            <w:r>
              <w:rPr>
                <w:rFonts w:ascii="Verdana" w:cs="Verdana" w:eastAsia="Verdana" w:hAnsi="Verdana"/>
                <w:b/>
                <w:bCs/>
                <w:color w:val="262626"/>
                <w:sz w:val="16"/>
                <w:szCs w:val="16"/>
              </w:rPr>
              <w:t xml:space="preserve">Сухой струп через 24 ч</w:t>
            </w:r>
          </w:p>
          <w:p>
            <w:r>
              <w:rPr>
                <w:rFonts w:ascii="Verdana" w:cs="Verdana" w:eastAsia="Verdana" w:hAnsi="Verdana"/>
                <w:color w:val="6B6B6B"/>
                <w:sz w:val="14"/>
                <w:szCs w:val="14"/>
              </w:rPr>
              <w:t xml:space="preserve">кровотечение и мокнутие прекращены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38"/>
            <w:tcBorders>
              <w:top w:val="none" w:color="FFFFFF" w:sz="0"/>
              <w:left w:val="single" w:color="C98A00" w:sz="36"/>
              <w:bottom w:val="none" w:color="FFFFFF" w:sz="0"/>
              <w:right w:val="none" w:color="FFFFFF" w:sz="0"/>
            </w:tcBorders>
            <w:shd w:fill="F0F2EC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C98A00"/>
                <w:sz w:val="38"/>
                <w:szCs w:val="38"/>
              </w:rPr>
              <w:t xml:space="preserve">24 ч</w:t>
            </w:r>
          </w:p>
          <w:p>
            <w:pPr>
              <w:spacing w:before="40"/>
            </w:pPr>
            <w:r>
              <w:rPr>
                <w:rFonts w:ascii="Verdana" w:cs="Verdana" w:eastAsia="Verdana" w:hAnsi="Verdana"/>
                <w:b/>
                <w:bCs/>
                <w:color w:val="262626"/>
                <w:sz w:val="16"/>
                <w:szCs w:val="16"/>
              </w:rPr>
              <w:t xml:space="preserve">Срок наблюдения</w:t>
            </w:r>
          </w:p>
          <w:p>
            <w:r>
              <w:rPr>
                <w:rFonts w:ascii="Verdana" w:cs="Verdana" w:eastAsia="Verdana" w:hAnsi="Verdana"/>
                <w:color w:val="6B6B6B"/>
                <w:sz w:val="14"/>
                <w:szCs w:val="14"/>
              </w:rPr>
              <w:t xml:space="preserve">для оценки заживления нужно 7–14 дней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38"/>
            <w:tcBorders>
              <w:top w:val="none" w:color="FFFFFF" w:sz="0"/>
              <w:left w:val="single" w:color="C98A00" w:sz="36"/>
              <w:bottom w:val="none" w:color="FFFFFF" w:sz="0"/>
              <w:right w:val="none" w:color="FFFFFF" w:sz="0"/>
            </w:tcBorders>
            <w:shd w:fill="F0F2EC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C98A00"/>
                <w:sz w:val="38"/>
                <w:szCs w:val="38"/>
              </w:rPr>
              <w:t xml:space="preserve">6 гол.</w:t>
            </w:r>
          </w:p>
          <w:p>
            <w:pPr>
              <w:spacing w:before="40"/>
            </w:pPr>
            <w:r>
              <w:rPr>
                <w:rFonts w:ascii="Verdana" w:cs="Verdana" w:eastAsia="Verdana" w:hAnsi="Verdana"/>
                <w:b/>
                <w:bCs/>
                <w:color w:val="262626"/>
                <w:sz w:val="16"/>
                <w:szCs w:val="16"/>
              </w:rPr>
              <w:t xml:space="preserve">Опытная группа</w:t>
            </w:r>
          </w:p>
          <w:p>
            <w:r>
              <w:rPr>
                <w:rFonts w:ascii="Verdana" w:cs="Verdana" w:eastAsia="Verdana" w:hAnsi="Verdana"/>
                <w:color w:val="6B6B6B"/>
                <w:sz w:val="14"/>
                <w:szCs w:val="14"/>
              </w:rPr>
              <w:t xml:space="preserve">контрольной группы нет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41"/>
            <w:tcBorders>
              <w:top w:val="none" w:color="FFFFFF" w:sz="0"/>
              <w:left w:val="single" w:color="B3261E" w:sz="36"/>
              <w:bottom w:val="none" w:color="FFFFFF" w:sz="0"/>
              <w:right w:val="none" w:color="FFFFFF" w:sz="0"/>
            </w:tcBorders>
            <w:shd w:fill="F0F2EC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B3261E"/>
                <w:sz w:val="38"/>
                <w:szCs w:val="38"/>
              </w:rPr>
              <w:t xml:space="preserve">6 / 6</w:t>
            </w:r>
          </w:p>
          <w:p>
            <w:pPr>
              <w:spacing w:before="40"/>
            </w:pPr>
            <w:r>
              <w:rPr>
                <w:rFonts w:ascii="Verdana" w:cs="Verdana" w:eastAsia="Verdana" w:hAnsi="Verdana"/>
                <w:b/>
                <w:bCs/>
                <w:color w:val="262626"/>
                <w:sz w:val="16"/>
                <w:szCs w:val="16"/>
              </w:rPr>
              <w:t xml:space="preserve">Без следов ванны в очаге</w:t>
            </w:r>
          </w:p>
          <w:p>
            <w:r>
              <w:rPr>
                <w:rFonts w:ascii="Verdana" w:cs="Verdana" w:eastAsia="Verdana" w:hAnsi="Verdana"/>
                <w:color w:val="6B6B6B"/>
                <w:sz w:val="14"/>
                <w:szCs w:val="14"/>
              </w:rPr>
              <w:t xml:space="preserve">активные очаги при ваннах 3 р/нед</w:t>
            </w:r>
          </w:p>
        </w:tc>
      </w:tr>
    </w:tbl>
    <w:p>
      <w:pPr>
        <w:spacing w:after="120"/>
      </w:pPr>
    </w:p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1. Ключевые выводы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Ближайший результат положительный. </w:t>
      </w:r>
      <w:r>
        <w:rPr>
          <w:rFonts w:ascii="Verdana" w:cs="Verdana" w:eastAsia="Verdana" w:hAnsi="Verdana"/>
          <w:sz w:val="20"/>
          <w:szCs w:val="20"/>
        </w:rPr>
        <w:t xml:space="preserve">У всех 6 коров через 24 часа после расчистки и однократного нанесения «Хелмакс» мокнущие и кровоточащие очаги подсохли и покрылись сухим плотным струпом, кровотечение у коров № 4 и № 5 прекратилось. Это говорит о выраженном вяжущем и подсушивающем действии препарата.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Делать вывод об излечении пока рано. </w:t>
      </w:r>
      <w:r>
        <w:rPr>
          <w:rFonts w:ascii="Verdana" w:cs="Verdana" w:eastAsia="Verdana" w:hAnsi="Verdana"/>
          <w:sz w:val="20"/>
          <w:szCs w:val="20"/>
        </w:rPr>
        <w:t xml:space="preserve">Переход очага пальцевого дерматита в стадию струпа — ожидаемая первая реакция на расчистку и местную обработку; заживление и отсутствие рецидива оцениваются через 7–14 дней и через 4–8 недель. Без контрольной группы нельзя отделить действие препарата от действия расчистки.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Вывод о профилактике в копытных ваннах из этого опыта не следует. </w:t>
      </w:r>
      <w:r>
        <w:rPr>
          <w:rFonts w:ascii="Verdana" w:cs="Verdana" w:eastAsia="Verdana" w:hAnsi="Verdana"/>
          <w:sz w:val="20"/>
          <w:szCs w:val="20"/>
        </w:rPr>
        <w:t xml:space="preserve">Местное нанесение концентрата на расчищенный очаг и прохождение коровы через раствор с навозной нагрузкой — разные условия. Пригодность «Хелмакс» для ванн требует отдельного испытания.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Важная находка — состояние профилактики на комплексе. </w:t>
      </w:r>
      <w:r>
        <w:rPr>
          <w:rFonts w:ascii="Verdana" w:cs="Verdana" w:eastAsia="Verdana" w:hAnsi="Verdana"/>
          <w:sz w:val="20"/>
          <w:szCs w:val="20"/>
        </w:rPr>
        <w:t xml:space="preserve">У 6 из 6 коров при регулярных ваннах (3 раза в неделю) — активные язвенные очаги без следов окрашивания «Блю Хуф». Обработка проводилась в понедельник, после трёх дней без ванн, поэтому краситель мог смыться; но сама частота активных поражений требует проверки работы ванн (дозатор, концентрация, нагрузка на заправку) — на МТК «Каролин» 22.09 аналогичная система две смены подряд работала на воде.</w:t>
      </w:r>
    </w:p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2. Методика испытания и её ограничения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2400"/>
        <w:gridCol w:w="4515"/>
        <w:gridCol w:w="1600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Параметр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Как проведено</w:t>
            </w:r>
          </w:p>
        </w:tc>
        <w:tc>
          <w:tcPr>
            <w:tcW w:type="dxa" w:w="45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Что нужно для доказательного вывода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Число животных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C98A00"/>
                <w:sz w:val="17"/>
                <w:szCs w:val="17"/>
              </w:rPr>
              <w:t xml:space="preserve">6 гол.</w:t>
            </w:r>
          </w:p>
        </w:tc>
        <w:tc>
          <w:tcPr>
            <w:tcW w:type="dxa" w:w="45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≥ 20–30 гол. в каждой группе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Контрольная группа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нет</w:t>
            </w:r>
          </w:p>
        </w:tc>
        <w:tc>
          <w:tcPr>
            <w:tcW w:type="dxa" w:w="45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группа с принятой в хозяйстве схемой обработки, те же условия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Срок наблюдения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B3261E"/>
                <w:sz w:val="17"/>
                <w:szCs w:val="17"/>
              </w:rPr>
              <w:t xml:space="preserve">24 ч</w:t>
            </w:r>
          </w:p>
        </w:tc>
        <w:tc>
          <w:tcPr>
            <w:tcW w:type="dxa" w:w="45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3, 7, 14 дней и 4–8 недель (рецидив)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B3261E"/>
                <w:sz w:val="17"/>
                <w:szCs w:val="17"/>
              </w:rPr>
              <w:t xml:space="preserve">● Проблема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Классификация поражений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C98A00"/>
                <w:sz w:val="17"/>
                <w:szCs w:val="17"/>
              </w:rPr>
              <w:t xml:space="preserve">описательная</w:t>
            </w:r>
          </w:p>
        </w:tc>
        <w:tc>
          <w:tcPr>
            <w:tcW w:type="dxa" w:w="45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стадии пальцевого дерматита M0–M4 до и после; балл хромоты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Дозировка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C98A00"/>
                <w:sz w:val="17"/>
                <w:szCs w:val="17"/>
              </w:rPr>
              <w:t xml:space="preserve">не указана</w:t>
            </w:r>
          </w:p>
        </w:tc>
        <w:tc>
          <w:tcPr>
            <w:tcW w:type="dxa" w:w="45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концентрация, количество на очаг, повязка (да/нет), кратность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Фотодокументация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color w:val="C98A00"/>
                <w:sz w:val="17"/>
                <w:szCs w:val="17"/>
              </w:rPr>
              <w:t xml:space="preserve">есть, 6 × 3 снимка</w:t>
            </w:r>
          </w:p>
        </w:tc>
        <w:tc>
          <w:tcPr>
            <w:tcW w:type="dxa" w:w="45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единый ракурс (подошвенная поверхность мякиша), масштабная линейка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C98A00"/>
                <w:sz w:val="17"/>
                <w:szCs w:val="17"/>
              </w:rPr>
              <w:t xml:space="preserve">● Риск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Исключение влияния ванн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в дни 28–29.09 не прогонялись</w:t>
            </w:r>
          </w:p>
        </w:tc>
        <w:tc>
          <w:tcPr>
            <w:tcW w:type="dxa" w:w="45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на весь период наблюдения либо одинаково для обеих групп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3A8A2E"/>
                <w:sz w:val="17"/>
                <w:szCs w:val="17"/>
              </w:rPr>
              <w:t xml:space="preserve">● Норма</w:t>
            </w:r>
          </w:p>
        </w:tc>
      </w:tr>
    </w:tbl>
    <w:p>
      <w:pPr>
        <w:spacing w:after="100" w:before="60" w:line="264"/>
        <w:jc w:val="both"/>
      </w:pPr>
      <w:r>
        <w:rPr>
          <w:rFonts w:ascii="Verdana" w:cs="Verdana" w:eastAsia="Verdana" w:hAnsi="Verdana"/>
          <w:i/>
          <w:iCs/>
          <w:color w:val="595959"/>
          <w:sz w:val="16"/>
          <w:szCs w:val="16"/>
        </w:rPr>
        <w:t xml:space="preserve">Тёмный «струп» через 24 часа может частично представлять собой плёнку самого препарата на поверхности раны; это ещё одна причина оценивать результат на 3-и и 7-е сутки, после отторжения поверхностного слоя.</w:t>
      </w:r>
    </w:p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3. Результаты по животным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1100"/>
        <w:gridCol w:w="3215"/>
        <w:gridCol w:w="3050"/>
        <w:gridCol w:w="3050"/>
      </w:tblGrid>
      <w:tr>
        <w:trPr>
          <w:cantSplit/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№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Инв. №</w:t>
            </w:r>
          </w:p>
        </w:tc>
        <w:tc>
          <w:tcPr>
            <w:tcW w:type="dxa" w:w="32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Диагноз (по исходному отчёту)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До обработки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Через 24 ч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568141</w:t>
            </w:r>
          </w:p>
        </w:tc>
        <w:tc>
          <w:tcPr>
            <w:tcW w:type="dxa" w:w="3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Поражение межпальцевого свода и мякиша, осложнённое пальцевым дерматитом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мокнущий эрозивно-язвенный дефект, гиперемия, экссудат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очаг сухой, плотный тёмный струп, экссудации нет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089771</w:t>
            </w:r>
          </w:p>
        </w:tc>
        <w:tc>
          <w:tcPr>
            <w:tcW w:type="dxa" w:w="3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Пальцевый дерматит, эрозивная форма, область мякиша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гиперемия, истончение эпидермиса, точечная экссудация, болезненность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гиперемия не выражена, сухая плёнка (струп)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062756</w:t>
            </w:r>
          </w:p>
        </w:tc>
        <w:tc>
          <w:tcPr>
            <w:tcW w:type="dxa" w:w="3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Глубокое поражение свода межкопытцевой щели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язва с белесовато-некротическим экссудатом после расчистки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плотный струп, признаков мацерации нет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089364</w:t>
            </w:r>
          </w:p>
        </w:tc>
        <w:tc>
          <w:tcPr>
            <w:tcW w:type="dxa" w:w="3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Пальцевый дерматит, острая язвенная форма с кровотечением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обширный дефект на подошвенной поверхности мякиша, кровотечение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кровотечение остановлено, сплошной тёмный струп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043893</w:t>
            </w:r>
          </w:p>
        </w:tc>
        <w:tc>
          <w:tcPr>
            <w:tcW w:type="dxa" w:w="32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Линейное язвенное поражение межкопытцевого свода с кровотечением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глубокий линейный дефект, экссудация, капиллярное кровотечение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кровотечение остановлено, струп, отёк краёв спал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616734</w:t>
            </w:r>
          </w:p>
        </w:tc>
        <w:tc>
          <w:tcPr>
            <w:tcW w:type="dxa" w:w="32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Глубокое язвенное поражение межкопытцевого свода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очаг с точечным кровоизлиянием, гиперемия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сухой струп, гиперемии и болезненности нет</w:t>
            </w:r>
          </w:p>
        </w:tc>
      </w:tr>
    </w:tbl>
    <w:p>
      <w:pPr>
        <w:spacing w:after="100" w:before="60" w:line="264"/>
        <w:jc w:val="both"/>
      </w:pPr>
      <w:r>
        <w:rPr>
          <w:rFonts w:ascii="Verdana" w:cs="Verdana" w:eastAsia="Verdana" w:hAnsi="Verdana"/>
          <w:i/>
          <w:iCs/>
          <w:color w:val="595959"/>
          <w:sz w:val="16"/>
          <w:szCs w:val="16"/>
        </w:rPr>
        <w:t xml:space="preserve">Полные номера бирок: BY 000094Д 568141; BY 000147 089771; BY 000147 062756; BY 000147 089364; BY 000147 043893; BY 000124 616734. По снимкам у коров № 1, 2, 4 и 5 очаги имеют типичную для пальцевого дерматита локализацию — подошвенная поверхность у мякиша и края межпальцевой щели (активная язвенная стадия M2). У коров № 3 и № 6 снимок «до» сделан со стороны подошвы после расчистки, сам очаг на нём почти не виден — стадию по фото установить нельзя.</w:t>
      </w:r>
    </w:p>
    <w:p>
      <w:pPr>
        <w:keepNext/>
        <w:spacing w:after="60" w:before="160"/>
      </w:pPr>
      <w:r>
        <w:rPr>
          <w:rFonts w:ascii="Verdana" w:cs="Verdana" w:eastAsia="Verdana" w:hAnsi="Verdana"/>
          <w:b/>
          <w:bCs/>
          <w:color w:val="295B18"/>
          <w:sz w:val="19"/>
          <w:szCs w:val="19"/>
        </w:rPr>
        <w:t xml:space="preserve">Корова № 1 — инв. 568141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38"/>
        <w:gridCol w:w="3638"/>
        <w:gridCol w:w="3639"/>
      </w:tblGrid>
      <w:tr>
        <w:trPr>
          <w:cantSplit/>
        </w:trPr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Идентификационный номер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До обработки (28.09)</w:t>
            </w:r>
          </w:p>
        </w:tc>
        <w:tc>
          <w:tcPr>
            <w:tcW w:type="dxa" w:w="3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Через 24 ч (29.09)</w:t>
            </w:r>
          </w:p>
        </w:tc>
      </w:tr>
    </w:tbl>
    <w:p>
      <w:pPr>
        <w:keepNext/>
        <w:spacing w:after="60" w:before="160"/>
      </w:pPr>
      <w:r>
        <w:rPr>
          <w:rFonts w:ascii="Verdana" w:cs="Verdana" w:eastAsia="Verdana" w:hAnsi="Verdana"/>
          <w:b/>
          <w:bCs/>
          <w:color w:val="295B18"/>
          <w:sz w:val="19"/>
          <w:szCs w:val="19"/>
        </w:rPr>
        <w:t xml:space="preserve">Корова № 2 — инв. 089771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38"/>
        <w:gridCol w:w="3638"/>
        <w:gridCol w:w="3639"/>
      </w:tblGrid>
      <w:tr>
        <w:trPr>
          <w:cantSplit/>
        </w:trPr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Идентификационный номер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До обработки (28.09)</w:t>
            </w:r>
          </w:p>
        </w:tc>
        <w:tc>
          <w:tcPr>
            <w:tcW w:type="dxa" w:w="3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Через 24 ч (29.09)</w:t>
            </w:r>
          </w:p>
        </w:tc>
      </w:tr>
    </w:tbl>
    <w:p>
      <w:pPr>
        <w:keepNext/>
        <w:spacing w:after="60" w:before="160"/>
      </w:pPr>
      <w:r>
        <w:rPr>
          <w:rFonts w:ascii="Verdana" w:cs="Verdana" w:eastAsia="Verdana" w:hAnsi="Verdana"/>
          <w:b/>
          <w:bCs/>
          <w:color w:val="295B18"/>
          <w:sz w:val="19"/>
          <w:szCs w:val="19"/>
        </w:rPr>
        <w:t xml:space="preserve">Корова № 3 — инв. 062756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38"/>
        <w:gridCol w:w="3638"/>
        <w:gridCol w:w="3639"/>
      </w:tblGrid>
      <w:tr>
        <w:trPr>
          <w:cantSplit/>
        </w:trPr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Идентификационный номер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До обработки (28.09)</w:t>
            </w:r>
          </w:p>
        </w:tc>
        <w:tc>
          <w:tcPr>
            <w:tcW w:type="dxa" w:w="3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Через 24 ч (29.09)</w:t>
            </w:r>
          </w:p>
        </w:tc>
      </w:tr>
    </w:tbl>
    <w:p>
      <w:pPr>
        <w:keepNext/>
        <w:spacing w:after="60" w:before="160"/>
      </w:pPr>
      <w:r>
        <w:rPr>
          <w:rFonts w:ascii="Verdana" w:cs="Verdana" w:eastAsia="Verdana" w:hAnsi="Verdana"/>
          <w:b/>
          <w:bCs/>
          <w:color w:val="295B18"/>
          <w:sz w:val="19"/>
          <w:szCs w:val="19"/>
        </w:rPr>
        <w:t xml:space="preserve">Корова № 4 — инв. 089364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38"/>
        <w:gridCol w:w="3638"/>
        <w:gridCol w:w="3639"/>
      </w:tblGrid>
      <w:tr>
        <w:trPr>
          <w:cantSplit/>
        </w:trPr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Идентификационный номер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До обработки (28.09)</w:t>
            </w:r>
          </w:p>
        </w:tc>
        <w:tc>
          <w:tcPr>
            <w:tcW w:type="dxa" w:w="3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Через 24 ч (29.09)</w:t>
            </w:r>
          </w:p>
        </w:tc>
      </w:tr>
    </w:tbl>
    <w:p>
      <w:pPr>
        <w:keepNext/>
        <w:spacing w:after="60" w:before="160"/>
      </w:pPr>
      <w:r>
        <w:rPr>
          <w:rFonts w:ascii="Verdana" w:cs="Verdana" w:eastAsia="Verdana" w:hAnsi="Verdana"/>
          <w:b/>
          <w:bCs/>
          <w:color w:val="295B18"/>
          <w:sz w:val="19"/>
          <w:szCs w:val="19"/>
        </w:rPr>
        <w:t xml:space="preserve">Корова № 5 — инв. 043893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38"/>
        <w:gridCol w:w="3638"/>
        <w:gridCol w:w="3639"/>
      </w:tblGrid>
      <w:tr>
        <w:trPr>
          <w:cantSplit/>
        </w:trPr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Идентификационный номер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До обработки (28.09)</w:t>
            </w:r>
          </w:p>
        </w:tc>
        <w:tc>
          <w:tcPr>
            <w:tcW w:type="dxa" w:w="3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Через 24 ч (29.09)</w:t>
            </w:r>
          </w:p>
        </w:tc>
      </w:tr>
    </w:tbl>
    <w:p>
      <w:pPr>
        <w:keepNext/>
        <w:spacing w:after="60" w:before="160"/>
      </w:pPr>
      <w:r>
        <w:rPr>
          <w:rFonts w:ascii="Verdana" w:cs="Verdana" w:eastAsia="Verdana" w:hAnsi="Verdana"/>
          <w:b/>
          <w:bCs/>
          <w:color w:val="295B18"/>
          <w:sz w:val="19"/>
          <w:szCs w:val="19"/>
        </w:rPr>
        <w:t xml:space="preserve">Корова № 6 — инв. 616734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38"/>
        <w:gridCol w:w="3638"/>
        <w:gridCol w:w="3639"/>
      </w:tblGrid>
      <w:tr>
        <w:trPr>
          <w:cantSplit/>
        </w:trPr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Идентификационный номер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До обработки (28.09)</w:t>
            </w:r>
          </w:p>
        </w:tc>
        <w:tc>
          <w:tcPr>
            <w:tcW w:type="dxa" w:w="3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5716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i/>
                <w:iCs/>
                <w:color w:val="595959"/>
                <w:sz w:val="15"/>
                <w:szCs w:val="15"/>
              </w:rPr>
              <w:t xml:space="preserve">Через 24 ч (29.09)</w:t>
            </w:r>
          </w:p>
        </w:tc>
      </w:tr>
    </w:tbl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4. Наблюдение о работе копытных ванн</w:t>
      </w:r>
    </w:p>
    <w:p>
      <w:pPr>
        <w:spacing w:after="100" w:before="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При первичном осмотре ни у одной из 6 коров на поверхности очагов и в межпальцевой щели не было следов синего окрашивания раствором «Блю Хуф», хотя ванны на комплексе проводятся по понедельникам, средам и пятницам.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Что может объяснять отсутствие окраски. </w:t>
      </w:r>
      <w:r>
        <w:rPr>
          <w:rFonts w:ascii="Verdana" w:cs="Verdana" w:eastAsia="Verdana" w:hAnsi="Verdana"/>
          <w:sz w:val="20"/>
          <w:szCs w:val="20"/>
        </w:rPr>
        <w:t xml:space="preserve">28.09 — понедельник, последняя обработка была в пятницу 25.09; за трое суток краситель частично смывается навозом и влагой. Поэтому само по себе отсутствие окраски не доказывает сбой ванн.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Что настораживает. </w:t>
      </w:r>
      <w:r>
        <w:rPr>
          <w:rFonts w:ascii="Verdana" w:cs="Verdana" w:eastAsia="Verdana" w:hAnsi="Verdana"/>
          <w:sz w:val="20"/>
          <w:szCs w:val="20"/>
        </w:rPr>
        <w:t xml:space="preserve">Активные мокнущие и кровоточащие очаги у коров, регулярно проходящих ванну, указывают на недостаточную эффективность профилактики: либо раствор не достигает межпальцевой щели и мякиша (длина и глубина ванны, загрязнение), либо концентрация ниже заявленной, либо часть заправок проходит без препарата.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Аналогия с МТК «Каролин». </w:t>
      </w:r>
      <w:r>
        <w:rPr>
          <w:rFonts w:ascii="Verdana" w:cs="Verdana" w:eastAsia="Verdana" w:hAnsi="Verdana"/>
          <w:sz w:val="20"/>
          <w:szCs w:val="20"/>
        </w:rPr>
        <w:t xml:space="preserve">22.09 на МТК «Каролин» того же хозяйства автоматическая ванна две замены подряд работала на воде из-за завоздушивания дозатора, и персонал этого не заметил. На МТК «Оберовщина» рекомендуется провести такую же проверку: хронометраж заправок, окраска раствора, расход концентрата, число проходов на заправку.</w:t>
      </w:r>
    </w:p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5. Оценка формулировок исходного отчёта</w:t>
      </w:r>
    </w:p>
    <w:tbl>
      <w:tblPr>
        <w:tblW w:type="dxa" w:w="1091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15"/>
        <w:gridCol w:w="2500"/>
        <w:gridCol w:w="4600"/>
      </w:tblGrid>
      <w:tr>
        <w:trPr>
          <w:cantSplit/>
          <w:tblHeader/>
        </w:trPr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Утверждение в исходном отчёте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Оценка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295B18" w:sz="1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295B18"/>
                <w:sz w:val="16"/>
                <w:szCs w:val="16"/>
              </w:rPr>
              <w:t xml:space="preserve">Корректная формулировка</w:t>
            </w:r>
          </w:p>
        </w:tc>
      </w:tr>
      <w:tr>
        <w:trPr>
          <w:cantSplit/>
        </w:trPr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«100 % эффективность»; «полное купирование воспалительного процесса» через 24 ч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не подтверждается сроком наблюдения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у 6 из 6 коров через 24 ч очаг подсох, сформировался струп, кровотечение остановлено</w:t>
            </w:r>
          </w:p>
        </w:tc>
      </w:tr>
      <w:tr>
        <w:trPr>
          <w:cantSplit/>
        </w:trPr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«Убедительно подтверждают потенциал как средства для копытных ванн»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не следует из опыта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пригодность для копытных ванн требует отдельного испытания в условиях ванн</w:t>
            </w:r>
          </w:p>
        </w:tc>
      </w:tr>
      <w:tr>
        <w:trPr>
          <w:cantSplit/>
        </w:trPr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«Гарантированно предотвращая появление болезни Мортелларо»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недопустимое обобщение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профилактический эффект может быть оценён по динамике доли пальцевого дерматита в стаде за 2–3 месяца</w:t>
            </w:r>
          </w:p>
        </w:tc>
      </w:tr>
      <w:tr>
        <w:trPr>
          <w:cantSplit/>
        </w:trPr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«Струп герметично изолирует рану»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оценочное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образовался сплошной сухой струп</w:t>
            </w:r>
          </w:p>
        </w:tc>
      </w:tr>
      <w:tr>
        <w:trPr>
          <w:cantSplit/>
        </w:trPr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Диагнозы «межпальцевая язва», «язва свода»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нестандартная терминология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295B18" w:sz="6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7"/>
                <w:szCs w:val="17"/>
              </w:rPr>
              <w:t xml:space="preserve">пальцевый дерматит (стадия M0–M4), межпальцевый дерматит, межпальцевая флегмона — по общепринятой классификации</w:t>
            </w:r>
          </w:p>
        </w:tc>
      </w:tr>
    </w:tbl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6. Рекомендации</w:t>
      </w:r>
    </w:p>
    <w:p>
      <w:pPr>
        <w:keepNext/>
        <w:spacing w:after="80" w:before="160"/>
      </w:pPr>
      <w:r>
        <w:rPr>
          <w:rFonts w:ascii="Verdana" w:cs="Verdana" w:eastAsia="Verdana" w:hAnsi="Verdana"/>
          <w:b/>
          <w:bCs/>
          <w:color w:val="295B18"/>
          <w:sz w:val="20"/>
          <w:szCs w:val="20"/>
        </w:rPr>
        <w:t xml:space="preserve">Завершить начатое наблюдение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Контрольные осмотры этих 6 коров </w:t>
      </w:r>
      <w:r>
        <w:rPr>
          <w:rFonts w:ascii="Verdana" w:cs="Verdana" w:eastAsia="Verdana" w:hAnsi="Verdana"/>
          <w:sz w:val="20"/>
          <w:szCs w:val="20"/>
        </w:rPr>
        <w:t xml:space="preserve">на 3-и, 7-е и 14-е сутки и через 4–8 недель: стадия M по каждому очагу, балл хромоты, фото в едином ракурсе с линейкой; рецидив — повторное появление стадии M2.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Зафиксировать дозировку: </w:t>
      </w:r>
      <w:r>
        <w:rPr>
          <w:rFonts w:ascii="Verdana" w:cs="Verdana" w:eastAsia="Verdana" w:hAnsi="Verdana"/>
          <w:sz w:val="20"/>
          <w:szCs w:val="20"/>
        </w:rPr>
        <w:t xml:space="preserve">концентрация, количество на очаг, наличие повязки, кратность обработки.</w:t>
      </w:r>
    </w:p>
    <w:p>
      <w:pPr>
        <w:keepNext/>
        <w:spacing w:after="80" w:before="160"/>
      </w:pPr>
      <w:r>
        <w:rPr>
          <w:rFonts w:ascii="Verdana" w:cs="Verdana" w:eastAsia="Verdana" w:hAnsi="Verdana"/>
          <w:b/>
          <w:bCs/>
          <w:color w:val="295B18"/>
          <w:sz w:val="20"/>
          <w:szCs w:val="20"/>
        </w:rPr>
        <w:t xml:space="preserve">Если планируется доказательное испытание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Две группы по 20–30 коров </w:t>
      </w:r>
      <w:r>
        <w:rPr>
          <w:rFonts w:ascii="Verdana" w:cs="Verdana" w:eastAsia="Verdana" w:hAnsi="Verdana"/>
          <w:sz w:val="20"/>
          <w:szCs w:val="20"/>
        </w:rPr>
        <w:t xml:space="preserve">со сходными поражениями (стадия M2), распределение случайное: «Хелмакс» и принятая в хозяйстве схема местной обработки; одинаковая расчистка и условия содержания.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Критерии: </w:t>
      </w:r>
      <w:r>
        <w:rPr>
          <w:rFonts w:ascii="Verdana" w:cs="Verdana" w:eastAsia="Verdana" w:hAnsi="Verdana"/>
          <w:sz w:val="20"/>
          <w:szCs w:val="20"/>
        </w:rPr>
        <w:t xml:space="preserve">доля коров с переходом M2 → M3/M0 на 7-е и 14-е сутки, рецидивы за 4–8 недель, динамика балла хромоты.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Для копытных ванн — отдельное испытание: </w:t>
      </w:r>
      <w:r>
        <w:rPr>
          <w:rFonts w:ascii="Verdana" w:cs="Verdana" w:eastAsia="Verdana" w:hAnsi="Verdana"/>
          <w:sz w:val="20"/>
          <w:szCs w:val="20"/>
        </w:rPr>
        <w:t xml:space="preserve">концентрация по инструкции, нагрузка 150–200 проходов на заправку, сравнение ежемесячной доли пальцевого дерматита (по стадиям M) у 100 и более коров за 2–3 месяца.</w:t>
      </w:r>
    </w:p>
    <w:p>
      <w:pPr>
        <w:keepNext/>
        <w:spacing w:after="80" w:before="160"/>
      </w:pPr>
      <w:r>
        <w:rPr>
          <w:rFonts w:ascii="Verdana" w:cs="Verdana" w:eastAsia="Verdana" w:hAnsi="Verdana"/>
          <w:b/>
          <w:bCs/>
          <w:color w:val="295B18"/>
          <w:sz w:val="20"/>
          <w:szCs w:val="20"/>
        </w:rPr>
        <w:t xml:space="preserve">Копытные ванны на МТК «Оберовщина»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Проверка системы ванн </w:t>
      </w:r>
      <w:r>
        <w:rPr>
          <w:rFonts w:ascii="Verdana" w:cs="Verdana" w:eastAsia="Verdana" w:hAnsi="Verdana"/>
          <w:sz w:val="20"/>
          <w:szCs w:val="20"/>
        </w:rPr>
        <w:t xml:space="preserve">по образцу МТК «Каролин»: хронометраж, окраска раствора после каждой заправки, расход концентрата, работа дозатора, журнал учёта.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Verdana" w:cs="Verdana" w:eastAsia="Verdana" w:hAnsi="Verdana"/>
          <w:b/>
          <w:bCs/>
          <w:sz w:val="20"/>
          <w:szCs w:val="20"/>
        </w:rPr>
        <w:t xml:space="preserve">Оценка доли пальцевого дерматита в стаде </w:t>
      </w:r>
      <w:r>
        <w:rPr>
          <w:rFonts w:ascii="Verdana" w:cs="Verdana" w:eastAsia="Verdana" w:hAnsi="Verdana"/>
          <w:sz w:val="20"/>
          <w:szCs w:val="20"/>
        </w:rPr>
        <w:t xml:space="preserve">при плановой обрезке — исходная точка для оценки любых изменений в профилактике.</w:t>
      </w:r>
    </w:p>
    <w:p>
      <w:pPr>
        <w:keepNext/>
        <w:pBdr>
          <w:bottom w:val="single" w:color="A5CD39" w:sz="8" w:space="3"/>
        </w:pBdr>
        <w:spacing w:after="140" w:before="300"/>
      </w:pPr>
      <w:r>
        <w:rPr>
          <w:rFonts w:ascii="Verdana" w:cs="Verdana" w:eastAsia="Verdana" w:hAnsi="Verdana"/>
          <w:b/>
          <w:bCs/>
          <w:color w:val="295B18"/>
          <w:sz w:val="25"/>
          <w:szCs w:val="25"/>
        </w:rPr>
        <w:t xml:space="preserve">7. Заключение</w:t>
      </w:r>
    </w:p>
    <w:p>
      <w:pPr>
        <w:spacing w:after="100" w:before="0" w:line="264"/>
        <w:jc w:val="both"/>
      </w:pPr>
      <w:r>
        <w:rPr>
          <w:rFonts w:ascii="Verdana" w:cs="Verdana" w:eastAsia="Verdana" w:hAnsi="Verdana"/>
          <w:sz w:val="20"/>
          <w:szCs w:val="20"/>
        </w:rPr>
        <w:t xml:space="preserve">Пилотное наблюдение на 6 коровах показало выраженное вяжущее и подсушивающее действие препарата «Хелмакс» при местном нанесении после расчистки: через 24 часа у всех животных очаги подсохли, сформировался струп, кровотечение прекратилось. Этого достаточно, чтобы продолжить наблюдение, но недостаточно для вывода об эффективности лечения и тем более о профилактическом эффекте в копытных ваннах. Для обоснованного вывода необходимы осмотры на 7–14-е сутки и через 4–8 недель, контрольная группа и стандартная классификация поражений. Наличие активных язвенных очагов у коров, регулярно проходящих ванну с «Блю Хуф», — основание проверить работу системы копытных ванн на комплексе.</w:t>
      </w:r>
    </w:p>
    <w:tbl>
      <w:tblPr>
        <w:tblW w:type="dxa" w:w="1091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7"/>
        <w:gridCol w:w="5458"/>
      </w:tblGrid>
      <w:tr>
        <w:trPr>
          <w:cantSplit/>
        </w:trPr>
        <w:tc>
          <w:tcPr>
            <w:tcW w:type="dxa" w:w="54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Ветеринарный врач</w:t>
            </w:r>
          </w:p>
          <w:p>
            <w:r>
              <w:rPr>
                <w:rFonts w:ascii="Verdana" w:cs="Verdana" w:eastAsia="Verdana" w:hAnsi="Verdana"/>
                <w:color w:val="595959"/>
                <w:sz w:val="18"/>
                <w:szCs w:val="18"/>
              </w:rPr>
              <w:t xml:space="preserve">ЗАО «Консул»</w:t>
            </w:r>
          </w:p>
          <w:p>
            <w:pPr>
              <w:spacing w:before="24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________________  /________________/</w:t>
            </w:r>
          </w:p>
        </w:tc>
        <w:tc>
          <w:tcPr>
            <w:tcW w:type="dxa" w:w="54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4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Ветеринарный врач-ортопед</w:t>
            </w:r>
          </w:p>
          <w:p>
            <w:r>
              <w:rPr>
                <w:rFonts w:ascii="Verdana" w:cs="Verdana" w:eastAsia="Verdana" w:hAnsi="Verdana"/>
                <w:color w:val="595959"/>
                <w:sz w:val="18"/>
                <w:szCs w:val="18"/>
              </w:rPr>
              <w:t xml:space="preserve">ОАО «Беловежский», МТК «Оберовщина»</w:t>
            </w:r>
          </w:p>
          <w:p>
            <w:pPr>
              <w:spacing w:before="24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________________  /________________/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424" w:bottom="567" w:left="567" w:header="284" w:footer="14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5B18" w:sz="8" w:space="4"/>
      </w:pBdr>
      <w:tabs>
        <w:tab w:val="right" w:pos="10915"/>
      </w:tabs>
    </w:pPr>
    <w:r>
      <w:rPr>
        <w:rFonts w:ascii="Verdana" w:cs="Verdana" w:eastAsia="Verdana" w:hAnsi="Verdana"/>
        <w:color w:val="595959"/>
        <w:sz w:val="14"/>
        <w:szCs w:val="14"/>
      </w:rPr>
      <w:t xml:space="preserve">ЗАО «Консул» · г. Брест · konsulagro.by · Испытание «Хелмакс» · МТК «Оберовщина», ОАО «Беловежский» · 28–29.09.2026</w:t>
    </w:r>
    <w:r>
      <w:rPr>
        <w:rFonts w:ascii="Verdana" w:cs="Verdana" w:eastAsia="Verdana" w:hAnsi="Verdana"/>
        <w:color w:val="595959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5B18" w:sz="12" w:space="4"/>
      </w:pBdr>
      <w:tabs>
        <w:tab w:val="right" w:pos="10915"/>
      </w:tabs>
    </w:pPr>
    <w:r>
      <w:drawing>
        <wp:inline distT="0" distB="0" distL="0" distR="0">
          <wp:extent cx="1714500" cy="314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Verdana" w:cs="Verdana" w:eastAsia="Verdana" w:hAnsi="Verdana"/>
        <w:color w:val="295B18"/>
        <w:sz w:val="15"/>
        <w:szCs w:val="15"/>
      </w:rPr>
      <w:t xml:space="preserve">	Ветеринарный консалтинг · Диагностика · Зоотехния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40" w:hanging="260"/>
      </w:pPr>
      <w:rPr>
        <w:color w:val="598527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521434c002539afa97c4a776ce21a4adc5f604.jpg"/><Relationship Id="rId10" Type="http://schemas.openxmlformats.org/officeDocument/2006/relationships/image" Target="media/52a36d7ff162f4ca26d14ae746b32c158b585ffb.jpg"/><Relationship Id="rId11" Type="http://schemas.openxmlformats.org/officeDocument/2006/relationships/image" Target="media/21e2c3f3e7ee70bce88c6db2e2a1fbd5f362a346.jpg"/><Relationship Id="rId12" Type="http://schemas.openxmlformats.org/officeDocument/2006/relationships/image" Target="media/cb54e57da20df0af072571eb2cef4a71bf011dc3.jpg"/><Relationship Id="rId13" Type="http://schemas.openxmlformats.org/officeDocument/2006/relationships/image" Target="media/c0ddd397677f1586cbb0eb0b2dac30fb3c662f78.jpg"/><Relationship Id="rId14" Type="http://schemas.openxmlformats.org/officeDocument/2006/relationships/image" Target="media/95264125a1ca91d89ccca68a001e0dce86c8ed23.jpg"/><Relationship Id="rId15" Type="http://schemas.openxmlformats.org/officeDocument/2006/relationships/image" Target="media/b6552df0d89efa5fb8c992f20baf6dee8302400f.jpg"/><Relationship Id="rId16" Type="http://schemas.openxmlformats.org/officeDocument/2006/relationships/image" Target="media/659ea1cabf1329b065e3f4d75d59e262ea7acad4.jpg"/><Relationship Id="rId17" Type="http://schemas.openxmlformats.org/officeDocument/2006/relationships/image" Target="media/078affbe1d6cc741c4b95f15126a86af190deca9.jpg"/><Relationship Id="rId18" Type="http://schemas.openxmlformats.org/officeDocument/2006/relationships/image" Target="media/265fcc4ba7d92fe2278888569b69fb42e6080b9c.jpg"/><Relationship Id="rId19" Type="http://schemas.openxmlformats.org/officeDocument/2006/relationships/image" Target="media/3f55ee84bd05f10bf0b58d286526732383281649.jpg"/><Relationship Id="rId20" Type="http://schemas.openxmlformats.org/officeDocument/2006/relationships/image" Target="media/316ced47e08913b07ac6e6f184b4a867e906c949.jpg"/><Relationship Id="rId21" Type="http://schemas.openxmlformats.org/officeDocument/2006/relationships/image" Target="media/b72e2765f23b8242fe3f9d396b915817e55d4359.jpg"/><Relationship Id="rId22" Type="http://schemas.openxmlformats.org/officeDocument/2006/relationships/image" Target="media/64fbe171db377cf8365ad1a381ba180ca6c4b2a0.jpg"/><Relationship Id="rId23" Type="http://schemas.openxmlformats.org/officeDocument/2006/relationships/image" Target="media/39337f0696db0dec5e7b28ddc2fad2283f23193c.jpg"/><Relationship Id="rId24" Type="http://schemas.openxmlformats.org/officeDocument/2006/relationships/image" Target="media/c7ec109c941bf90cef77ce7965de095cd95f16d5.jpg"/><Relationship Id="rId25" Type="http://schemas.openxmlformats.org/officeDocument/2006/relationships/image" Target="media/ffb383ed05f44cc694be205d4825f11501886928.jpg"/><Relationship Id="rId26" Type="http://schemas.openxmlformats.org/officeDocument/2006/relationships/image" Target="media/1b9ad471123210dd1c44d56f7d6d6856a2187269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4d50d88924416c80e493c818147c037547ee5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Испытание «Хелмакс» — МТК «Оберовщина»</dc:title>
  <dc:creator>ЗАО «Консул»</dc:creator>
  <cp:lastModifiedBy>Un-named</cp:lastModifiedBy>
  <cp:revision>1</cp:revision>
  <dcterms:created xsi:type="dcterms:W3CDTF">2026-10-04T14:08:27.585Z</dcterms:created>
  <dcterms:modified xsi:type="dcterms:W3CDTF">2026-10-04T14:08:27.600Z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