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4"/>
          <w:szCs w:val="34"/>
        </w:rPr>
        <w:t xml:space="preserve">Заключение по отчёту мониторинга МТФ «Рублевка»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28"/>
          <w:szCs w:val="28"/>
        </w:rPr>
        <w:t xml:space="preserve">1. Документ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Тип: </w:t>
      </w:r>
      <w:r>
        <w:rPr>
          <w:rFonts w:ascii="Times New Roman" w:cs="Times New Roman" w:eastAsia="SimSun" w:hAnsi="Times New Roman"/>
          <w:sz w:val="24"/>
          <w:szCs w:val="24"/>
        </w:rPr>
        <w:t xml:space="preserve">консультационный отчёт по результатам мониторинга (кормление, содержание, смежные ветеринарные вопросы).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Автор: </w:t>
      </w:r>
      <w:r>
        <w:rPr>
          <w:rFonts w:ascii="Times New Roman" w:cs="Times New Roman" w:eastAsia="SimSun" w:hAnsi="Times New Roman"/>
          <w:sz w:val="24"/>
          <w:szCs w:val="24"/>
        </w:rPr>
        <w:t xml:space="preserve">эксперт по кормлению и содержанию КРС ЧНИУП «АЛНИКОР» Позняк А.Ю., программа «АЛНИКОР» 15000+.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Дата: </w:t>
      </w:r>
      <w:r>
        <w:rPr>
          <w:rFonts w:ascii="Times New Roman" w:cs="Times New Roman" w:eastAsia="SimSun" w:hAnsi="Times New Roman"/>
          <w:sz w:val="24"/>
          <w:szCs w:val="24"/>
        </w:rPr>
        <w:t xml:space="preserve">03.09.2026 (в имени файла — 02.09.2026). Дата посещения фермы и даты замеров в тексте не указаны.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Объект: </w:t>
      </w:r>
      <w:r>
        <w:rPr>
          <w:rFonts w:ascii="Times New Roman" w:cs="Times New Roman" w:eastAsia="SimSun" w:hAnsi="Times New Roman"/>
          <w:sz w:val="24"/>
          <w:szCs w:val="24"/>
        </w:rPr>
        <w:t xml:space="preserve">МТФ «Рублевка», КТ «Зенченко и К».</w:t>
      </w:r>
    </w:p>
    <w:p>
      <w:pPr>
        <w:spacing w:after="160" w:line="30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Данные независимо не проверяемы: всё изложенное ниже — по тексту отчёта.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28"/>
          <w:szCs w:val="28"/>
        </w:rPr>
        <w:t xml:space="preserve">2. Данные отчёта</w:t>
      </w:r>
    </w:p>
    <w:p>
      <w:pPr>
        <w:spacing w:after="160" w:line="30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По тексту отчёта представлены замеры по шести блокам: рН мочи во втором периоде сухостоя, кетоновые тела у новотельных, структура кормосмеси, переваримость кормов (фекальное сито), иммуноглобулины сыворотки крови телят, количество и качество молозива. Остальные блоки (вода, мастит, гинекология, упитанность, оборудование) — наблюдения и сведения со слов специалистов фермы.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000"/>
        <w:gridCol w:w="2000"/>
        <w:gridCol w:w="2676"/>
      </w:tblGrid>
      <w:tr>
        <w:tc>
          <w:tcPr>
            <w:tcW w:type="dxa" w:w="235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0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Данные отчёта</w:t>
            </w:r>
          </w:p>
        </w:tc>
        <w:tc>
          <w:tcPr>
            <w:tcW w:type="dxa" w:w="2000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Ориентир автора</w:t>
            </w:r>
          </w:p>
        </w:tc>
        <w:tc>
          <w:tcPr>
            <w:tcW w:type="dxa" w:w="2676"/>
            <w:shd w:fill="EE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Ограничения данных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рН мочи, 2-й период сухостоя, 11 голов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5,24–7,41; 7 из 11 ниже 6,0; 2 выше 7,0 (7,24; 7,41)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6,0–7,0</w:t>
            </w:r>
          </w:p>
        </w:tc>
        <w:tc>
          <w:tcPr>
            <w:tcW w:type="dxa" w:w="2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Дата замера и отбор животных не указаны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Кетоновые тела, новотельные, 5 голов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0,2–1,4 ммоль/л; одна голова 1,4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≤1,2 ммоль/л; доля ≥1,3 не более 30%</w:t>
            </w:r>
          </w:p>
        </w:tc>
        <w:tc>
          <w:tcPr>
            <w:tcW w:type="dxa" w:w="2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Выборка из 5 голов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Структура кормосмеси, начало/конец раздачи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Верхнее сито 5,2/2,6; среднее 47,9/51,4; нижнее 11,9/12,4; дно 35,0/33,6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≤5 / ≥50 / 10–20 / 25–30</w:t>
            </w:r>
          </w:p>
        </w:tc>
        <w:tc>
          <w:tcPr>
            <w:tcW w:type="dxa" w:w="2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Один рейс, две пробы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Переваримость (фекальное сито)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Верхнее 13,2; среднее 16,7; нижнее 70,1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&lt;10 / 10–20 / &gt;70</w:t>
            </w:r>
          </w:p>
        </w:tc>
        <w:tc>
          <w:tcPr>
            <w:tcW w:type="dxa" w:w="2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Разовая проба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Иммуноглобулины сыворотки телят, 8 проб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7,8–9,7 % Brix; в норме одна проба (9,7)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≥9–9,5 % Brix</w:t>
            </w:r>
          </w:p>
        </w:tc>
        <w:tc>
          <w:tcPr>
            <w:tcW w:type="dxa" w:w="2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Порог задан диапазоном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Молозиво при двух отёлах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Первотёлка ~1,5 л; корова ~10 л при 17,8 % Brix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Нормы обещаны отдельно, в отчёте нет</w:t>
            </w:r>
          </w:p>
        </w:tc>
        <w:tc>
          <w:tcPr>
            <w:tcW w:type="dxa" w:w="2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Два единичных случая</w:t>
            </w:r>
          </w:p>
        </w:tc>
      </w:tr>
    </w:tbl>
    <w:p>
      <w:pPr>
        <w:spacing w:before="120"/>
      </w:pPr>
      <w:r>
        <w:rPr>
          <w:rFonts w:ascii="Times New Roman" w:cs="Times New Roman" w:eastAsia="SimSun" w:hAnsi="Times New Roman"/>
          <w:color w:val="78909C"/>
          <w:sz w:val="22"/>
          <w:szCs w:val="22"/>
        </w:rPr>
        <w:t xml:space="preserve">Не раскрыты: методика и даты отбора животных; результаты лабораторного исследования грубых кормов (упомянуты, но не представлены); нормы качества молозива (обещаны отдельно); значения вакуума доильной системы («оптимальные» — без цифр); баллы упитанности («чрезмерно ожиревшие» — без BCS); лабораторный анализ воды (оценка органолептическая).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28"/>
          <w:szCs w:val="28"/>
        </w:rPr>
        <w:t xml:space="preserve">3. Выводы и рекомендации автора</w:t>
      </w:r>
    </w:p>
    <w:p>
      <w:pPr>
        <w:spacing w:after="160" w:line="30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Автор заключает: рН мочи во втором периоде сухостоя снижен (принято решение уменьшить дозу анионной добавки через сокращение комбикорма); кетоны в целом в норме; структура кормосмеси соответствует целевым значениям; переваримость хорошая при превышении доли частиц на верхнем сите (возможная причина — несоблюдение фазы спелости при заготовке грубых кормов); у семи из восьми телят иммуноглобулины ниже нормы, что вместе с низким качеством молозива — одна из причин диареи телят; ситуацию усугубляет смещение сроков вакцинаций из-за прививок против ящура и бруцеллёза; один из основных факторов диареи — неудовлетворительное качество воды; рост гинекологических заболеваний связан с отсутствием лечения выявленных животных; животные идут в запуск чрезмерно ожиревшими.</w:t>
      </w:r>
    </w:p>
    <w:p>
      <w:pPr>
        <w:spacing w:after="160" w:line="30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Рекомендации автора: пересмотреть схему вакцинации с поставщиком вакцин; рассмотреть установку системы водоподготовки; заменить и далее регулярно менять соски для выпойки; строже соблюдать фазу зрелости растений при заготовке кормов; продолжить ТО доильной системы; рассмотреть средства для обработки копыт на основе глутарового альдегида; сохранить секцию предзапуска и своевременно выбраковывать нестельных малопродуктивных животных (10–15 л/гол/сутки).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28"/>
          <w:szCs w:val="28"/>
        </w:rPr>
        <w:t xml:space="preserve">4. Оценка качества документа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Полнота. </w:t>
      </w:r>
      <w:r>
        <w:rPr>
          <w:rFonts w:ascii="Times New Roman" w:cs="Times New Roman" w:eastAsia="SimSun" w:hAnsi="Times New Roman"/>
          <w:sz w:val="24"/>
          <w:szCs w:val="24"/>
        </w:rPr>
        <w:t xml:space="preserve">Не указаны даты визита и замеров, методика отбора животных; упомянутые лабораторные результаты по грубым кормам и нормы по молозиву в документ не включены; по воде, вакууму и упитанности данных нет вовсе. Для разового мониторинга это допустимо, но по воде и молозиву пробелы существенны, потому что на них опираются ключевые выводы.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Согласованность — п. 3 (структура кормосмеси). </w:t>
      </w:r>
      <w:r>
        <w:rPr>
          <w:rFonts w:ascii="Times New Roman" w:cs="Times New Roman" w:eastAsia="SimSun" w:hAnsi="Times New Roman"/>
          <w:sz w:val="24"/>
          <w:szCs w:val="24"/>
        </w:rPr>
        <w:t xml:space="preserve">Текст утверждает: «структура кормосмеси соответствует целевым значениям», однако собственная таблица отчёта этому противоречит: на начало раздачи три из четырёх фракций вне цели (верхнее сито 5,2 при «до 5»; среднее 47,9 при «более 50»; дно 35,0 при «25–30»), на конец раздачи дно (33,6) также выше целевого диапазона. Проблема в том, что вывод о соблюдении технологии вымешивания и рациона опирается именно на эту таблицу; фактически данные показывают избыток мелкой фракции на дне при недоборе среднего сита — картину, которую технолог обязан объяснять, а не подписывать как норму. Согласованная с данными формулировка: «различия между началом и концом раздачи незначительны, однако доля дна превышает целевую на обеих точках, а среднее сито на начале раздачи ниже целевого». Вывод автора о соответствии целевым значениям данными отчёта не подтверждается.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Согласованность — п. 1 (рН мочи). </w:t>
      </w:r>
      <w:r>
        <w:rPr>
          <w:rFonts w:ascii="Times New Roman" w:cs="Times New Roman" w:eastAsia="SimSun" w:hAnsi="Times New Roman"/>
          <w:sz w:val="24"/>
          <w:szCs w:val="24"/>
        </w:rPr>
        <w:t xml:space="preserve">Характеристика «уровень рН мочи снижен, местами несколько ниже целевого диапазона» не отражает двух значений выше целевого (7,24 и 7,41 при норме 6,0–7,0): данные показывают не просто снижение, а разброс в обе стороны (5,24–7,41). Это важно, потому что принятое решение — равномерное снижение дозы анионной добавки по всей группе — не отвечает на верхний хвост: у животных с рН 7,24 и 7,41 уменьшение дозы может сместить рН ещё выше целевого. При таком разбросе вопрос, вероятно, не только в дозе, но и в поедании комбикорма и сортировке кормосмеси. Согласованная с данными формулировка: «средний уровень смещён ниже целевого при значительном разбросе; у двух животных рН выше целевого диапазона». Решение автора принято без повторного контроля и без разбора верхнего хвоста.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Нормы. </w:t>
      </w:r>
      <w:r>
        <w:rPr>
          <w:rFonts w:ascii="Times New Roman" w:cs="Times New Roman" w:eastAsia="SimSun" w:hAnsi="Times New Roman"/>
          <w:sz w:val="24"/>
          <w:szCs w:val="24"/>
        </w:rPr>
        <w:t xml:space="preserve">Порог по иммуноглобулинам сформулирован как «не менее 9–9,5 % Brix» — нижняя граница задана диапазоном, и неясно, считать ли 9,0 соответствием норме или пограничным значением; автор фактически трактует 9,0 как нижнее пограничное. Норма требует уточнения у автора, здесь не исправляется. Ссылки на источники нормы (University of Guelph, Penn State) приведены, сохранены как есть.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Выборки. </w:t>
      </w:r>
      <w:r>
        <w:rPr>
          <w:rFonts w:ascii="Times New Roman" w:cs="Times New Roman" w:eastAsia="SimSun" w:hAnsi="Times New Roman"/>
          <w:sz w:val="24"/>
          <w:szCs w:val="24"/>
        </w:rPr>
        <w:t xml:space="preserve">По кетонам выборка — 5 голов: одна превысившая голова — это уже 20 % от обследованных при стадном пороге 30 %; вывод «в целом в норме» по представленным данным корректен, но запас до стадного порога при таком объёме выборки — одна-две головы.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Причинность. </w:t>
      </w:r>
      <w:r>
        <w:rPr>
          <w:rFonts w:ascii="Times New Roman" w:cs="Times New Roman" w:eastAsia="SimSun" w:hAnsi="Times New Roman"/>
          <w:sz w:val="24"/>
          <w:szCs w:val="24"/>
        </w:rPr>
        <w:t xml:space="preserve">В основном выдержана: «одна из причин», «может негативно отражаться», «может свидетельствовать». Сильнее представленных данных сформулирован раздел о воде: «один из основных факторов» диареи заявлен при отсутствии лабораторного анализа воды и каких-либо сравнительных данных по заболеваемости — по тексту есть только органолептическая оценка. Направление разумное, но сила утверждения опережает данные; корректнее — «вероятный значимый фактор, требующий лабораторного подтверждения». Связь низких иммуноглобулинов и качества молозива с диареей (п. 7) обоснована представленными данными и не усилена.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Уровни утверждений. </w:t>
      </w:r>
      <w:r>
        <w:rPr>
          <w:rFonts w:ascii="Times New Roman" w:cs="Times New Roman" w:eastAsia="SimSun" w:hAnsi="Times New Roman"/>
          <w:sz w:val="24"/>
          <w:szCs w:val="24"/>
        </w:rPr>
        <w:t xml:space="preserve">Сведения со слов корректно атрибутированы («со слов работников и специалистов» о снижении маститов; «при общении со специалистами по расчистке копыт»). Нарушений уровней нет: наблюдения поданы как наблюдения, решения автора («было принято решение снизить дозировку») — как принятые автором решения.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Тон. </w:t>
      </w:r>
      <w:r>
        <w:rPr>
          <w:rFonts w:ascii="Times New Roman" w:cs="Times New Roman" w:eastAsia="SimSun" w:hAnsi="Times New Roman"/>
          <w:sz w:val="24"/>
          <w:szCs w:val="24"/>
        </w:rPr>
        <w:t xml:space="preserve">Нейтральный, без эмоциональных статусов; раздел о воде настойчив по интонации, но без завышенных формулировок угрозы — в пределах данных документа допустимо.</w:t>
      </w:r>
    </w:p>
    <w:p>
      <w:pPr>
        <w:spacing w:after="160" w:line="300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Актуальность. </w:t>
      </w:r>
      <w:r>
        <w:rPr>
          <w:rFonts w:ascii="Times New Roman" w:cs="Times New Roman" w:eastAsia="SimSun" w:hAnsi="Times New Roman"/>
          <w:sz w:val="24"/>
          <w:szCs w:val="24"/>
        </w:rPr>
        <w:t xml:space="preserve">Проверить невозможно: даты измерений в отчёте отсутствуют; отчёт подписан 03.09.2026, имя файла содержит 02.09.2026.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28"/>
          <w:szCs w:val="28"/>
        </w:rPr>
        <w:t xml:space="preserve">5. Заключение по существу</w:t>
      </w:r>
    </w:p>
    <w:p>
      <w:pPr>
        <w:spacing w:after="160" w:line="30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Документ рабочий: блоки с замерами (рН, кетоны, структура, переваримость, иммуноглобулины) опираются на представленные данные, позиция автора отделена от фактов, причинность в основном не усилена. Выводы обоснованы частично.</w:t>
      </w:r>
    </w:p>
    <w:p>
      <w:pPr>
        <w:spacing w:after="160" w:line="30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Подтверждаются представленными данными: неудовлетворительный пассивный иммунитет телят (7 из 8 проб ниже нормы автора) в сочетании с низким качеством молозива; превышение доли частиц на верхнем фекальном сите при в целом хорошей переваримости; единичное превышение по кетонам. Не подтверждается: вывод о соответствии структуры кормосмеси целевым значениям (противоречит таблице отчёта). Частично подтверждается: характеристика рН мочи (снижение есть, но есть и разброс выше целевого — решение о дозе принято без его разбора) и роль воды как основного фактора диареи (без лабораторного анализа).</w:t>
      </w:r>
    </w:p>
    <w:p>
      <w:pPr>
        <w:spacing w:after="160" w:line="30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По существу состояния: наиболее значимый из показанных отчётом рисков — сбой передачи колострального иммунитета телят в сочетании с неудовлетворительной водой: это прямой и устойчивый вклад в диарею и инфекционную заболеваемость молодняка, и он подтверждён собственными замерами отчёта. Второй контур — воспроизводство: ожирение к запуску, невылеченные гинекологические заболевания и увольнение техника по осеменению способны закрепить проблему на срок около года (оценка срока — автора отчёта). Мастит непосредственно после отёла, по сведениям со слов, снизился; данными это не подкреплено.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28"/>
          <w:szCs w:val="28"/>
        </w:rPr>
        <w:t xml:space="preserve">6. Рекомендуемые действия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Принять: пересмотр схемы вакцинации совместно с поставщиком вакцин; работу по качеству молозива и мониторингу иммуноглобулинов (Brix молозива и сыворотки телят); порядок действий при мастите у предзапускных животных с оценкой эффекта через два месяца (срок автора); регулярную замену сосок и ТО доильной системы; своевременную выбраковку нестельных малопродуктивных животных.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Принять с уточнением: снижение дозы анионной добавки — с обязательным повторным контролем рН мочи по той же группе через 7–10 дней и отдельным разбором животных с рН выше целевого (7,24; 7,41) до изменения дозы.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Не принимать: вывод о соответствии структуры кормосмеси целевым значениям. Провести собственный контроль: повторный замер структуры на начале и конце раздачи с проверкой времени и порядка вымешивания (превышение доли дна — 33,6–35,0 % при целевых 25–30 %).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Вода: направление автора поддержать, но решение о системе водоподготовки принимать только после лабораторного анализа воды (химический и микробиологический состав) — масштаб вложений определяется составом загрязнения.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Копыта: переход на средства на основе глутарового альдегида — пробно, на ограниченной группе, с оценкой до/после.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28"/>
          <w:szCs w:val="28"/>
        </w:rPr>
        <w:t xml:space="preserve">7. Что запросить дополнительно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Даты посещения фермы и каждого замера; методику отбора животных в выборки.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Результаты лабораторного исследования грубых кормов и комбикормов (в отчёте упомянуты, но не представлены).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Обещанные автором нормативные значения качества молозива по шкале Brix.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Уточнение порога по иммуноглобулинам: 9,0 или 9,5 % Brix считать нижней границей нормы.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Лабораторный анализ воды, используемой для поения телят.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Значения вакуума доильной системы и баллы упитанности (BCS) животных, идущих в запуск.</w:t>
      </w:r>
    </w:p>
    <w:p>
      <w:pPr>
        <w:pStyle w:val="ListParagraph"/>
        <w:numPr>
          <w:ilvl w:val="0"/>
          <w:numId w:val="2"/>
        </w:numPr>
        <w:spacing w:after="160" w:line="300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Учётные данные по заболеваемости телят диареей и по случаям мастита после отёла (для проверки сведений, полученных со слов).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20"/>
        <w:szCs w:val="20"/>
      </w:rPr>
      <w:t xml:space="preserve">Заключение по отчёту мониторинга МТФ «Рублевка»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2026-09-03T19:17:37.034Z</dcterms:created>
  <dcterms:modified xsi:type="dcterms:W3CDTF">2026-09-03T19:17:37.034Z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