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93" w:rsidRPr="007228B6" w:rsidRDefault="00A43093" w:rsidP="006A0BA0">
      <w:pPr>
        <w:rPr>
          <w:rFonts w:ascii="Arial" w:hAnsi="Arial" w:cs="Arial"/>
          <w:b/>
          <w:sz w:val="36"/>
          <w:u w:val="single"/>
        </w:rPr>
      </w:pPr>
      <w:proofErr w:type="spellStart"/>
      <w:r w:rsidRPr="007228B6">
        <w:rPr>
          <w:rFonts w:ascii="Arial" w:hAnsi="Arial" w:cs="Arial"/>
          <w:b/>
          <w:sz w:val="36"/>
          <w:u w:val="single"/>
        </w:rPr>
        <w:t>Definitions</w:t>
      </w:r>
      <w:proofErr w:type="spellEnd"/>
      <w:r w:rsidRPr="007228B6">
        <w:rPr>
          <w:rFonts w:ascii="Arial" w:hAnsi="Arial" w:cs="Arial"/>
          <w:b/>
          <w:sz w:val="36"/>
          <w:u w:val="single"/>
        </w:rPr>
        <w:t xml:space="preserve"> </w:t>
      </w:r>
    </w:p>
    <w:p w:rsidR="00A43093" w:rsidRPr="007228B6" w:rsidRDefault="00A43093" w:rsidP="006A0BA0">
      <w:pPr>
        <w:rPr>
          <w:rFonts w:ascii="Arial" w:hAnsi="Arial" w:cs="Arial"/>
          <w:b/>
          <w:sz w:val="36"/>
          <w:u w:val="single"/>
        </w:rPr>
      </w:pPr>
      <w:r w:rsidRPr="007228B6">
        <w:rPr>
          <w:rFonts w:ascii="Arial" w:hAnsi="Arial" w:cs="Arial"/>
          <w:b/>
          <w:sz w:val="36"/>
          <w:u w:val="single"/>
        </w:rPr>
        <w:t>Jeunesse :</w:t>
      </w:r>
    </w:p>
    <w:p w:rsidR="00A43093" w:rsidRPr="007228B6" w:rsidRDefault="00A43093" w:rsidP="006A0BA0">
      <w:pPr>
        <w:rPr>
          <w:rFonts w:ascii="Arial" w:hAnsi="Arial" w:cs="Arial"/>
          <w:b/>
          <w:sz w:val="36"/>
          <w:u w:val="single"/>
        </w:rPr>
      </w:pPr>
      <w:r w:rsidRPr="007228B6">
        <w:rPr>
          <w:rStyle w:val="lettrine"/>
          <w:rFonts w:ascii="Arial" w:hAnsi="Arial" w:cs="Arial"/>
          <w:color w:val="323232"/>
          <w:sz w:val="77"/>
          <w:szCs w:val="77"/>
          <w:shd w:val="clear" w:color="auto" w:fill="FAFAFA"/>
        </w:rPr>
        <w:t>L</w:t>
      </w:r>
      <w:r w:rsidRPr="007228B6">
        <w:rPr>
          <w:rFonts w:ascii="Arial" w:hAnsi="Arial" w:cs="Arial"/>
          <w:color w:val="323232"/>
          <w:sz w:val="30"/>
          <w:szCs w:val="30"/>
          <w:shd w:val="clear" w:color="auto" w:fill="FAFAFA"/>
        </w:rPr>
        <w:t>a jeunesse est à la fois âge et passage : elle constitue un âge de la vie marqué par le passage de l’adolescence vers l’âge adulte. Âge des possibles et des expérimentations, âge des engagements et des choix, la jeunesse est une période d’apprentissage des responsabilités, d’accès à l’indépendance matérielle et de construction identitaire de l’autonomie. Les rythmes et les caractéristiques de ce processus complexe sont variables selon les différents domaines qui concourent à définir les statuts et les rôles adultes. En même temps, la jeunesse est l’âge des classements sociaux et de la confrontation aux inégalités sociales. La jeunesse ne forme pas un ensemble homogène : elle est traversée par des différenciations sociales, liées tout particulièrement aux inégalités en matière de niveau d’études et de qualification.</w:t>
      </w:r>
    </w:p>
    <w:p w:rsidR="00A43093" w:rsidRPr="007228B6" w:rsidRDefault="00A43093" w:rsidP="006A0BA0">
      <w:pPr>
        <w:rPr>
          <w:rFonts w:ascii="Arial" w:hAnsi="Arial" w:cs="Arial"/>
          <w:b/>
          <w:sz w:val="36"/>
        </w:rPr>
      </w:pPr>
      <w:r w:rsidRPr="007228B6">
        <w:rPr>
          <w:rFonts w:ascii="Arial" w:hAnsi="Arial" w:cs="Arial"/>
          <w:b/>
          <w:sz w:val="36"/>
        </w:rPr>
        <w:t>Emploi :</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Il existe plusieurs définitions du concept d'emploi. Par exemple le BIT et l'INSEE n'utilisent pas la même définition</w:t>
      </w:r>
      <w:hyperlink r:id="rId5" w:anchor="cite_note-1" w:history="1">
        <w:r w:rsidRPr="007228B6">
          <w:rPr>
            <w:rFonts w:ascii="Arial" w:eastAsia="Times New Roman" w:hAnsi="Arial" w:cs="Arial"/>
            <w:sz w:val="28"/>
            <w:szCs w:val="28"/>
            <w:vertAlign w:val="superscript"/>
            <w:lang w:eastAsia="fr-FR"/>
          </w:rPr>
          <w:t>1</w:t>
        </w:r>
      </w:hyperlink>
      <w:r w:rsidRPr="00A43093">
        <w:rPr>
          <w:rFonts w:ascii="Arial" w:eastAsia="Times New Roman" w:hAnsi="Arial" w:cs="Arial"/>
          <w:sz w:val="28"/>
          <w:szCs w:val="28"/>
          <w:lang w:eastAsia="fr-FR"/>
        </w:rPr>
        <w:t>.</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La notion d'emploi est souvent associée avec celle de </w:t>
      </w:r>
      <w:hyperlink r:id="rId6" w:tooltip="Salariat" w:history="1">
        <w:r w:rsidRPr="007228B6">
          <w:rPr>
            <w:rFonts w:ascii="Arial" w:eastAsia="Times New Roman" w:hAnsi="Arial" w:cs="Arial"/>
            <w:sz w:val="28"/>
            <w:szCs w:val="28"/>
            <w:lang w:eastAsia="fr-FR"/>
          </w:rPr>
          <w:t>salariat</w:t>
        </w:r>
      </w:hyperlink>
      <w:r w:rsidRPr="00A43093">
        <w:rPr>
          <w:rFonts w:ascii="Arial" w:eastAsia="Times New Roman" w:hAnsi="Arial" w:cs="Arial"/>
          <w:sz w:val="28"/>
          <w:szCs w:val="28"/>
          <w:lang w:eastAsia="fr-FR"/>
        </w:rPr>
        <w:t>. En réalité la </w:t>
      </w:r>
      <w:hyperlink r:id="rId7" w:tooltip="Rémunération" w:history="1">
        <w:r w:rsidRPr="007228B6">
          <w:rPr>
            <w:rFonts w:ascii="Arial" w:eastAsia="Times New Roman" w:hAnsi="Arial" w:cs="Arial"/>
            <w:sz w:val="28"/>
            <w:szCs w:val="28"/>
            <w:lang w:eastAsia="fr-FR"/>
          </w:rPr>
          <w:t>rémunération</w:t>
        </w:r>
      </w:hyperlink>
      <w:r w:rsidRPr="00A43093">
        <w:rPr>
          <w:rFonts w:ascii="Arial" w:eastAsia="Times New Roman" w:hAnsi="Arial" w:cs="Arial"/>
          <w:sz w:val="28"/>
          <w:szCs w:val="28"/>
          <w:lang w:eastAsia="fr-FR"/>
        </w:rPr>
        <w:t> peut tout aussi bien prendre la forme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d'un traitement, si l'employeur est une personne publique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d'un </w:t>
      </w:r>
      <w:hyperlink r:id="rId8" w:tooltip="Salaire" w:history="1">
        <w:r w:rsidRPr="007228B6">
          <w:rPr>
            <w:rFonts w:ascii="Arial" w:eastAsia="Times New Roman" w:hAnsi="Arial" w:cs="Arial"/>
            <w:sz w:val="28"/>
            <w:szCs w:val="28"/>
            <w:lang w:eastAsia="fr-FR"/>
          </w:rPr>
          <w:t>salaire</w:t>
        </w:r>
      </w:hyperlink>
      <w:r w:rsidRPr="00A43093">
        <w:rPr>
          <w:rFonts w:ascii="Arial" w:eastAsia="Times New Roman" w:hAnsi="Arial" w:cs="Arial"/>
          <w:sz w:val="28"/>
          <w:szCs w:val="28"/>
          <w:lang w:eastAsia="fr-FR"/>
        </w:rPr>
        <w:t>, si l'employeur est une personne morale ou physique autre que le travailleur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w:t>
      </w:r>
      <w:hyperlink r:id="rId9" w:tooltip="Honoraires (rétribution) (page inexistante)" w:history="1">
        <w:r w:rsidRPr="007228B6">
          <w:rPr>
            <w:rFonts w:ascii="Arial" w:eastAsia="Times New Roman" w:hAnsi="Arial" w:cs="Arial"/>
            <w:sz w:val="28"/>
            <w:szCs w:val="28"/>
            <w:lang w:eastAsia="fr-FR"/>
          </w:rPr>
          <w:t>honoraires</w:t>
        </w:r>
      </w:hyperlink>
      <w:r w:rsidRPr="00A43093">
        <w:rPr>
          <w:rFonts w:ascii="Arial" w:eastAsia="Times New Roman" w:hAnsi="Arial" w:cs="Arial"/>
          <w:sz w:val="28"/>
          <w:szCs w:val="28"/>
          <w:lang w:eastAsia="fr-FR"/>
        </w:rPr>
        <w:t> pour les professions libérales les plus classiques. Dans ce cas, il convient de déduire les frais pour obtenir le revenu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de cachets pour les artistes non mensualisés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de piges pour les journalistes non mensualisés (</w:t>
      </w:r>
      <w:hyperlink r:id="rId10" w:tooltip="Pigiste" w:history="1">
        <w:r w:rsidRPr="007228B6">
          <w:rPr>
            <w:rFonts w:ascii="Arial" w:eastAsia="Times New Roman" w:hAnsi="Arial" w:cs="Arial"/>
            <w:sz w:val="28"/>
            <w:szCs w:val="28"/>
            <w:lang w:eastAsia="fr-FR"/>
          </w:rPr>
          <w:t>pigistes</w:t>
        </w:r>
      </w:hyperlink>
      <w:r w:rsidRPr="00A43093">
        <w:rPr>
          <w:rFonts w:ascii="Arial" w:eastAsia="Times New Roman" w:hAnsi="Arial" w:cs="Arial"/>
          <w:sz w:val="28"/>
          <w:szCs w:val="28"/>
          <w:lang w:eastAsia="fr-FR"/>
        </w:rPr>
        <w:t>);</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de </w:t>
      </w:r>
      <w:hyperlink r:id="rId11" w:tooltip="Droit d'auteur" w:history="1">
        <w:r w:rsidRPr="007228B6">
          <w:rPr>
            <w:rFonts w:ascii="Arial" w:eastAsia="Times New Roman" w:hAnsi="Arial" w:cs="Arial"/>
            <w:sz w:val="28"/>
            <w:szCs w:val="28"/>
            <w:lang w:eastAsia="fr-FR"/>
          </w:rPr>
          <w:t>droits d'auteurs</w:t>
        </w:r>
      </w:hyperlink>
      <w:r w:rsidRPr="00A43093">
        <w:rPr>
          <w:rFonts w:ascii="Arial" w:eastAsia="Times New Roman" w:hAnsi="Arial" w:cs="Arial"/>
          <w:sz w:val="28"/>
          <w:szCs w:val="28"/>
          <w:lang w:eastAsia="fr-FR"/>
        </w:rPr>
        <w:t> pour les écrivains ;</w:t>
      </w:r>
    </w:p>
    <w:p w:rsidR="00A43093" w:rsidRPr="00A43093" w:rsidRDefault="00A43093" w:rsidP="00A43093">
      <w:pPr>
        <w:numPr>
          <w:ilvl w:val="0"/>
          <w:numId w:val="1"/>
        </w:numPr>
        <w:shd w:val="clear" w:color="auto" w:fill="FFFFFF"/>
        <w:spacing w:before="100" w:beforeAutospacing="1" w:after="24" w:line="240" w:lineRule="auto"/>
        <w:ind w:left="384"/>
        <w:rPr>
          <w:rFonts w:ascii="Arial" w:eastAsia="Times New Roman" w:hAnsi="Arial" w:cs="Arial"/>
          <w:sz w:val="28"/>
          <w:szCs w:val="28"/>
          <w:lang w:eastAsia="fr-FR"/>
        </w:rPr>
      </w:pPr>
      <w:r w:rsidRPr="00A43093">
        <w:rPr>
          <w:rFonts w:ascii="Arial" w:eastAsia="Times New Roman" w:hAnsi="Arial" w:cs="Arial"/>
          <w:sz w:val="28"/>
          <w:szCs w:val="28"/>
          <w:lang w:eastAsia="fr-FR"/>
        </w:rPr>
        <w:t>de prélèvement sur les résultats de l'entreprise, pour les autres professions indépendantes (artisan, commerçant, exploitant agricole, profession libérale récentes,…) qui établiront alors des factures.</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Au niveau </w:t>
      </w:r>
      <w:hyperlink r:id="rId12" w:tooltip="Macroéconomie" w:history="1">
        <w:r w:rsidRPr="007228B6">
          <w:rPr>
            <w:rFonts w:ascii="Arial" w:eastAsia="Times New Roman" w:hAnsi="Arial" w:cs="Arial"/>
            <w:sz w:val="28"/>
            <w:szCs w:val="28"/>
            <w:lang w:eastAsia="fr-FR"/>
          </w:rPr>
          <w:t>macroéconomique</w:t>
        </w:r>
      </w:hyperlink>
      <w:r w:rsidRPr="00A43093">
        <w:rPr>
          <w:rFonts w:ascii="Arial" w:eastAsia="Times New Roman" w:hAnsi="Arial" w:cs="Arial"/>
          <w:sz w:val="28"/>
          <w:szCs w:val="28"/>
          <w:lang w:eastAsia="fr-FR"/>
        </w:rPr>
        <w:t>, l'</w:t>
      </w:r>
      <w:r w:rsidRPr="00A43093">
        <w:rPr>
          <w:rFonts w:ascii="Arial" w:eastAsia="Times New Roman" w:hAnsi="Arial" w:cs="Arial"/>
          <w:i/>
          <w:iCs/>
          <w:sz w:val="28"/>
          <w:szCs w:val="28"/>
          <w:lang w:eastAsia="fr-FR"/>
        </w:rPr>
        <w:t>emploi</w:t>
      </w:r>
      <w:r w:rsidRPr="00A43093">
        <w:rPr>
          <w:rFonts w:ascii="Arial" w:eastAsia="Times New Roman" w:hAnsi="Arial" w:cs="Arial"/>
          <w:sz w:val="28"/>
          <w:szCs w:val="28"/>
          <w:lang w:eastAsia="fr-FR"/>
        </w:rPr>
        <w:t> représente l’ensemble du </w:t>
      </w:r>
      <w:hyperlink r:id="rId13" w:tooltip="Travail (économie)" w:history="1">
        <w:r w:rsidRPr="007228B6">
          <w:rPr>
            <w:rFonts w:ascii="Arial" w:eastAsia="Times New Roman" w:hAnsi="Arial" w:cs="Arial"/>
            <w:sz w:val="28"/>
            <w:szCs w:val="28"/>
            <w:lang w:eastAsia="fr-FR"/>
          </w:rPr>
          <w:t>travail</w:t>
        </w:r>
      </w:hyperlink>
      <w:r w:rsidRPr="00A43093">
        <w:rPr>
          <w:rFonts w:ascii="Arial" w:eastAsia="Times New Roman" w:hAnsi="Arial" w:cs="Arial"/>
          <w:sz w:val="28"/>
          <w:szCs w:val="28"/>
          <w:lang w:eastAsia="fr-FR"/>
        </w:rPr>
        <w:t> fourni au sein d’une </w:t>
      </w:r>
      <w:hyperlink r:id="rId14" w:tooltip="Économie nationale" w:history="1">
        <w:r w:rsidRPr="007228B6">
          <w:rPr>
            <w:rFonts w:ascii="Arial" w:eastAsia="Times New Roman" w:hAnsi="Arial" w:cs="Arial"/>
            <w:sz w:val="28"/>
            <w:szCs w:val="28"/>
            <w:lang w:eastAsia="fr-FR"/>
          </w:rPr>
          <w:t>économie nationale</w:t>
        </w:r>
      </w:hyperlink>
      <w:r w:rsidRPr="00A43093">
        <w:rPr>
          <w:rFonts w:ascii="Arial" w:eastAsia="Times New Roman" w:hAnsi="Arial" w:cs="Arial"/>
          <w:sz w:val="28"/>
          <w:szCs w:val="28"/>
          <w:lang w:eastAsia="fr-FR"/>
        </w:rPr>
        <w:t>, par l’ensemble de la </w:t>
      </w:r>
      <w:hyperlink r:id="rId15" w:tooltip="Population active" w:history="1">
        <w:r w:rsidRPr="007228B6">
          <w:rPr>
            <w:rFonts w:ascii="Arial" w:eastAsia="Times New Roman" w:hAnsi="Arial" w:cs="Arial"/>
            <w:sz w:val="28"/>
            <w:szCs w:val="28"/>
            <w:lang w:eastAsia="fr-FR"/>
          </w:rPr>
          <w:t>population active</w:t>
        </w:r>
      </w:hyperlink>
      <w:r w:rsidRPr="00A43093">
        <w:rPr>
          <w:rFonts w:ascii="Arial" w:eastAsia="Times New Roman" w:hAnsi="Arial" w:cs="Arial"/>
          <w:sz w:val="28"/>
          <w:szCs w:val="28"/>
          <w:lang w:eastAsia="fr-FR"/>
        </w:rPr>
        <w:t> qui n’est pas au </w:t>
      </w:r>
      <w:hyperlink r:id="rId16" w:tooltip="Chômage" w:history="1">
        <w:r w:rsidRPr="007228B6">
          <w:rPr>
            <w:rFonts w:ascii="Arial" w:eastAsia="Times New Roman" w:hAnsi="Arial" w:cs="Arial"/>
            <w:sz w:val="28"/>
            <w:szCs w:val="28"/>
            <w:lang w:eastAsia="fr-FR"/>
          </w:rPr>
          <w:t>chômage</w:t>
        </w:r>
      </w:hyperlink>
      <w:r w:rsidRPr="00A43093">
        <w:rPr>
          <w:rFonts w:ascii="Arial" w:eastAsia="Times New Roman" w:hAnsi="Arial" w:cs="Arial"/>
          <w:sz w:val="28"/>
          <w:szCs w:val="28"/>
          <w:lang w:eastAsia="fr-FR"/>
        </w:rPr>
        <w:t xml:space="preserve">. L’emploi peut être dans </w:t>
      </w:r>
      <w:r w:rsidRPr="00A43093">
        <w:rPr>
          <w:rFonts w:ascii="Arial" w:eastAsia="Times New Roman" w:hAnsi="Arial" w:cs="Arial"/>
          <w:sz w:val="28"/>
          <w:szCs w:val="28"/>
          <w:lang w:eastAsia="fr-FR"/>
        </w:rPr>
        <w:lastRenderedPageBreak/>
        <w:t>le </w:t>
      </w:r>
      <w:hyperlink r:id="rId17" w:tooltip="Secteur public" w:history="1">
        <w:r w:rsidRPr="007228B6">
          <w:rPr>
            <w:rFonts w:ascii="Arial" w:eastAsia="Times New Roman" w:hAnsi="Arial" w:cs="Arial"/>
            <w:sz w:val="28"/>
            <w:szCs w:val="28"/>
            <w:lang w:eastAsia="fr-FR"/>
          </w:rPr>
          <w:t>secteur public</w:t>
        </w:r>
      </w:hyperlink>
      <w:r w:rsidRPr="00A43093">
        <w:rPr>
          <w:rFonts w:ascii="Arial" w:eastAsia="Times New Roman" w:hAnsi="Arial" w:cs="Arial"/>
          <w:sz w:val="28"/>
          <w:szCs w:val="28"/>
          <w:lang w:eastAsia="fr-FR"/>
        </w:rPr>
        <w:t> ou dans le </w:t>
      </w:r>
      <w:hyperlink r:id="rId18" w:tooltip="Secteur privé" w:history="1">
        <w:r w:rsidRPr="007228B6">
          <w:rPr>
            <w:rFonts w:ascii="Arial" w:eastAsia="Times New Roman" w:hAnsi="Arial" w:cs="Arial"/>
            <w:sz w:val="28"/>
            <w:szCs w:val="28"/>
            <w:lang w:eastAsia="fr-FR"/>
          </w:rPr>
          <w:t>secteur privé</w:t>
        </w:r>
      </w:hyperlink>
      <w:r w:rsidRPr="00A43093">
        <w:rPr>
          <w:rFonts w:ascii="Arial" w:eastAsia="Times New Roman" w:hAnsi="Arial" w:cs="Arial"/>
          <w:sz w:val="28"/>
          <w:szCs w:val="28"/>
          <w:lang w:eastAsia="fr-FR"/>
        </w:rPr>
        <w:t>, il peut être </w:t>
      </w:r>
      <w:hyperlink r:id="rId19" w:tooltip="Subvention" w:history="1">
        <w:r w:rsidRPr="007228B6">
          <w:rPr>
            <w:rFonts w:ascii="Arial" w:eastAsia="Times New Roman" w:hAnsi="Arial" w:cs="Arial"/>
            <w:sz w:val="28"/>
            <w:szCs w:val="28"/>
            <w:lang w:eastAsia="fr-FR"/>
          </w:rPr>
          <w:t>subventionné</w:t>
        </w:r>
      </w:hyperlink>
      <w:r w:rsidRPr="00A43093">
        <w:rPr>
          <w:rFonts w:ascii="Arial" w:eastAsia="Times New Roman" w:hAnsi="Arial" w:cs="Arial"/>
          <w:sz w:val="28"/>
          <w:szCs w:val="28"/>
          <w:lang w:eastAsia="fr-FR"/>
        </w:rPr>
        <w:t> par les </w:t>
      </w:r>
      <w:hyperlink r:id="rId20" w:tooltip="Pouvoirs publics" w:history="1">
        <w:r w:rsidRPr="007228B6">
          <w:rPr>
            <w:rFonts w:ascii="Arial" w:eastAsia="Times New Roman" w:hAnsi="Arial" w:cs="Arial"/>
            <w:sz w:val="28"/>
            <w:szCs w:val="28"/>
            <w:lang w:eastAsia="fr-FR"/>
          </w:rPr>
          <w:t>pouvoirs publics</w:t>
        </w:r>
      </w:hyperlink>
      <w:r w:rsidRPr="00A43093">
        <w:rPr>
          <w:rFonts w:ascii="Arial" w:eastAsia="Times New Roman" w:hAnsi="Arial" w:cs="Arial"/>
          <w:sz w:val="28"/>
          <w:szCs w:val="28"/>
          <w:lang w:eastAsia="fr-FR"/>
        </w:rPr>
        <w:t>.</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Le fonctionnement et la situation du </w:t>
      </w:r>
      <w:hyperlink r:id="rId21" w:tooltip="Marché du travail" w:history="1">
        <w:r w:rsidRPr="007228B6">
          <w:rPr>
            <w:rFonts w:ascii="Arial" w:eastAsia="Times New Roman" w:hAnsi="Arial" w:cs="Arial"/>
            <w:sz w:val="28"/>
            <w:szCs w:val="28"/>
            <w:lang w:eastAsia="fr-FR"/>
          </w:rPr>
          <w:t>marché du travail</w:t>
        </w:r>
      </w:hyperlink>
      <w:r w:rsidRPr="00A43093">
        <w:rPr>
          <w:rFonts w:ascii="Arial" w:eastAsia="Times New Roman" w:hAnsi="Arial" w:cs="Arial"/>
          <w:sz w:val="28"/>
          <w:szCs w:val="28"/>
          <w:lang w:eastAsia="fr-FR"/>
        </w:rPr>
        <w:t> national ou local peuvent être évalués au moyen du </w:t>
      </w:r>
      <w:hyperlink r:id="rId22" w:tooltip="Taux d'emploi" w:history="1">
        <w:r w:rsidRPr="007228B6">
          <w:rPr>
            <w:rFonts w:ascii="Arial" w:eastAsia="Times New Roman" w:hAnsi="Arial" w:cs="Arial"/>
            <w:sz w:val="28"/>
            <w:szCs w:val="28"/>
            <w:lang w:eastAsia="fr-FR"/>
          </w:rPr>
          <w:t>taux d'emploi</w:t>
        </w:r>
      </w:hyperlink>
      <w:r w:rsidRPr="00A43093">
        <w:rPr>
          <w:rFonts w:ascii="Arial" w:eastAsia="Times New Roman" w:hAnsi="Arial" w:cs="Arial"/>
          <w:sz w:val="28"/>
          <w:szCs w:val="28"/>
          <w:lang w:eastAsia="fr-FR"/>
        </w:rPr>
        <w:t> et du </w:t>
      </w:r>
      <w:hyperlink r:id="rId23" w:tooltip="Taux de chômage" w:history="1">
        <w:r w:rsidRPr="007228B6">
          <w:rPr>
            <w:rFonts w:ascii="Arial" w:eastAsia="Times New Roman" w:hAnsi="Arial" w:cs="Arial"/>
            <w:sz w:val="28"/>
            <w:szCs w:val="28"/>
            <w:lang w:eastAsia="fr-FR"/>
          </w:rPr>
          <w:t>taux de chômage</w:t>
        </w:r>
      </w:hyperlink>
      <w:r w:rsidRPr="00A43093">
        <w:rPr>
          <w:rFonts w:ascii="Arial" w:eastAsia="Times New Roman" w:hAnsi="Arial" w:cs="Arial"/>
          <w:sz w:val="28"/>
          <w:szCs w:val="28"/>
          <w:lang w:eastAsia="fr-FR"/>
        </w:rPr>
        <w:t>.</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Dans le jargon de la </w:t>
      </w:r>
      <w:hyperlink r:id="rId24" w:tooltip="GPEC" w:history="1">
        <w:r w:rsidRPr="007228B6">
          <w:rPr>
            <w:rFonts w:ascii="Arial" w:eastAsia="Times New Roman" w:hAnsi="Arial" w:cs="Arial"/>
            <w:sz w:val="28"/>
            <w:szCs w:val="28"/>
            <w:lang w:eastAsia="fr-FR"/>
          </w:rPr>
          <w:t>GPEC</w:t>
        </w:r>
      </w:hyperlink>
      <w:r w:rsidRPr="00A43093">
        <w:rPr>
          <w:rFonts w:ascii="Arial" w:eastAsia="Times New Roman" w:hAnsi="Arial" w:cs="Arial"/>
          <w:sz w:val="28"/>
          <w:szCs w:val="28"/>
          <w:lang w:eastAsia="fr-FR"/>
        </w:rPr>
        <w:t>, un </w:t>
      </w:r>
      <w:r w:rsidRPr="00A43093">
        <w:rPr>
          <w:rFonts w:ascii="Arial" w:eastAsia="Times New Roman" w:hAnsi="Arial" w:cs="Arial"/>
          <w:i/>
          <w:iCs/>
          <w:sz w:val="28"/>
          <w:szCs w:val="28"/>
          <w:lang w:eastAsia="fr-FR"/>
        </w:rPr>
        <w:t>emploi</w:t>
      </w:r>
      <w:r w:rsidRPr="00A43093">
        <w:rPr>
          <w:rFonts w:ascii="Arial" w:eastAsia="Times New Roman" w:hAnsi="Arial" w:cs="Arial"/>
          <w:sz w:val="28"/>
          <w:szCs w:val="28"/>
          <w:lang w:eastAsia="fr-FR"/>
        </w:rPr>
        <w:t> est un ensemble de tâches et de compétences sous-jacentes, qui permettent de contribuer à l'activité de l'entreprise. Un emploi se décline en </w:t>
      </w:r>
      <w:r w:rsidRPr="00A43093">
        <w:rPr>
          <w:rFonts w:ascii="Arial" w:eastAsia="Times New Roman" w:hAnsi="Arial" w:cs="Arial"/>
          <w:i/>
          <w:iCs/>
          <w:sz w:val="28"/>
          <w:szCs w:val="28"/>
          <w:lang w:eastAsia="fr-FR"/>
        </w:rPr>
        <w:t>postes de travail</w:t>
      </w:r>
      <w:r w:rsidRPr="00A43093">
        <w:rPr>
          <w:rFonts w:ascii="Arial" w:eastAsia="Times New Roman" w:hAnsi="Arial" w:cs="Arial"/>
          <w:sz w:val="28"/>
          <w:szCs w:val="28"/>
          <w:lang w:eastAsia="fr-FR"/>
        </w:rPr>
        <w:t> inscrits (ou non) à l'</w:t>
      </w:r>
      <w:hyperlink r:id="rId25" w:tooltip="Organigramme (organisation)" w:history="1">
        <w:r w:rsidRPr="007228B6">
          <w:rPr>
            <w:rFonts w:ascii="Arial" w:eastAsia="Times New Roman" w:hAnsi="Arial" w:cs="Arial"/>
            <w:sz w:val="28"/>
            <w:szCs w:val="28"/>
            <w:lang w:eastAsia="fr-FR"/>
          </w:rPr>
          <w:t>organigramme</w:t>
        </w:r>
      </w:hyperlink>
      <w:r w:rsidRPr="00A43093">
        <w:rPr>
          <w:rFonts w:ascii="Arial" w:eastAsia="Times New Roman" w:hAnsi="Arial" w:cs="Arial"/>
          <w:sz w:val="28"/>
          <w:szCs w:val="28"/>
          <w:lang w:eastAsia="fr-FR"/>
        </w:rPr>
        <w:t> de l'entreprise, occupés (ou non) par des employés qui ont les capacités nécessaires pour occuper l'emploi.</w:t>
      </w:r>
    </w:p>
    <w:p w:rsidR="00A43093" w:rsidRPr="00A43093" w:rsidRDefault="00A43093" w:rsidP="00A43093">
      <w:pPr>
        <w:shd w:val="clear" w:color="auto" w:fill="FFFFFF"/>
        <w:spacing w:before="120" w:after="120" w:line="240" w:lineRule="auto"/>
        <w:rPr>
          <w:rFonts w:ascii="Arial" w:eastAsia="Times New Roman" w:hAnsi="Arial" w:cs="Arial"/>
          <w:sz w:val="28"/>
          <w:szCs w:val="28"/>
          <w:lang w:eastAsia="fr-FR"/>
        </w:rPr>
      </w:pPr>
      <w:r w:rsidRPr="00A43093">
        <w:rPr>
          <w:rFonts w:ascii="Arial" w:eastAsia="Times New Roman" w:hAnsi="Arial" w:cs="Arial"/>
          <w:sz w:val="28"/>
          <w:szCs w:val="28"/>
          <w:lang w:eastAsia="fr-FR"/>
        </w:rPr>
        <w:t>Au sens comptable, qu'il s'agisse de </w:t>
      </w:r>
      <w:hyperlink r:id="rId26" w:tooltip="Comptabilité nationale" w:history="1">
        <w:r w:rsidRPr="007228B6">
          <w:rPr>
            <w:rFonts w:ascii="Arial" w:eastAsia="Times New Roman" w:hAnsi="Arial" w:cs="Arial"/>
            <w:sz w:val="28"/>
            <w:szCs w:val="28"/>
            <w:lang w:eastAsia="fr-FR"/>
          </w:rPr>
          <w:t>comptabilité nationale</w:t>
        </w:r>
      </w:hyperlink>
      <w:r w:rsidRPr="00A43093">
        <w:rPr>
          <w:rFonts w:ascii="Arial" w:eastAsia="Times New Roman" w:hAnsi="Arial" w:cs="Arial"/>
          <w:sz w:val="28"/>
          <w:szCs w:val="28"/>
          <w:lang w:eastAsia="fr-FR"/>
        </w:rPr>
        <w:t> ou de </w:t>
      </w:r>
      <w:hyperlink r:id="rId27" w:tooltip="Comptabilité" w:history="1">
        <w:r w:rsidRPr="007228B6">
          <w:rPr>
            <w:rFonts w:ascii="Arial" w:eastAsia="Times New Roman" w:hAnsi="Arial" w:cs="Arial"/>
            <w:sz w:val="28"/>
            <w:szCs w:val="28"/>
            <w:lang w:eastAsia="fr-FR"/>
          </w:rPr>
          <w:t>comptabilité d'entreprise</w:t>
        </w:r>
      </w:hyperlink>
      <w:r w:rsidRPr="00A43093">
        <w:rPr>
          <w:rFonts w:ascii="Arial" w:eastAsia="Times New Roman" w:hAnsi="Arial" w:cs="Arial"/>
          <w:sz w:val="28"/>
          <w:szCs w:val="28"/>
          <w:lang w:eastAsia="fr-FR"/>
        </w:rPr>
        <w:t>, l'</w:t>
      </w:r>
      <w:r w:rsidRPr="00A43093">
        <w:rPr>
          <w:rFonts w:ascii="Arial" w:eastAsia="Times New Roman" w:hAnsi="Arial" w:cs="Arial"/>
          <w:i/>
          <w:iCs/>
          <w:sz w:val="28"/>
          <w:szCs w:val="28"/>
          <w:lang w:eastAsia="fr-FR"/>
        </w:rPr>
        <w:t>emploi</w:t>
      </w:r>
      <w:r w:rsidRPr="00A43093">
        <w:rPr>
          <w:rFonts w:ascii="Arial" w:eastAsia="Times New Roman" w:hAnsi="Arial" w:cs="Arial"/>
          <w:sz w:val="28"/>
          <w:szCs w:val="28"/>
          <w:lang w:eastAsia="fr-FR"/>
        </w:rPr>
        <w:t> désigne le fait d'affecter des ressources à une utilisation donnée.</w:t>
      </w:r>
    </w:p>
    <w:p w:rsidR="00A43093" w:rsidRPr="007228B6" w:rsidRDefault="00A43093" w:rsidP="006A0BA0">
      <w:pPr>
        <w:rPr>
          <w:rFonts w:ascii="Arial" w:hAnsi="Arial" w:cs="Arial"/>
          <w:b/>
          <w:sz w:val="36"/>
        </w:rPr>
      </w:pPr>
      <w:r w:rsidRPr="007228B6">
        <w:rPr>
          <w:rFonts w:ascii="Arial" w:hAnsi="Arial" w:cs="Arial"/>
          <w:b/>
          <w:sz w:val="36"/>
        </w:rPr>
        <w:t>Formation :</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Le concept de formation vient du mot latin formatĭo. Il s’agit de l’action de former ou de se former ou le résultat de cette action (donner une forme à quelque chose ou, s’agissant de deux ou de plusieurs personnes ou choses, composer le tout dont elles font partie).</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En grammaire, la formation désigne la manière dont un mot se forme d’un autre mot, ou dont un mot passe par ses diverses formes (le pluriel, le temps, le mode, la dérivation, la composition, etc.).</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En géologie, une formation est un ensemble des couches ou portions de terrains ou de substances minérales présentant des caractères géologiques et paléontologiques semblables qui paraissent dater de la même époque.</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Dans le cadre militaire, par ailleurs, la formation est un mouvement par lequel une troupe ou un corps de bateaux de guerre prend une certaine disposition (ordonnée), et l’état où il/elle se trouve après cette disposition.</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De nos jours, la notion de formation a plutôt tendance à être associée à l’idée de formation professionnelle, soit les études, les connaissances et les compétences acquis dans le but de l’insertion, la réinsertion et le recyclage au travail. Cette période d’éducation est très fréquente dans le cas des stages, par exemple.</w:t>
      </w:r>
    </w:p>
    <w:p w:rsidR="007228B6" w:rsidRPr="007228B6" w:rsidRDefault="007228B6" w:rsidP="007228B6">
      <w:pPr>
        <w:shd w:val="clear" w:color="auto" w:fill="F4EFD6"/>
        <w:spacing w:after="0" w:line="450" w:lineRule="atLeast"/>
        <w:textAlignment w:val="baseline"/>
        <w:rPr>
          <w:rFonts w:ascii="Arial" w:eastAsia="Times New Roman" w:hAnsi="Arial" w:cs="Arial"/>
          <w:color w:val="413F36"/>
          <w:sz w:val="27"/>
          <w:szCs w:val="27"/>
          <w:lang w:eastAsia="fr-FR"/>
        </w:rPr>
      </w:pPr>
      <w:r w:rsidRPr="007228B6">
        <w:rPr>
          <w:rFonts w:ascii="Arial" w:eastAsia="Times New Roman" w:hAnsi="Arial" w:cs="Arial"/>
          <w:color w:val="413F36"/>
          <w:sz w:val="27"/>
          <w:szCs w:val="27"/>
          <w:lang w:eastAsia="fr-FR"/>
        </w:rPr>
        <w:t xml:space="preserve">L’objectif de la formation professionnelle est d’augmenter et d’approprier les connaissances et les compétences des travailleurs tout au long de leur vie. </w:t>
      </w:r>
      <w:r w:rsidRPr="007228B6">
        <w:rPr>
          <w:rFonts w:ascii="Arial" w:eastAsia="Times New Roman" w:hAnsi="Arial" w:cs="Arial"/>
          <w:color w:val="413F36"/>
          <w:sz w:val="27"/>
          <w:szCs w:val="27"/>
          <w:lang w:eastAsia="fr-FR"/>
        </w:rPr>
        <w:lastRenderedPageBreak/>
        <w:t>En général, il existe trois types de formation professionnelle, à savoir : la formation professionnelle spécifique ou initiale (destinée aux étudiants qui décident de se lancer dans le monde du travail), la formation occupationnelle (enseignement adressé aux personnes au chômage et aux demandeurs d’emploi, visé à leur insertion ou réinsertion dans le monde du travail) et la formation professionnelle continue (elle concerne les adultes qui travaillent déjà, mais qui souhaitent valoriser les acquis de leur expérience et perfectionner leurs savoir-faire, ce qui contribue pour accroitre l’employabilité).</w:t>
      </w:r>
    </w:p>
    <w:p w:rsidR="007228B6" w:rsidRPr="007228B6" w:rsidRDefault="007228B6" w:rsidP="006A0BA0">
      <w:pPr>
        <w:rPr>
          <w:rFonts w:ascii="Arial" w:hAnsi="Arial" w:cs="Arial"/>
          <w:sz w:val="28"/>
        </w:rPr>
      </w:pPr>
    </w:p>
    <w:p w:rsidR="006A0BA0" w:rsidRPr="007228B6" w:rsidRDefault="006A0BA0">
      <w:pPr>
        <w:rPr>
          <w:rFonts w:ascii="Arial" w:hAnsi="Arial" w:cs="Arial"/>
          <w:b/>
          <w:sz w:val="36"/>
        </w:rPr>
      </w:pPr>
      <w:bookmarkStart w:id="0" w:name="_GoBack"/>
      <w:bookmarkEnd w:id="0"/>
    </w:p>
    <w:sectPr w:rsidR="006A0BA0" w:rsidRPr="00722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1691"/>
    <w:multiLevelType w:val="multilevel"/>
    <w:tmpl w:val="FFC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A0"/>
    <w:rsid w:val="001D7E21"/>
    <w:rsid w:val="004D11A4"/>
    <w:rsid w:val="006A0BA0"/>
    <w:rsid w:val="007228B6"/>
    <w:rsid w:val="00A43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A78D9-19AC-4F6F-83BF-AADDC6C8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30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43093"/>
    <w:rPr>
      <w:color w:val="0000FF"/>
      <w:u w:val="single"/>
    </w:rPr>
  </w:style>
  <w:style w:type="character" w:customStyle="1" w:styleId="lettrine">
    <w:name w:val="lettrine"/>
    <w:basedOn w:val="Policepardfaut"/>
    <w:rsid w:val="00A4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4687">
      <w:bodyDiv w:val="1"/>
      <w:marLeft w:val="0"/>
      <w:marRight w:val="0"/>
      <w:marTop w:val="0"/>
      <w:marBottom w:val="0"/>
      <w:divBdr>
        <w:top w:val="none" w:sz="0" w:space="0" w:color="auto"/>
        <w:left w:val="none" w:sz="0" w:space="0" w:color="auto"/>
        <w:bottom w:val="none" w:sz="0" w:space="0" w:color="auto"/>
        <w:right w:val="none" w:sz="0" w:space="0" w:color="auto"/>
      </w:divBdr>
    </w:div>
    <w:div w:id="10121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laire" TargetMode="External"/><Relationship Id="rId13" Type="http://schemas.openxmlformats.org/officeDocument/2006/relationships/hyperlink" Target="https://fr.wikipedia.org/wiki/Travail_(%C3%A9conomie)" TargetMode="External"/><Relationship Id="rId18" Type="http://schemas.openxmlformats.org/officeDocument/2006/relationships/hyperlink" Target="https://fr.wikipedia.org/wiki/Secteur_priv%C3%A9" TargetMode="External"/><Relationship Id="rId26" Type="http://schemas.openxmlformats.org/officeDocument/2006/relationships/hyperlink" Target="https://fr.wikipedia.org/wiki/Comptabilit%C3%A9_nationale" TargetMode="External"/><Relationship Id="rId3" Type="http://schemas.openxmlformats.org/officeDocument/2006/relationships/settings" Target="settings.xml"/><Relationship Id="rId21" Type="http://schemas.openxmlformats.org/officeDocument/2006/relationships/hyperlink" Target="https://fr.wikipedia.org/wiki/March%C3%A9_du_travail" TargetMode="External"/><Relationship Id="rId7" Type="http://schemas.openxmlformats.org/officeDocument/2006/relationships/hyperlink" Target="https://fr.wikipedia.org/wiki/R%C3%A9mun%C3%A9ration" TargetMode="External"/><Relationship Id="rId12" Type="http://schemas.openxmlformats.org/officeDocument/2006/relationships/hyperlink" Target="https://fr.wikipedia.org/wiki/Macro%C3%A9conomie" TargetMode="External"/><Relationship Id="rId17" Type="http://schemas.openxmlformats.org/officeDocument/2006/relationships/hyperlink" Target="https://fr.wikipedia.org/wiki/Secteur_public" TargetMode="External"/><Relationship Id="rId25" Type="http://schemas.openxmlformats.org/officeDocument/2006/relationships/hyperlink" Target="https://fr.wikipedia.org/wiki/Organigramme_(organisation)" TargetMode="External"/><Relationship Id="rId2" Type="http://schemas.openxmlformats.org/officeDocument/2006/relationships/styles" Target="styles.xml"/><Relationship Id="rId16" Type="http://schemas.openxmlformats.org/officeDocument/2006/relationships/hyperlink" Target="https://fr.wikipedia.org/wiki/Ch%C3%B4mage" TargetMode="External"/><Relationship Id="rId20" Type="http://schemas.openxmlformats.org/officeDocument/2006/relationships/hyperlink" Target="https://fr.wikipedia.org/wiki/Pouvoirs_publi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Salariat" TargetMode="External"/><Relationship Id="rId11" Type="http://schemas.openxmlformats.org/officeDocument/2006/relationships/hyperlink" Target="https://fr.wikipedia.org/wiki/Droit_d%27auteur" TargetMode="External"/><Relationship Id="rId24" Type="http://schemas.openxmlformats.org/officeDocument/2006/relationships/hyperlink" Target="https://fr.wikipedia.org/wiki/GPEC" TargetMode="External"/><Relationship Id="rId5" Type="http://schemas.openxmlformats.org/officeDocument/2006/relationships/hyperlink" Target="https://fr.wikipedia.org/wiki/Emploi" TargetMode="External"/><Relationship Id="rId15" Type="http://schemas.openxmlformats.org/officeDocument/2006/relationships/hyperlink" Target="https://fr.wikipedia.org/wiki/Population_active" TargetMode="External"/><Relationship Id="rId23" Type="http://schemas.openxmlformats.org/officeDocument/2006/relationships/hyperlink" Target="https://fr.wikipedia.org/wiki/Taux_de_ch%C3%B4mage" TargetMode="External"/><Relationship Id="rId28" Type="http://schemas.openxmlformats.org/officeDocument/2006/relationships/fontTable" Target="fontTable.xml"/><Relationship Id="rId10" Type="http://schemas.openxmlformats.org/officeDocument/2006/relationships/hyperlink" Target="https://fr.wikipedia.org/wiki/Pigiste" TargetMode="External"/><Relationship Id="rId19" Type="http://schemas.openxmlformats.org/officeDocument/2006/relationships/hyperlink" Target="https://fr.wikipedia.org/wiki/Subvention" TargetMode="External"/><Relationship Id="rId4" Type="http://schemas.openxmlformats.org/officeDocument/2006/relationships/webSettings" Target="webSettings.xml"/><Relationship Id="rId9" Type="http://schemas.openxmlformats.org/officeDocument/2006/relationships/hyperlink" Target="https://fr.wikipedia.org/w/index.php?title=Honoraires_(r%C3%A9tribution)&amp;action=edit&amp;redlink=1" TargetMode="External"/><Relationship Id="rId14" Type="http://schemas.openxmlformats.org/officeDocument/2006/relationships/hyperlink" Target="https://fr.wikipedia.org/wiki/%C3%89conomie_nationale" TargetMode="External"/><Relationship Id="rId22" Type="http://schemas.openxmlformats.org/officeDocument/2006/relationships/hyperlink" Target="https://fr.wikipedia.org/wiki/Taux_d%27emploi" TargetMode="External"/><Relationship Id="rId27" Type="http://schemas.openxmlformats.org/officeDocument/2006/relationships/hyperlink" Target="https://fr.wikipedia.org/wiki/Comptabilit%C3%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1026</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1</cp:revision>
  <dcterms:created xsi:type="dcterms:W3CDTF">2022-05-14T21:29:00Z</dcterms:created>
  <dcterms:modified xsi:type="dcterms:W3CDTF">2022-05-14T23:53:00Z</dcterms:modified>
</cp:coreProperties>
</file>