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1"/>
              </w:rPr>
              <w:t xml:space="preserve">Коммерческое предложение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ascii="Montserrat" w:hAnsi="Montserrat"/>
                <w:b/>
                <w:sz w:val="36"/>
              </w:rPr>
              <w:t>HRlink для 123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 xml:space="preserve">Удобный и эффективный 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 xml:space="preserve">Экономия на бумаге, пересылке 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 xml:space="preserve">Максимально комфортное 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4"/>
        <w:gridCol w:w="2116"/>
        <w:gridCol w:w="1319"/>
        <w:gridCol w:w="2296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Тип лицензии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Стоимость одной лицензии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Количество лицензий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 xml:space="preserve">Срок 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 xml:space="preserve">Сумма 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 xml:space="preserve">Базовая лицензия 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15 000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12 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15 000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Кадровика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15 000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12 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15 000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Сотрудника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12 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8459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0"/>
                <w:szCs w:val="26"/>
              </w:rPr>
              <w:t>Итого Cloud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jc w:val="center"/>
            </w:pPr>
            <w:r>
              <w:rPr>
                <w:rFonts w:ascii="Montserrat" w:hAnsi="Montserrat"/>
                <w:b/>
              </w:rPr>
              <w:t>30 001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rFonts w:eastAsia="Montserrat" w:cs="Montserrat" w:ascii="Montserrat" w:hAnsi="Montserrat"/>
          <w:b/>
          <w:color w:val="5296E8"/>
          <w:sz w:val="26"/>
          <w:szCs w:val="26"/>
        </w:rPr>
        <w:t>На 1 лицензию Сотрудника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УНЭП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смс-сообщение (смс на уведомление и подписание документа).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голосовое сообщение</w:t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Индивидуальные условия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1 согласовываем коммерческое предложение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2 согласовываем и подписываем договор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5 мы проводим с вами установочную встречу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 xml:space="preserve">08.08 </w:t>
      </w:r>
      <w:r>
        <w:rPr>
          <w:rFonts w:eastAsia="Montserrat" w:cs="Montserrat" w:ascii="Montserrat" w:hAnsi="Montserrat"/>
          <w:sz w:val="20"/>
          <w:szCs w:val="20"/>
        </w:rPr>
        <w:br/>
        <w:t>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6 начинаем внедрение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  <w:r>
        <w:rPr>
          <w:rFonts w:eastAsia="Montserrat" w:cs="Montserrat" w:ascii="Montserrat" w:hAnsi="Montserrat"/>
          <w:sz w:val="20"/>
          <w:szCs w:val="20"/>
        </w:rPr>
        <w:t xml:space="preserve"> с момента подписания договора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4"/>
        <w:gridCol w:w="3436"/>
        <w:gridCol w:w="3750"/>
      </w:tblGrid>
      <w:tr>
        <w:trPr>
          <w:trHeight w:val="997" w:hRule="atLeast"/>
        </w:trPr>
        <w:tc>
          <w:tcPr>
            <w:tcW w:w="340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 xml:space="preserve">более 1 200 000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пользователей</w:t>
            </w:r>
          </w:p>
        </w:tc>
        <w:tc>
          <w:tcPr>
            <w:tcW w:w="34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 xml:space="preserve">Глубокая экспертиза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62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color w:val="B7B7B7"/>
        <w:sz w:val="21"/>
        <w:szCs w:val="21"/>
        <w:highlight w:val="white"/>
      </w:rPr>
    </w:pPr>
    <w:r>
      <w:rPr>
        <w:rFonts w:ascii="Montserrat" w:hAnsi="Montserrat"/>
        <w:sz w:val="20"/>
      </w:rPr>
      <w:t xml:space="preserve">Коммерческое предложение действительно до </w:t>
    </w:r>
  </w:p>
  <w:tbl>
    <w:tblPr>
      <w:tblStyle w:val="Table6"/>
      <w:tblW w:w="9135" w:type="dxa"/>
      <w:jc w:val="left"/>
      <w:tblInd w:w="1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7214"/>
      <w:gridCol w:w="1920"/>
    </w:tblGrid>
    <w:tr>
      <w:trPr/>
      <w:tc>
        <w:tcPr>
          <w:tcW w:w="7214" w:type="dxa"/>
          <w:tcBorders/>
          <w:shd w:fill="auto" w:val="clear"/>
        </w:tcPr>
        <w:p>
          <w:pPr>
            <w:pStyle w:val="normal1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  <w:t>Коммерческое предложение действительно до 00.00.0000</w:t>
          </w:r>
        </w:p>
      </w:tc>
      <w:tc>
        <w:tcPr>
          <w:tcW w:w="1920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</w:r>
        </w:p>
      </w:tc>
    </w:tr>
  </w:tbl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  <w:tbl>
    <w:tblPr>
      <w:tblStyle w:val="Table6"/>
      <w:tblW w:w="9135" w:type="dxa"/>
      <w:jc w:val="left"/>
      <w:tblInd w:w="1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7214"/>
      <w:gridCol w:w="1920"/>
    </w:tblGrid>
    <w:tr>
      <w:trPr/>
      <w:tc>
        <w:tcPr>
          <w:tcW w:w="7214" w:type="dxa"/>
          <w:tcBorders/>
          <w:shd w:fill="auto" w:val="clear"/>
        </w:tcPr>
        <w:p>
          <w:pPr>
            <w:pStyle w:val="normal1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  <w:t>Коммерческое предложение действительно до 00.00.0000</w:t>
          </w:r>
        </w:p>
      </w:tc>
      <w:tc>
        <w:tcPr>
          <w:tcW w:w="1920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</w:r>
        </w:p>
      </w:tc>
    </w:tr>
  </w:tbl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Montserrat" w:hAnsi="Montserrat"/>
      <w:b w:val="false"/>
      <w:sz w:val="20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Montserrat" w:hAnsi="Montserrat"/>
      <w:b w:val="false"/>
      <w:color w:val="434343"/>
      <w:sz w:val="20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color w:val="666666"/>
      <w:sz w:val="20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i/>
      <w:color w:val="666666"/>
      <w:sz w:val="20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Montserrat" w:hAnsi="Montserrat" w:eastAsia="Arial" w:cs="Arial"/>
      <w:i w:val="false"/>
      <w:color w:val="666666"/>
      <w:sz w:val="20"/>
      <w:szCs w:val="30"/>
    </w:rPr>
  </w:style>
  <w:style w:type="paragraph" w:styleId="Style10">
    <w:name w:val="Содержимое врезки"/>
    <w:basedOn w:val="Normal"/>
    <w:qFormat/>
    <w:pPr/>
    <w:rPr>
      <w:rFonts w:ascii="Montserrat" w:hAnsi="Montserrat"/>
      <w:sz w:val="2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Footer">
    <w:name w:val="Footer"/>
    <w:basedOn w:val="HeaderandFooter"/>
    <w:pPr/>
    <w:rPr>
      <w:rFonts w:ascii="Montserrat" w:hAnsi="Montserrat"/>
      <w:sz w:val="2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302</Words>
  <Characters>1650</Characters>
  <CharactersWithSpaces>1862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2025-06-01T12:59:03Z</dcterms:modified>
  <cp:revision>2</cp:revision>
  <dc:subject/>
  <dc:title/>
</cp:coreProperties>
</file>