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-720" w:right="-180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le1"/>
        <w:tblpPr w:vertAnchor="page" w:horzAnchor="page" w:bottomFromText="180" w:leftFromText="180" w:rightFromText="180" w:topFromText="43" w:tblpX="2085" w:tblpY="1185"/>
        <w:tblW w:w="6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6360"/>
      </w:tblGrid>
      <w:tr>
        <w:trPr/>
        <w:tc>
          <w:tcPr>
            <w:tcW w:w="6360" w:type="dxa"/>
            <w:tcBorders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EDF1F3"/>
                <w:sz w:val="31"/>
                <w:szCs w:val="31"/>
              </w:rPr>
            </w:pPr>
            <w:r>
              <w:rPr>
                <w:rFonts w:eastAsia="Montserrat" w:cs="Montserrat" w:ascii="Montserrat" w:hAnsi="Montserrat"/>
                <w:color w:val="EDF1F3"/>
                <w:sz w:val="20"/>
                <w:szCs w:val="31"/>
              </w:rPr>
              <w:t>Коммерческое предложение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EDF1F3"/>
                <w:sz w:val="36"/>
                <w:szCs w:val="36"/>
              </w:rPr>
            </w:pPr>
            <w:r>
              <w:rPr>
                <w:rFonts w:ascii="Montserrat" w:hAnsi="Montserrat"/>
                <w:b/>
                <w:sz w:val="36"/>
              </w:rPr>
              <w:t>HRlink для 123</w:t>
            </w:r>
          </w:p>
        </w:tc>
      </w:tr>
    </w:tbl>
    <w:p>
      <w:pPr>
        <w:pStyle w:val="normal1"/>
        <w:ind w:hanging="360" w:right="-180"/>
        <w:rPr/>
      </w:pPr>
      <w:r>
        <w:rPr/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428625</wp:posOffset>
            </wp:positionH>
            <wp:positionV relativeFrom="page">
              <wp:posOffset>66675</wp:posOffset>
            </wp:positionV>
            <wp:extent cx="7143750" cy="342900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6" r="0" b="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2"/>
        <w:tblW w:w="10350" w:type="dxa"/>
        <w:jc w:val="left"/>
        <w:tblInd w:w="-3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94"/>
        <w:gridCol w:w="5355"/>
      </w:tblGrid>
      <w:tr>
        <w:trPr>
          <w:trHeight w:val="716" w:hRule="atLeast"/>
        </w:trPr>
        <w:tc>
          <w:tcPr>
            <w:tcW w:w="4994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6"/>
                <w:szCs w:val="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6"/>
              </w:rPr>
            </w:r>
          </w:p>
          <w:p>
            <w:pPr>
              <w:pStyle w:val="normal1"/>
              <w:rPr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8"/>
              </w:rPr>
              <w:t>КЭДО для бизнеса это</w:t>
            </w:r>
          </w:p>
        </w:tc>
        <w:tc>
          <w:tcPr>
            <w:tcW w:w="5355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4"/>
              </w:rPr>
            </w:r>
          </w:p>
        </w:tc>
      </w:tr>
      <w:tr>
        <w:trPr>
          <w:trHeight w:val="100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  <w:sz w:val="56"/>
                <w:szCs w:val="5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Высокая скорость согласования и подписания кадровых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Удобный и эффективный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контроль процессов КДП</w:t>
            </w:r>
          </w:p>
        </w:tc>
      </w:tr>
      <w:tr>
        <w:trPr>
          <w:trHeight w:val="118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Экономия на бумаге, пересылке</w:t>
            </w:r>
          </w:p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и хранении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Максимально комфортное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взаимодействие с сотрудниками</w:t>
            </w:r>
          </w:p>
        </w:tc>
      </w:tr>
    </w:tbl>
    <w:p>
      <w:pPr>
        <w:pStyle w:val="normal1"/>
        <w:ind w:hanging="0" w:left="-810" w:right="-18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tbl>
      <w:tblPr>
        <w:tblStyle w:val="Table3"/>
        <w:tblpPr w:vertAnchor="text" w:horzAnchor="text" w:bottomFromText="180" w:leftFromText="180" w:rightFromText="180" w:topFromText="180" w:tblpX="-734" w:tblpY="0"/>
        <w:tblW w:w="107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40"/>
        <w:gridCol w:w="2683"/>
        <w:gridCol w:w="2117"/>
        <w:gridCol w:w="1318"/>
        <w:gridCol w:w="2297"/>
      </w:tblGrid>
      <w:tr>
        <w:trPr>
          <w:trHeight w:val="93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Тип лицензии</w:t>
            </w:r>
          </w:p>
        </w:tc>
        <w:tc>
          <w:tcPr>
            <w:tcW w:w="26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Стоимость одной лицензии</w:t>
            </w:r>
          </w:p>
        </w:tc>
        <w:tc>
          <w:tcPr>
            <w:tcW w:w="21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Количество лицензий</w:t>
            </w:r>
          </w:p>
        </w:tc>
        <w:tc>
          <w:tcPr>
            <w:tcW w:w="13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Срок</w:t>
            </w:r>
          </w:p>
        </w:tc>
        <w:tc>
          <w:tcPr>
            <w:tcW w:w="22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Сумма</w:t>
            </w:r>
          </w:p>
        </w:tc>
      </w:tr>
      <w:tr>
        <w:trPr>
          <w:trHeight w:val="757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Базовая лицензия</w:t>
            </w:r>
          </w:p>
        </w:tc>
        <w:tc>
          <w:tcPr>
            <w:tcW w:w="26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15 000</w:t>
            </w:r>
          </w:p>
        </w:tc>
        <w:tc>
          <w:tcPr>
            <w:tcW w:w="21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</w:t>
            </w:r>
          </w:p>
        </w:tc>
        <w:tc>
          <w:tcPr>
            <w:tcW w:w="13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12 мес.</w:t>
            </w:r>
          </w:p>
        </w:tc>
        <w:tc>
          <w:tcPr>
            <w:tcW w:w="22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15 000</w:t>
            </w:r>
          </w:p>
        </w:tc>
      </w:tr>
      <w:tr>
        <w:trPr>
          <w:trHeight w:val="81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Лицензия Кадровика</w:t>
            </w:r>
          </w:p>
        </w:tc>
        <w:tc>
          <w:tcPr>
            <w:tcW w:w="26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15 000</w:t>
            </w:r>
          </w:p>
        </w:tc>
        <w:tc>
          <w:tcPr>
            <w:tcW w:w="21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</w:t>
            </w:r>
          </w:p>
        </w:tc>
        <w:tc>
          <w:tcPr>
            <w:tcW w:w="13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12 мес.</w:t>
            </w:r>
          </w:p>
        </w:tc>
        <w:tc>
          <w:tcPr>
            <w:tcW w:w="22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15 000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Лицензия Сотрудника</w:t>
            </w:r>
          </w:p>
        </w:tc>
        <w:tc>
          <w:tcPr>
            <w:tcW w:w="26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</w:t>
            </w:r>
          </w:p>
        </w:tc>
        <w:tc>
          <w:tcPr>
            <w:tcW w:w="21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</w:t>
            </w:r>
          </w:p>
        </w:tc>
        <w:tc>
          <w:tcPr>
            <w:tcW w:w="13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12 мес.</w:t>
            </w:r>
          </w:p>
        </w:tc>
        <w:tc>
          <w:tcPr>
            <w:tcW w:w="22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On-prem размещение</w:t>
            </w:r>
          </w:p>
        </w:tc>
        <w:tc>
          <w:tcPr>
            <w:tcW w:w="2683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</w:t>
            </w:r>
          </w:p>
        </w:tc>
        <w:tc>
          <w:tcPr>
            <w:tcW w:w="2117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</w:t>
            </w:r>
          </w:p>
        </w:tc>
        <w:tc>
          <w:tcPr>
            <w:tcW w:w="1318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12 мес.</w:t>
            </w:r>
          </w:p>
        </w:tc>
        <w:tc>
          <w:tcPr>
            <w:tcW w:w="2297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</w:t>
            </w:r>
          </w:p>
        </w:tc>
      </w:tr>
      <w:tr>
        <w:trPr>
          <w:trHeight w:val="420" w:hRule="atLeast"/>
        </w:trPr>
        <w:tc>
          <w:tcPr>
            <w:tcW w:w="8458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0"/>
                <w:szCs w:val="26"/>
              </w:rPr>
              <w:t>Итого Cloud</w:t>
            </w:r>
          </w:p>
        </w:tc>
        <w:tc>
          <w:tcPr>
            <w:tcW w:w="22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jc w:val="center"/>
            </w:pPr>
            <w:r>
              <w:rPr>
                <w:rFonts w:ascii="Montserrat" w:hAnsi="Montserrat"/>
                <w:b/>
              </w:rPr>
              <w:t>30 002</w:t>
            </w:r>
          </w:p>
        </w:tc>
      </w:tr>
    </w:tbl>
    <w:p>
      <w:pPr>
        <w:pStyle w:val="normal1"/>
        <w:ind w:hanging="0" w:left="-720" w:right="-180"/>
        <w:rPr/>
      </w:pPr>
      <w:r>
        <w:rPr/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spacing w:lineRule="auto" w:line="240" w:before="0" w:after="20"/>
        <w:ind w:hanging="180" w:left="-270" w:right="-810"/>
        <w:rPr>
          <w:rFonts w:ascii="Montserrat" w:hAnsi="Montserrat" w:eastAsia="Montserrat" w:cs="Montserrat"/>
          <w:b/>
          <w:sz w:val="26"/>
          <w:szCs w:val="26"/>
        </w:rPr>
      </w:pPr>
      <w:r>
        <w:rPr>
          <w:rFonts w:eastAsia="Montserrat" w:cs="Montserrat" w:ascii="Montserrat" w:hAnsi="Montserrat"/>
          <w:b/>
          <w:color w:val="5296E8"/>
          <w:sz w:val="26"/>
          <w:szCs w:val="26"/>
        </w:rPr>
        <w:t>На 1 лицензию Сотрудника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УНЭП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смс-сообщение (смс на уведомление и подписание документа).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голосовое сообщение</w:t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ind w:hanging="0" w:left="-450" w:right="-1440"/>
        <w:rPr>
          <w:rFonts w:ascii="Montserrat" w:hAnsi="Montserrat" w:eastAsia="Montserrat" w:cs="Montserrat"/>
          <w:b/>
          <w:color w:val="5296E8"/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Индивидуальные условия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spacing w:lineRule="auto" w:line="240" w:before="0" w:after="60"/>
        <w:ind w:hanging="0" w:left="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</w:r>
    </w:p>
    <w:p>
      <w:pPr>
        <w:pStyle w:val="normal1"/>
        <w:ind w:hanging="0" w:left="-360" w:right="-14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В стоимость включено</w:t>
      </w:r>
    </w:p>
    <w:tbl>
      <w:tblPr>
        <w:tblStyle w:val="Table4"/>
        <w:tblW w:w="10260" w:type="dxa"/>
        <w:jc w:val="left"/>
        <w:tblInd w:w="-4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64"/>
        <w:gridCol w:w="5295"/>
      </w:tblGrid>
      <w:tr>
        <w:trPr/>
        <w:tc>
          <w:tcPr>
            <w:tcW w:w="4964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Облачное размещение и хранение на наших серверах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Рабочее пространство для сотрудника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Лицензии для кадровых специалистов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Возможность вести все юрлица в рамках одного пространства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commentRangeStart w:id="0"/>
            <w:r>
              <w:rPr>
                <w:rFonts w:eastAsia="Montserrat" w:cs="Montserrat" w:ascii="Montserrat" w:hAnsi="Montserrat"/>
                <w:sz w:val="20"/>
                <w:szCs w:val="20"/>
              </w:rPr>
              <w:t>Консультации выделенного инженера при развертывании</w:t>
            </w:r>
            <w:commentRangeEnd w:id="0"/>
            <w:r>
              <w:commentReference w:id="0"/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Выпуск УНЭП, использован</w:t>
            </w:r>
            <w:r>
              <w:rPr>
                <w:sz w:val="20"/>
                <w:szCs w:val="20"/>
              </w:rPr>
              <w:t>ие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>: ПЭП ЕСИА (Портал работы в России), Госключ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Адаптивная мобильная версия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2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Интеграция с 1С ЗУП</w:t>
            </w:r>
          </w:p>
        </w:tc>
        <w:tc>
          <w:tcPr>
            <w:tcW w:w="5295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Обучение всех сотрудников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Бесплатные уведомления (email, Telegram)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Обновления и техподдержка по SLA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Нормативная документация для перехода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AI-помощник, который напоминает о том, что нужно подписать документ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Настройка маршрутов подписания документов и заявлений (безлимит)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графика отпусков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ЛНА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2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выпуска МЧД</w:t>
            </w:r>
          </w:p>
        </w:tc>
      </w:tr>
    </w:tbl>
    <w:p>
      <w:pPr>
        <w:pStyle w:val="normal1"/>
        <w:ind w:hanging="0" w:left="-270" w:right="-1440"/>
        <w:rPr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br/>
        <w:t>Что делаем дальше?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1 согласовываем коммерческое предложение до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2 согласовываем и подписываем договор до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3 вы оплачиваете счет в течение 2 дней с момента подписания договора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4 подписываем УПД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5 мы проводим с вами установочную встречу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 xml:space="preserve">08.08 </w:t>
      </w:r>
      <w:r>
        <w:rPr>
          <w:rFonts w:eastAsia="Montserrat" w:cs="Montserrat" w:ascii="Montserrat" w:hAnsi="Montserrat"/>
          <w:sz w:val="20"/>
          <w:szCs w:val="20"/>
        </w:rPr>
        <w:br/>
        <w:t>с момента подписания договора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6 начинаем внедрение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  <w:r>
        <w:rPr>
          <w:rFonts w:eastAsia="Montserrat" w:cs="Montserrat" w:ascii="Montserrat" w:hAnsi="Montserrat"/>
          <w:sz w:val="20"/>
          <w:szCs w:val="20"/>
        </w:rPr>
        <w:t xml:space="preserve"> с момента подписания договора</w:t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1" distT="10160" distB="10160" distL="10795" distR="9525" simplePos="0" locked="0" layoutInCell="1" allowOverlap="1" relativeHeight="3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114300</wp:posOffset>
                </wp:positionV>
                <wp:extent cx="2428875" cy="781050"/>
                <wp:effectExtent l="10795" t="10160" r="9525" b="1016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920" cy="781200"/>
                        </a:xfrm>
                        <a:prstGeom prst="roundRect">
                          <a:avLst>
                            <a:gd name="adj" fmla="val 29885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795" distR="10160" simplePos="0" locked="0" layoutInCell="1" allowOverlap="1" relativeHeight="5">
                <wp:simplePos x="0" y="0"/>
                <wp:positionH relativeFrom="column">
                  <wp:posOffset>1647825</wp:posOffset>
                </wp:positionH>
                <wp:positionV relativeFrom="paragraph">
                  <wp:posOffset>114300</wp:posOffset>
                </wp:positionV>
                <wp:extent cx="2099945" cy="781050"/>
                <wp:effectExtent l="10795" t="10160" r="10160" b="1016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7812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160" distR="10160" simplePos="0" locked="0" layoutInCell="1" allowOverlap="1" relativeHeight="7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</wp:posOffset>
                </wp:positionV>
                <wp:extent cx="2157730" cy="783590"/>
                <wp:effectExtent l="10160" t="10160" r="10160" b="10160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840" cy="78372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Style w:val="Table5"/>
        <w:tblW w:w="10590" w:type="dxa"/>
        <w:jc w:val="left"/>
        <w:tblInd w:w="-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03"/>
        <w:gridCol w:w="3437"/>
        <w:gridCol w:w="3750"/>
      </w:tblGrid>
      <w:tr>
        <w:trPr>
          <w:trHeight w:val="997" w:hRule="atLeast"/>
        </w:trPr>
        <w:tc>
          <w:tcPr>
            <w:tcW w:w="340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более 1 200 000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пользователей</w:t>
            </w:r>
          </w:p>
        </w:tc>
        <w:tc>
          <w:tcPr>
            <w:tcW w:w="3437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5 000 клиентов</w:t>
            </w:r>
          </w:p>
        </w:tc>
        <w:tc>
          <w:tcPr>
            <w:tcW w:w="37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Глубокая экспертиза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18"/>
                <w:szCs w:val="18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в сфере производства</w:t>
            </w:r>
          </w:p>
        </w:tc>
      </w:tr>
    </w:tbl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-676275</wp:posOffset>
            </wp:positionH>
            <wp:positionV relativeFrom="paragraph">
              <wp:posOffset>304800</wp:posOffset>
            </wp:positionV>
            <wp:extent cx="7248525" cy="1261745"/>
            <wp:effectExtent l="0" t="0" r="0" b="0"/>
            <wp:wrapNone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sz w:val="60"/>
          <w:szCs w:val="60"/>
        </w:rPr>
      </w:pPr>
      <w:r>
        <w:rPr>
          <w:b/>
          <w:sz w:val="60"/>
          <w:szCs w:val="60"/>
        </w:rPr>
      </w:r>
    </w:p>
    <w:sectPr>
      <w:footerReference w:type="even" r:id="rId4"/>
      <w:footerReference w:type="first" r:id="rId5"/>
      <w:footerReference w:type="default" r:id="rId11"/>
      <w:type w:val="nextPage"/>
      <w:pgSz w:w="12240" w:h="15840"/>
      <w:pgMar w:left="1620" w:right="1440" w:gutter="0" w:header="0" w:top="144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Сергей Шавлинский" w:date="2024-09-16T11:58:05Z" w:initials="">
    <w:p>
      <w:pPr>
        <w:overflowPunct w:val="tru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Зависит от типа размещения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Montserrat SemiBol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Montserrat" w:hAnsi="Montserrat"/>
        <w:sz w:val="20"/>
      </w:rPr>
      <w:t>Коммерческое предложение действительно до 11.11.1111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rFonts w:ascii="Montserrat" w:hAnsi="Montserrat"/>
      <w:sz w:val="2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rFonts w:ascii="Montserrat" w:hAnsi="Montserrat"/>
      <w:b w:val="false"/>
      <w:sz w:val="20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rFonts w:ascii="Montserrat" w:hAnsi="Montserrat"/>
      <w:b w:val="false"/>
      <w:color w:val="434343"/>
      <w:sz w:val="20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rFonts w:ascii="Montserrat" w:hAnsi="Montserrat"/>
      <w:color w:val="666666"/>
      <w:sz w:val="20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rFonts w:ascii="Montserrat" w:hAnsi="Montserrat"/>
      <w:color w:val="666666"/>
      <w:sz w:val="20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rFonts w:ascii="Montserrat" w:hAnsi="Montserrat"/>
      <w:i/>
      <w:color w:val="666666"/>
      <w:sz w:val="20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Montserrat" w:hAnsi="Montserrat" w:eastAsia="Noto Sans CJK SC" w:cs="Noto Sans Devanagari"/>
      <w:sz w:val="2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Montserrat" w:hAnsi="Montserrat"/>
      <w:sz w:val="20"/>
    </w:rPr>
  </w:style>
  <w:style w:type="paragraph" w:styleId="List">
    <w:name w:val="List"/>
    <w:basedOn w:val="BodyText"/>
    <w:pPr/>
    <w:rPr>
      <w:rFonts w:cs="Noto Sans Devanagari" w:ascii="Montserrat" w:hAnsi="Montserrat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 w:ascii="Montserrat" w:hAnsi="Montserrat"/>
      <w:i/>
      <w:iCs/>
      <w:sz w:val="20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 w:ascii="Montserrat" w:hAnsi="Montserrat"/>
      <w:sz w:val="20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rFonts w:ascii="Montserrat" w:hAnsi="Montserrat"/>
      <w:sz w:val="20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Montserrat" w:hAnsi="Montserrat" w:eastAsia="Arial" w:cs="Arial"/>
      <w:i w:val="false"/>
      <w:color w:val="666666"/>
      <w:sz w:val="20"/>
      <w:szCs w:val="30"/>
    </w:rPr>
  </w:style>
  <w:style w:type="paragraph" w:styleId="Style10">
    <w:name w:val="Содержимое врезки"/>
    <w:basedOn w:val="Normal"/>
    <w:qFormat/>
    <w:pPr/>
    <w:rPr>
      <w:rFonts w:ascii="Montserrat" w:hAnsi="Montserrat"/>
      <w:sz w:val="20"/>
    </w:rPr>
  </w:style>
  <w:style w:type="paragraph" w:styleId="HeaderandFooter">
    <w:name w:val="Header and Footer"/>
    <w:basedOn w:val="Normal"/>
    <w:qFormat/>
    <w:pPr/>
    <w:rPr>
      <w:rFonts w:ascii="Montserrat" w:hAnsi="Montserrat"/>
      <w:sz w:val="20"/>
    </w:rPr>
  </w:style>
  <w:style w:type="paragraph" w:styleId="Footer">
    <w:name w:val="Footer"/>
    <w:basedOn w:val="HeaderandFooter"/>
    <w:pPr/>
    <w:rPr>
      <w:rFonts w:ascii="Montserrat" w:hAnsi="Montserrat"/>
      <w:sz w:val="2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footer" Target="footer3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309</Words>
  <Characters>1715</Characters>
  <CharactersWithSpaces>1922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2025-06-01T16:56:04Z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