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ascii="Montserrat" w:hAnsi="Montserrat"/>
                <w:b/>
                <w:color w:val="FFFFFF"/>
                <w:sz w:val="30"/>
              </w:rPr>
              <w:t>HRlink для ТАТАТАТАТА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keepLines/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Базовая лицензия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keepLines/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 ₽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keepLines/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Лицензия кадровика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keepLines/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 ₽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3"/>
        <w:gridCol w:w="2117"/>
        <w:gridCol w:w="1318"/>
        <w:gridCol w:w="2297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Срок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Базовая лицензия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12мес.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1 000 000 ₽</w:t>
            </w:r>
          </w:p>
        </w:tc>
      </w:tr>
      <w:tr>
        <w:trPr>
          <w:trHeight w:val="420" w:hRule="atLeast"/>
        </w:trPr>
        <w:tc>
          <w:tcPr>
            <w:tcW w:w="8458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 Cloud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3"/>
        <w:gridCol w:w="3437"/>
        <w:gridCol w:w="3750"/>
      </w:tblGrid>
      <w:tr>
        <w:trPr>
          <w:trHeight w:val="997" w:hRule="atLeast"/>
        </w:trPr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first" r:id="rId5"/>
      <w:footerReference w:type="default" r:id="rId11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Montserrat" w:hAnsi="Montserrat"/>
        <w:b/>
        <w:color w:val="0066CC"/>
        <w:sz w:val="20"/>
      </w:rPr>
      <w:t>Коммерческое предложение действительно до 11.11.1111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307</Words>
  <Characters>1698</Characters>
  <CharactersWithSpaces>1904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2025-06-01T16:57:20Z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